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第二阶段 · 运营手册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各平台运营 SOP 手册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Platform Operations SOP — MercadoLibre / Amazon MX / TikTok Shop MX / Walmart MX + 合规入驻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2026年7月 · 机密 · 内部作业手册</w:t>
      </w:r>
    </w:p>
    <w:p>
      <w:r>
        <w:br w:type="pag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使用说明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本手册为标准作业程序（SOP），供交付团队按统一流程为客户落地各平台。每章结构一致：适用对象 → 前置条件 → 分步流程 → 合规检查点 → 常见坑 → 交付清单。政策高频变动，执行前务必核对平台后台与SAT最新规则；带“☐”为可勾选检查项。</w:t>
      </w:r>
    </w:p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SOP 的价值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SOP是把‘个人能力’变成‘公司可复制能力’的载体。它降低对个别熟手的依赖、保证交付质量一致、并为后续用天机OS自动化打下流程基础。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第〇章　通用合规入驻 SOP（所有平台共用）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无论哪个平台，中国卖家在墨西哥合规落地的主干流程是一致的。本章是所有平台SOP的公共前置。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0.1　适用对象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在墨西哥境内备货（官方仓/海外仓）并销售的跨境卖家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希望从36%高预扣降到10.5%档、或需要平台强制RFC合规的卖家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0.2　主干流程（自持本土主体路径）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需求诊断：按‘月流水/紧迫度/长期意愿’三维定位路径（自持SA / 离岸 / 挂靠过渡）。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公司设立：核名（SRE，备3个名）→ 公证人起草并公证章程 → 商业登记 → 外资登记。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税务登记：向SAT申请RFC；法人需到场做生物识别；一般4–5工作日下号。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电子签与开票：办理 e.firma；接入 PAC 具备 CFDI 4.0 开票能力。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本地银行账户：开立墨西哥本地对公账户（解锁8% IVA档的前提）。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平台绑定：在卖家后台上传/绑定RFC，确保‘店铺主体=RFC主体’一致。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申报托管：建立月度（次月约25日前）与年度申报节奏，留存CFDI XML≥5年。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0.3　合规检查点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店铺注册主体与绑定RFC主体完全一致（不一致将触发验证失败、跳36%）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收款账户为墨西哥本地对公账户（境外美金账户仍被强扣16% IVA）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e.firma 在有效期内；CSD（数字证书）状态正常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SAT《税务合规意见书》结果为 Positivo（合规）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月度申报按时；差额（IVA/ISR）已测算并补缴</w:t>
      </w:r>
    </w:p>
    <w:tbl>
      <w:tblPr>
        <w:tblW w:type="pct" w:w="100%"/>
        <w:tblBorders>
          <w:top w:val="single" w:color="FCE4D6" w:sz="2"/>
          <w:left w:val="single" w:color="C00000" w:sz="30"/>
          <w:bottom w:val="single" w:color="FCE4D6" w:sz="2"/>
          <w:right w:val="single" w:color="FCE4D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最常见的致命坑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‘先上车后补票’已失效：2026年起绑定RFC会同步触发CSF邮箱验证，主体不一致或申报缺失会导致预扣从10.5%跳到36%，且已扣不退。务必一开始就把主体、账户、申报三件事对齐。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0.4　交付清单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章程与营业执照　☐ RFC证书　☐ e.firma　☐ 外资登记证　☐ 本地银行账户　☐ 平台RFC绑定截图　☐ 申报节奏表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第一章　Mercado Libre 运营 SOP（主战场）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1.1　适用对象与生态位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美客多是核心主入口。本土店在流量、曝光、物流、品牌化上享最佳待遇；跨境/海外仓店受RFC绑定与验证约束。SOP覆盖入驻、合规、运营、广告四段。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1.2　入驻与合规 SOP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完成第〇章通用合规主干（主体+RFC+本地账户）。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在卖家后台（Global Selling）→ 账户信息 / Setup a Mexican account → 税务信息，上传/更新RFC，确保主体一致。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配置本地收款：Sales Preferences → Payment Methods 绑定墨西哥本地银行账户，避免境外账户被强扣16% IVA。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确认预扣档位：核对后台个性化通知显示的档位（目标10.5%）。</w:t>
      </w:r>
    </w:p>
    <w:tbl>
      <w:tblPr>
        <w:tblW w:type="pct" w:w="100%"/>
        <w:tblBorders>
          <w:top w:val="single" w:color="FCE4D6" w:sz="2"/>
          <w:left w:val="single" w:color="C00000" w:sz="30"/>
          <w:bottom w:val="single" w:color="FCE4D6" w:sz="2"/>
          <w:right w:val="single" w:color="FCE4D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RFC 验证特别提醒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平台会定期做RFC有效性验证（对‘店铺主体≠绑定RFC主体’的海外仓卖家）。未通过将从10.5%跳至36%且不退。交付后必须把‘验证状态复查’列入月度巡检。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1.3　运营 SOP（Listing 与流量）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Listing：西语标题/属性完整、主图合规、价格含税倒推清晰（前台含税价 ÷1.16 为不含税基数）。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履约：优先评估 Full（官方仓）以获得流量与配送权重；核对入仓合规与RFC绑定。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声誉：紧盯 reputation 等级（影响曝光与尾程费减免），管控发货时效与纠纷率。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1.4　广告 SOP（Mercado Ads）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Product Ads（SP类）：从核心词/竞品词起投，控 ACOS；用平台AI定向做冷启动。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预算：按‘可承受CPC × 目标ACOS’测算日预算（呼应PPC经济模型）；旺季（Buen Fin/圣诞）前置放量。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复盘：周维度看曝光/点击/转化/ACOS，砍无效词、加价高转化词。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1.5　交付清单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RFC绑定且主体一致　☐ 本地收款生效　☐ 预扣档=10.5%　☐ Listing合规　☐ 广告结构搭建　☐ 月度验证巡检表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第二章　Amazon México 运营 SOP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2.1　适用对象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规范化程度最高的平台，适合品牌化、标准化托管客户。FBA强制RFC；未上传RFC面临16% IVA + 20%所得税代扣。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2.2　入驻与合规 SOP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完成通用合规主干；在 Seller Central 上传有效RFC以继续/启用 FBA。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税务设置：核对税务信息与开票（CFDI）配置；确保收款与申报口径一致。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多站点卖家：梳理美墨加（USMCA）跨站点合规与库存布局。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2.3　运营 SOP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Listing：遵循Amazon MX规范（A+、图片、属性、变体）；西语本地化。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FBA：库存计划与补货节奏；关注跨境入仓与关税（非协定国19%快递关税影响直邮）。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广告：SP/SB/SD结构化投放，标准化ACOS管理。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2.4　服务定位</w:t>
      </w:r>
    </w:p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MX客户更认‘标准化、可信赖’的税务托管与多站点合规。用SOP化交付+透明申报建立‘规范可靠’的品牌印象，是这里的制胜点。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2.5　交付清单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RFC上传且FBA可用　☐ CFDI开票配置　☐ 多站点合规梳理　☐ 广告结构　☐ 申报托管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第三章　TikTok Shop México 运营 SOP（先发红利）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3.1　适用对象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爆发中的内容电商，约70%用户18–34岁。带来大量‘新入局、不懂墨西哥合规’的卖家。SOP强调‘合规落地 + 本地履约 + 内容运营’三位一体。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3.2　入驻与合规 SOP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完成通用合规主干（主体+RFC+本地账户）；按平台招商节奏选择本土店/跨境店。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配合平台入驻审核（企业资质、类目、履约模式）；绑定RFC与本地收款。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履约对接：接入本地仓/fulfillment（社媒电商订单洪峰对履约容错极低）。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3.3　内容运营 SOP（差异化核心）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短视频：围绕痛点/场景做本地化西语内容，测爆款结构（前3秒钩子+卖点+CTA）。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直播：排播+脚本+选品+促销机制；关注开播时段与转化。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达人（Affiliate）：建立达人招募/寄样/佣金SOP，用达人矩阵放量。</w:t>
      </w:r>
    </w:p>
    <w:tbl>
      <w:tblPr>
        <w:tblW w:type="pct" w:w="100%"/>
        <w:tblBorders>
          <w:top w:val="single" w:color="E2EFDA" w:sz="2"/>
          <w:left w:val="single" w:color="C6EFCE" w:sz="30"/>
          <w:bottom w:val="single" w:color="E2EFDA" w:sz="2"/>
          <w:right w:val="single" w:color="E2EFD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先发红利判断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谁先建立‘TikTok Shop MX 合规+履约+内容’的标准化SOP，谁就吃到这一波先发红利。教育成本高，但先发者能建立难以撼动的位置。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3.4　交付清单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主体+RFC落地　☐ 本地履约对接　☐ 内容日历　☐ 直播排播　☐ 达人矩阵　☐ 合规巡检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第四章　Walmart México 运营 SOP（外延/加分）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4.1　适用对象与生态位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Walmart既是零售巨头也在做marketplace与跨境。2026年推进‘Walmart Exports’（WFS卖家从美国发墨/加）并向墨西哥消费者开放 walmart.com。短期是外延渠道，非主入口。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4.2　SOP 要点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评估适配性：对已在Walmart Marketplace（美国）上架的卖家，墨西哥可寻址买家‘免费’扩大——优先服务这类客户。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跨境项目：梳理 Walmart Exports / walmart.com 跨境的资格、税费与履约要求。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多平台合规打包：把Walmart纳入‘一套合规中台服务多平台’的交付里，摊薄成本。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4.3　服务定位</w:t>
      </w:r>
    </w:p>
    <w:tbl>
      <w:tblPr>
        <w:tblW w:type="pct" w:w="100%"/>
        <w:tblBorders>
          <w:top w:val="single" w:color="D6E0F0" w:sz="2"/>
          <w:left w:val="single" w:color="2E5496" w:sz="30"/>
          <w:bottom w:val="single" w:color="D6E0F0" w:sz="2"/>
          <w:right w:val="single" w:color="D6E0F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Walmart作为‘多平台合规打包’的加分项与增量渠道咨询，而非独立主攻。用它提高客单价与客户黏性，不必单独重投。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4.4　交付清单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☐ 渠道适配评估　☐ 跨境资格梳理　☐ 多平台合规打包　☐ 增量测算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第五章　跨平台运营中台（复用逻辑）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1"/>
          <w:szCs w:val="21"/>
        </w:rPr>
        <w:t xml:space="preserve">四平台需求同源（主体+RFC+收款+履约+运营），但节奏与画像不同。正确做法是建一套‘合规中台’复用到四平台，用同一套SOP与团队摊薄获客与交付。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85"/>
        <w:gridCol w:w="1872"/>
        <w:gridCol w:w="1498"/>
        <w:gridCol w:w="2246"/>
        <w:gridCol w:w="2059"/>
      </w:tblGrid>
      <w:tr>
        <w:trPr>
          <w:tblHeader/>
        </w:trPr>
        <w:tc>
          <w:tcPr>
            <w:tcW w:type="dxa" w:w="1685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能力模块</w:t>
            </w:r>
          </w:p>
        </w:tc>
        <w:tc>
          <w:tcPr>
            <w:tcW w:type="dxa" w:w="187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MercadoLibre</w:t>
            </w:r>
          </w:p>
        </w:tc>
        <w:tc>
          <w:tcPr>
            <w:tcW w:type="dxa" w:w="149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Amazon MX</w:t>
            </w:r>
          </w:p>
        </w:tc>
        <w:tc>
          <w:tcPr>
            <w:tcW w:type="dxa" w:w="224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 Shop</w:t>
            </w:r>
          </w:p>
        </w:tc>
        <w:tc>
          <w:tcPr>
            <w:tcW w:type="dxa" w:w="2059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Walmart MX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合规主体+RFC</w:t>
            </w:r>
          </w:p>
        </w:tc>
        <w:tc>
          <w:tcPr>
            <w:tcW w:type="dxa" w:w="1872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必需</w:t>
            </w:r>
          </w:p>
        </w:tc>
        <w:tc>
          <w:tcPr>
            <w:tcW w:type="dxa" w:w="1498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必需</w:t>
            </w:r>
          </w:p>
        </w:tc>
        <w:tc>
          <w:tcPr>
            <w:tcW w:type="dxa" w:w="2246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必需</w:t>
            </w:r>
          </w:p>
        </w:tc>
        <w:tc>
          <w:tcPr>
            <w:tcW w:type="dxa" w:w="2059"/>
            <w:shd w:fill="FFEB9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视跨境模式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本地收款</w:t>
            </w:r>
          </w:p>
        </w:tc>
        <w:tc>
          <w:tcPr>
            <w:tcW w:type="dxa" w:w="1872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关键(10.5%)</w:t>
            </w:r>
          </w:p>
        </w:tc>
        <w:tc>
          <w:tcPr>
            <w:tcW w:type="dxa" w:w="149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需要</w:t>
            </w:r>
          </w:p>
        </w:tc>
        <w:tc>
          <w:tcPr>
            <w:tcW w:type="dxa" w:w="2246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需要</w:t>
            </w:r>
          </w:p>
        </w:tc>
        <w:tc>
          <w:tcPr>
            <w:tcW w:type="dxa" w:w="2059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视模式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履约对接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Full/海外仓</w:t>
            </w:r>
          </w:p>
        </w:tc>
        <w:tc>
          <w:tcPr>
            <w:tcW w:type="dxa" w:w="1498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FBA</w:t>
            </w:r>
          </w:p>
        </w:tc>
        <w:tc>
          <w:tcPr>
            <w:tcW w:type="dxa" w:w="2246"/>
            <w:shd w:fill="FFEB9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本地仓(容错低)</w:t>
            </w:r>
          </w:p>
        </w:tc>
        <w:tc>
          <w:tcPr>
            <w:tcW w:type="dxa" w:w="2059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WFS/跨境</w:t>
            </w:r>
          </w:p>
        </w:tc>
      </w:tr>
      <w:tr>
        <w:tc>
          <w:tcPr>
            <w:tcW w:type="dxa" w:w="1685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内容/广告</w:t>
            </w:r>
          </w:p>
        </w:tc>
        <w:tc>
          <w:tcPr>
            <w:tcW w:type="dxa" w:w="1872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Mercado Ads</w:t>
            </w:r>
          </w:p>
        </w:tc>
        <w:tc>
          <w:tcPr>
            <w:tcW w:type="dxa" w:w="1498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SP/SB/SD</w:t>
            </w:r>
          </w:p>
        </w:tc>
        <w:tc>
          <w:tcPr>
            <w:tcW w:type="dxa" w:w="2246"/>
            <w:shd w:fill="FFEB9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短视频/直播/达人</w:t>
            </w:r>
          </w:p>
        </w:tc>
        <w:tc>
          <w:tcPr>
            <w:tcW w:type="dxa" w:w="2059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基础</w:t>
            </w:r>
          </w:p>
        </w:tc>
      </w:tr>
      <w:tr>
        <w:tc>
          <w:tcPr>
            <w:tcW w:type="dxa" w:w="168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申报托管</w:t>
            </w:r>
          </w:p>
        </w:tc>
        <w:tc>
          <w:tcPr>
            <w:tcW w:type="dxa" w:w="1872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必需</w:t>
            </w:r>
          </w:p>
        </w:tc>
        <w:tc>
          <w:tcPr>
            <w:tcW w:type="dxa" w:w="1498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必需</w:t>
            </w:r>
          </w:p>
        </w:tc>
        <w:tc>
          <w:tcPr>
            <w:tcW w:type="dxa" w:w="2246"/>
            <w:shd w:fill="C6EFC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必需</w:t>
            </w:r>
          </w:p>
        </w:tc>
        <w:tc>
          <w:tcPr>
            <w:tcW w:type="dxa" w:w="2059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视主体</w:t>
            </w:r>
          </w:p>
        </w:tc>
      </w:tr>
    </w:tbl>
    <w:p>
      <w:pPr>
        <w:spacing w:after="160" w:before="4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表 5-1：跨平台能力复用矩阵。以美客多为锚点建立标准能力，横向复用到其余三平台。</w:t>
      </w:r>
    </w:p>
    <w:tbl>
      <w:tblPr>
        <w:tblW w:type="pct" w:w="100%"/>
        <w:tblBorders>
          <w:top w:val="single" w:color="E2EFDA" w:sz="2"/>
          <w:left w:val="single" w:color="C6EFCE" w:sz="30"/>
          <w:bottom w:val="single" w:color="E2EFDA" w:sz="2"/>
          <w:right w:val="single" w:color="E2EFD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手册总结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不是文档，是可复制的交付能力。先把美客多这条最高频、最赚钱的线做成标准SOP并跑顺，再横向复制；每一步的合规检查点都要能被天机OS的自动化提醒接管——这是从‘作坊’走向‘工厂’再走向‘产品’的路径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机密 CONFIDENTIAL   ·   第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808080"/>
        <w:sz w:val="15"/>
        <w:szCs w:val="15"/>
      </w:rPr>
      <w:t xml:space="preserve">各平台运营SOP手册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2E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各平台运营SOP手册</dc:title>
  <dc:creator>Strategy Research</dc:creator>
  <cp:lastModifiedBy>Un-named</cp:lastModifiedBy>
  <cp:revision>1</cp:revision>
  <dcterms:created xsi:type="dcterms:W3CDTF">2026-07-27T07:43:15.878Z</dcterms:created>
  <dcterms:modified xsi:type="dcterms:W3CDTF">2026-07-27T07:43:15.879Z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