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Frequently returned item处理办法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亚马逊运营之 售后问题处理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①查看“买家之声” (Voice of the Customer / VOC和 NCX卖家不满意率)，②下载退货报告 (Returns Report) ③增加销量 “稀释”退货率 (做大分母)  ④. 移除潜在的坏库存，⑤关闭亚马逊后台“翻新”设置禁止亚马逊把退货重新上架为新品 (FBA Settings -&gt; Refurbishment -&gt; Disable)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52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57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“高频率退货 / Frequently returned item”标签 基本不能手动删除，它是亚马逊基于近期周期内 退货率相对同类偏高自动打的。 能做的是把退货率压下去，系统就会在后续周期里自动撤掉。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①看退货原因分析报告，反馈工厂+减少退货②测评 增加好评③增加销量，销售数据，稀释退货数据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①查看“买家之声” (Voice of the Customer / VOC和 NCX卖家不满意率)产品差评分析，②下载退货报告 (Returns Report) 退货原因分析③增加销量 “稀释”退货率 (做大分母)  ④. 移除潜在的坏库存，⑤关闭亚马逊后台“翻新”设置禁止亚马逊把退货重新上架为新品 (FBA Settings -&gt; Refurbishment -&gt; Disable)Frequently returned item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the product details and customer reviews to learn more about this item.   产品页面和客户评论，会有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面对亚马逊的 </w:t>
      </w:r>
      <w:r>
        <w:rPr>
          <w:rFonts w:eastAsia="等线" w:ascii="Arial" w:cs="Arial" w:hAnsi="Arial"/>
          <w:b w:val="true"/>
          <w:sz w:val="22"/>
        </w:rPr>
        <w:t>"Frequently Returned Item" (高频退货)</w:t>
      </w:r>
      <w:r>
        <w:rPr>
          <w:rFonts w:eastAsia="等线" w:ascii="Arial" w:cs="Arial" w:hAnsi="Arial"/>
          <w:sz w:val="22"/>
        </w:rPr>
        <w:t xml:space="preserve"> 标签，这通常是转化率的“杀手”，因为消费者看到这个提示后会极大降低购买意愿。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这个标签的出现是因为你的 </w:t>
      </w:r>
      <w:r>
        <w:rPr>
          <w:rFonts w:eastAsia="等线" w:ascii="Arial" w:cs="Arial" w:hAnsi="Arial"/>
          <w:b w:val="true"/>
          <w:sz w:val="22"/>
        </w:rPr>
        <w:t>退货率 (Return Rate)</w:t>
      </w:r>
      <w:r>
        <w:rPr>
          <w:rFonts w:eastAsia="等线" w:ascii="Arial" w:cs="Arial" w:hAnsi="Arial"/>
          <w:sz w:val="22"/>
        </w:rPr>
        <w:t xml:space="preserve"> 显著高于同类目产品的平均水平。要“快速”移除它，核心逻辑只有一个：</w:t>
      </w:r>
      <w:r>
        <w:rPr>
          <w:rFonts w:eastAsia="等线" w:ascii="Arial" w:cs="Arial" w:hAnsi="Arial"/>
          <w:b w:val="true"/>
          <w:sz w:val="22"/>
        </w:rPr>
        <w:t>在短期内迅速拉低退货率（分母做大，分子做小）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以下是一个系统性的紧急处理方案，分为</w:t>
      </w:r>
      <w:r>
        <w:rPr>
          <w:rFonts w:eastAsia="等线" w:ascii="Arial" w:cs="Arial" w:hAnsi="Arial"/>
          <w:b w:val="true"/>
          <w:sz w:val="22"/>
        </w:rPr>
        <w:t>紧急止损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快速稀释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根本解决</w:t>
      </w:r>
      <w:r>
        <w:rPr>
          <w:rFonts w:eastAsia="等线" w:ascii="Arial" w:cs="Arial" w:hAnsi="Arial"/>
          <w:sz w:val="22"/>
        </w:rPr>
        <w:t>三个阶段：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第一阶段：紧急诊断 (The Diagnosis)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不要盲目猜测，先看亚马逊后台的数据。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查看“买家之声” (Voice of the Customer / VOC)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路径：</w:t>
      </w:r>
      <w:r>
        <w:rPr>
          <w:rFonts w:eastAsia="等线" w:ascii="Arial" w:cs="Arial" w:hAnsi="Arial"/>
          <w:sz w:val="22"/>
        </w:rPr>
        <w:t xml:space="preserve"> Performance (绩效) -&gt; Voice of the Customer (买家之声)。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关键动作：</w:t>
      </w:r>
      <w:r>
        <w:rPr>
          <w:rFonts w:eastAsia="等线" w:ascii="Arial" w:cs="Arial" w:hAnsi="Arial"/>
          <w:sz w:val="22"/>
        </w:rPr>
        <w:t xml:space="preserve"> 查看该 ASIN 的 </w:t>
      </w:r>
      <w:r>
        <w:rPr>
          <w:rFonts w:eastAsia="等线" w:ascii="Arial" w:cs="Arial" w:hAnsi="Arial"/>
          <w:b w:val="true"/>
          <w:sz w:val="22"/>
        </w:rPr>
        <w:t>NCX (Negative Customer Experience) Rate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寻找原因：</w:t>
      </w:r>
      <w:r>
        <w:rPr>
          <w:rFonts w:eastAsia="等线" w:ascii="Arial" w:cs="Arial" w:hAnsi="Arial"/>
          <w:sz w:val="22"/>
        </w:rPr>
        <w:t xml:space="preserve"> 系统会把退货原因分类，通常有以下几种：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Performance or quality not adequate</w:t>
      </w:r>
      <w:r>
        <w:rPr>
          <w:rFonts w:eastAsia="等线" w:ascii="Arial" w:cs="Arial" w:hAnsi="Arial"/>
          <w:sz w:val="22"/>
        </w:rPr>
        <w:t xml:space="preserve"> (质量问题)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Inaccurate website description</w:t>
      </w:r>
      <w:r>
        <w:rPr>
          <w:rFonts w:eastAsia="等线" w:ascii="Arial" w:cs="Arial" w:hAnsi="Arial"/>
          <w:sz w:val="22"/>
        </w:rPr>
        <w:t xml:space="preserve"> (描述不符 - </w:t>
      </w:r>
      <w:r>
        <w:rPr>
          <w:rFonts w:eastAsia="等线" w:ascii="Arial" w:cs="Arial" w:hAnsi="Arial"/>
          <w:b w:val="true"/>
          <w:sz w:val="22"/>
        </w:rPr>
        <w:t>这是最容易快速解决的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Item distinct from what was ordered</w:t>
      </w:r>
      <w:r>
        <w:rPr>
          <w:rFonts w:eastAsia="等线" w:ascii="Arial" w:cs="Arial" w:hAnsi="Arial"/>
          <w:sz w:val="22"/>
        </w:rPr>
        <w:t xml:space="preserve"> (发错货/包装错误)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Size too small/large</w:t>
      </w:r>
      <w:r>
        <w:rPr>
          <w:rFonts w:eastAsia="等线" w:ascii="Arial" w:cs="Arial" w:hAnsi="Arial"/>
          <w:sz w:val="22"/>
        </w:rPr>
        <w:t xml:space="preserve"> (尺寸问题)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下载退货报告 (Returns Report)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路径：</w:t>
      </w:r>
      <w:r>
        <w:rPr>
          <w:rFonts w:eastAsia="等线" w:ascii="Arial" w:cs="Arial" w:hAnsi="Arial"/>
          <w:sz w:val="22"/>
        </w:rPr>
        <w:t xml:space="preserve"> Reports -&gt; Fulfillment -&gt; FBA customer returns。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关键动作：</w:t>
      </w:r>
      <w:r>
        <w:rPr>
          <w:rFonts w:eastAsia="等线" w:ascii="Arial" w:cs="Arial" w:hAnsi="Arial"/>
          <w:sz w:val="22"/>
        </w:rPr>
        <w:t xml:space="preserve"> 下载过去30-60天的报告，筛选出该 ASIN，人工阅读买家的具体退货留言。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第二阶段：快速行动 (The Quick Fixes)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针对诊断出的问题，立即采取以下行动，目标是在 </w:t>
      </w:r>
      <w:r>
        <w:rPr>
          <w:rFonts w:eastAsia="等线" w:ascii="Arial" w:cs="Arial" w:hAnsi="Arial"/>
          <w:b w:val="true"/>
          <w:sz w:val="22"/>
        </w:rPr>
        <w:t>2-4周内</w:t>
      </w:r>
      <w:r>
        <w:rPr>
          <w:rFonts w:eastAsia="等线" w:ascii="Arial" w:cs="Arial" w:hAnsi="Arial"/>
          <w:sz w:val="22"/>
        </w:rPr>
        <w:t xml:space="preserve"> 移除标签。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调整 Listing 预期 (管理期望值)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如果是“描述不符”或“功能误解”，你需要立即修改 Listing，甚至进行“反向优化”（降低过度承诺）。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图片：</w:t>
      </w:r>
      <w:r>
        <w:rPr>
          <w:rFonts w:eastAsia="等线" w:ascii="Arial" w:cs="Arial" w:hAnsi="Arial"/>
          <w:sz w:val="22"/>
        </w:rPr>
        <w:t xml:space="preserve"> 如果产品有色差或材质容易被误解（例如看起来像金属实际是塑料），</w:t>
      </w:r>
      <w:r>
        <w:rPr>
          <w:rFonts w:eastAsia="等线" w:ascii="Arial" w:cs="Arial" w:hAnsi="Arial"/>
          <w:b w:val="true"/>
          <w:sz w:val="22"/>
        </w:rPr>
        <w:t>在主图或附图中直接用文字标注清楚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五点描述 (Bullet Points)：</w:t>
      </w:r>
      <w:r>
        <w:rPr>
          <w:rFonts w:eastAsia="等线" w:ascii="Arial" w:cs="Arial" w:hAnsi="Arial"/>
          <w:sz w:val="22"/>
        </w:rPr>
        <w:t xml:space="preserve"> 把最容易导致退货的点写在第一条。例如：“请注意：本产品仅适用于X型号，不兼容Y型号。”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尺寸表 (Size Chart)：</w:t>
      </w:r>
      <w:r>
        <w:rPr>
          <w:rFonts w:eastAsia="等线" w:ascii="Arial" w:cs="Arial" w:hAnsi="Arial"/>
          <w:sz w:val="22"/>
        </w:rPr>
        <w:t xml:space="preserve"> 如果是服装鞋帽，在图片中加入更详细的身高体重对照表，甚至建议“该款偏小，建议拍大一码”。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“稀释”退货率 (做大分母)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亚马逊计算的是比率（退货数 / 总订单数）。如果你能显著增加订单量，且新订单不退货，比率就会下降。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降价促销 (Price Drop)：</w:t>
      </w:r>
      <w:r>
        <w:rPr>
          <w:rFonts w:eastAsia="等线" w:ascii="Arial" w:cs="Arial" w:hAnsi="Arial"/>
          <w:sz w:val="22"/>
        </w:rPr>
        <w:t xml:space="preserve"> 短期内大幅降价或设置大额 Coupon。低价会让消费者对缺点的容忍度变高（性价比高），从而减少退货。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加大广告 (Ads)：</w:t>
      </w:r>
      <w:r>
        <w:rPr>
          <w:rFonts w:eastAsia="等线" w:ascii="Arial" w:cs="Arial" w:hAnsi="Arial"/>
          <w:sz w:val="22"/>
        </w:rPr>
        <w:t xml:space="preserve"> 配合降价，加大精准长尾词的广告投放（避开那些容易产生歧义的大词），快速拉高销量基数。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移除潜在的坏库存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如果是某一批次质量问题，或者 FBA 仓库里混入了大量买家退回的“不可售”变为“可售”的损坏品：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建立移除订单 (Removal Order)，把库存全部或部分移出检查，重新贴标入库，确保发出去的货是 100% 完美的。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第三阶段：终极手段 (The "Nuclear" Option)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如果以上方法太慢，或者该 Listing 权重已经掉光，可以考虑“翻新”或“重置”。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注意：此方法有风险，需谨慎评估。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停售与重组 (New SKU)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如果是多变体 (Variation) 链接，且只有这一个子体有标签，</w:t>
      </w:r>
      <w:r>
        <w:rPr>
          <w:rFonts w:eastAsia="等线" w:ascii="Arial" w:cs="Arial" w:hAnsi="Arial"/>
          <w:b w:val="true"/>
          <w:sz w:val="22"/>
        </w:rPr>
        <w:t>立即拆分该子体</w:t>
      </w:r>
      <w:r>
        <w:rPr>
          <w:rFonts w:eastAsia="等线" w:ascii="Arial" w:cs="Arial" w:hAnsi="Arial"/>
          <w:sz w:val="22"/>
        </w:rPr>
        <w:t>，避免传染给其他变体。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如果在售库存不多，可以直接</w:t>
      </w:r>
      <w:r>
        <w:rPr>
          <w:rFonts w:eastAsia="等线" w:ascii="Arial" w:cs="Arial" w:hAnsi="Arial"/>
          <w:b w:val="true"/>
          <w:sz w:val="22"/>
        </w:rPr>
        <w:t>删除该 SKU</w:t>
      </w:r>
      <w:r>
        <w:rPr>
          <w:rFonts w:eastAsia="等线" w:ascii="Arial" w:cs="Arial" w:hAnsi="Arial"/>
          <w:sz w:val="22"/>
        </w:rPr>
        <w:t>，用新的 UPC/FNSKU 重新上架（作为新产品从头开始），这将直接清除旧的历史数据（当然也清除了排名）。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停售静默期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停止销售该 ASIN 30天以上。随着时间推移，旧的退货权重会下降，但这会牺牲一个月的销量。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总结与执行清单 (Action Checklist)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60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下一步我可以为你做什么？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为了帮你更精准地判断原因，你可以把 </w:t>
      </w:r>
      <w:r>
        <w:rPr>
          <w:rFonts w:eastAsia="等线" w:ascii="Arial" w:cs="Arial" w:hAnsi="Arial"/>
          <w:b w:val="true"/>
          <w:sz w:val="22"/>
        </w:rPr>
        <w:t>"买家之声" (VOC) 中最常见的 2-3 条具体的退货评论或 NCX 原因</w:t>
      </w:r>
      <w:r>
        <w:rPr>
          <w:rFonts w:eastAsia="等线" w:ascii="Arial" w:cs="Arial" w:hAnsi="Arial"/>
          <w:sz w:val="22"/>
        </w:rPr>
        <w:t xml:space="preserve"> 贴给我，我可以帮你针对性地改写 Listing 的五点描述 (Bullet Points)，以阻断这些特定的退货理由。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33208">
    <w:lvl>
      <w:start w:val="1"/>
      <w:numFmt w:val="decimal"/>
      <w:suff w:val="tab"/>
      <w:lvlText w:val="%1."/>
      <w:rPr>
        <w:color w:val="3370ff"/>
      </w:rPr>
    </w:lvl>
  </w:abstractNum>
  <w:abstractNum w:abstractNumId="1733209">
    <w:lvl>
      <w:numFmt w:val="bullet"/>
      <w:suff w:val="tab"/>
      <w:lvlText w:val="￮"/>
      <w:rPr>
        <w:color w:val="3370ff"/>
      </w:rPr>
    </w:lvl>
  </w:abstractNum>
  <w:abstractNum w:abstractNumId="1733210">
    <w:lvl>
      <w:numFmt w:val="bullet"/>
      <w:suff w:val="tab"/>
      <w:lvlText w:val="￮"/>
      <w:rPr>
        <w:color w:val="3370ff"/>
      </w:rPr>
    </w:lvl>
  </w:abstractNum>
  <w:abstractNum w:abstractNumId="1733211">
    <w:lvl>
      <w:numFmt w:val="bullet"/>
      <w:suff w:val="tab"/>
      <w:lvlText w:val="￮"/>
      <w:rPr>
        <w:color w:val="3370ff"/>
      </w:rPr>
    </w:lvl>
  </w:abstractNum>
  <w:abstractNum w:abstractNumId="1733212">
    <w:lvl>
      <w:numFmt w:val="bullet"/>
      <w:suff w:val="tab"/>
      <w:lvlText w:val="▪"/>
      <w:rPr>
        <w:color w:val="3370ff"/>
        <w:sz w:val="11"/>
      </w:rPr>
    </w:lvl>
  </w:abstractNum>
  <w:abstractNum w:abstractNumId="1733213">
    <w:lvl>
      <w:numFmt w:val="bullet"/>
      <w:suff w:val="tab"/>
      <w:lvlText w:val="▪"/>
      <w:rPr>
        <w:color w:val="3370ff"/>
        <w:sz w:val="11"/>
      </w:rPr>
    </w:lvl>
  </w:abstractNum>
  <w:abstractNum w:abstractNumId="1733214">
    <w:lvl>
      <w:numFmt w:val="bullet"/>
      <w:suff w:val="tab"/>
      <w:lvlText w:val="▪"/>
      <w:rPr>
        <w:color w:val="3370ff"/>
        <w:sz w:val="11"/>
      </w:rPr>
    </w:lvl>
  </w:abstractNum>
  <w:abstractNum w:abstractNumId="1733215">
    <w:lvl>
      <w:numFmt w:val="bullet"/>
      <w:suff w:val="tab"/>
      <w:lvlText w:val="▪"/>
      <w:rPr>
        <w:color w:val="3370ff"/>
        <w:sz w:val="11"/>
      </w:rPr>
    </w:lvl>
  </w:abstractNum>
  <w:abstractNum w:abstractNumId="1733216">
    <w:lvl>
      <w:start w:val="2"/>
      <w:numFmt w:val="decimal"/>
      <w:suff w:val="tab"/>
      <w:lvlText w:val="%1."/>
      <w:rPr>
        <w:color w:val="3370ff"/>
      </w:rPr>
    </w:lvl>
  </w:abstractNum>
  <w:abstractNum w:abstractNumId="1733217">
    <w:lvl>
      <w:numFmt w:val="bullet"/>
      <w:suff w:val="tab"/>
      <w:lvlText w:val="￮"/>
      <w:rPr>
        <w:color w:val="3370ff"/>
      </w:rPr>
    </w:lvl>
  </w:abstractNum>
  <w:abstractNum w:abstractNumId="1733218">
    <w:lvl>
      <w:numFmt w:val="bullet"/>
      <w:suff w:val="tab"/>
      <w:lvlText w:val="￮"/>
      <w:rPr>
        <w:color w:val="3370ff"/>
      </w:rPr>
    </w:lvl>
  </w:abstractNum>
  <w:abstractNum w:abstractNumId="1733219">
    <w:lvl>
      <w:numFmt w:val="bullet"/>
      <w:suff w:val="tab"/>
      <w:lvlText w:val="•"/>
      <w:rPr>
        <w:color w:val="3370ff"/>
      </w:rPr>
    </w:lvl>
  </w:abstractNum>
  <w:abstractNum w:abstractNumId="1733220">
    <w:lvl>
      <w:numFmt w:val="bullet"/>
      <w:suff w:val="tab"/>
      <w:lvlText w:val="•"/>
      <w:rPr>
        <w:color w:val="3370ff"/>
      </w:rPr>
    </w:lvl>
  </w:abstractNum>
  <w:abstractNum w:abstractNumId="1733221">
    <w:lvl>
      <w:numFmt w:val="bullet"/>
      <w:suff w:val="tab"/>
      <w:lvlText w:val="•"/>
      <w:rPr>
        <w:color w:val="3370ff"/>
      </w:rPr>
    </w:lvl>
  </w:abstractNum>
  <w:abstractNum w:abstractNumId="1733222">
    <w:lvl>
      <w:numFmt w:val="bullet"/>
      <w:suff w:val="tab"/>
      <w:lvlText w:val="•"/>
      <w:rPr>
        <w:color w:val="3370ff"/>
      </w:rPr>
    </w:lvl>
  </w:abstractNum>
  <w:abstractNum w:abstractNumId="1733223">
    <w:lvl>
      <w:numFmt w:val="bullet"/>
      <w:suff w:val="tab"/>
      <w:lvlText w:val="•"/>
      <w:rPr>
        <w:color w:val="3370ff"/>
      </w:rPr>
    </w:lvl>
  </w:abstractNum>
  <w:abstractNum w:abstractNumId="1733224">
    <w:lvl>
      <w:numFmt w:val="bullet"/>
      <w:suff w:val="tab"/>
      <w:lvlText w:val="•"/>
      <w:rPr>
        <w:color w:val="3370ff"/>
      </w:rPr>
    </w:lvl>
  </w:abstractNum>
  <w:abstractNum w:abstractNumId="1733225">
    <w:lvl>
      <w:numFmt w:val="bullet"/>
      <w:suff w:val="tab"/>
      <w:lvlText w:val="•"/>
      <w:rPr>
        <w:color w:val="3370ff"/>
      </w:rPr>
    </w:lvl>
  </w:abstractNum>
  <w:abstractNum w:abstractNumId="1733226">
    <w:lvl>
      <w:start w:val="1"/>
      <w:numFmt w:val="decimal"/>
      <w:suff w:val="tab"/>
      <w:lvlText w:val="%1."/>
      <w:rPr>
        <w:color w:val="3370ff"/>
      </w:rPr>
    </w:lvl>
  </w:abstractNum>
  <w:abstractNum w:abstractNumId="1733227">
    <w:lvl>
      <w:numFmt w:val="bullet"/>
      <w:suff w:val="tab"/>
      <w:lvlText w:val="￮"/>
      <w:rPr>
        <w:color w:val="3370ff"/>
      </w:rPr>
    </w:lvl>
  </w:abstractNum>
  <w:abstractNum w:abstractNumId="1733228">
    <w:lvl>
      <w:numFmt w:val="bullet"/>
      <w:suff w:val="tab"/>
      <w:lvlText w:val="￮"/>
      <w:rPr>
        <w:color w:val="3370ff"/>
      </w:rPr>
    </w:lvl>
  </w:abstractNum>
  <w:abstractNum w:abstractNumId="1733229">
    <w:lvl>
      <w:start w:val="2"/>
      <w:numFmt w:val="decimal"/>
      <w:suff w:val="tab"/>
      <w:lvlText w:val="%1."/>
      <w:rPr>
        <w:color w:val="3370ff"/>
      </w:rPr>
    </w:lvl>
  </w:abstractNum>
  <w:abstractNum w:abstractNumId="1733230">
    <w:lvl>
      <w:numFmt w:val="bullet"/>
      <w:suff w:val="tab"/>
      <w:lvlText w:val="￮"/>
      <w:rPr>
        <w:color w:val="3370ff"/>
      </w:rPr>
    </w:lvl>
  </w:abstractNum>
  <w:num w:numId="1">
    <w:abstractNumId w:val="1733208"/>
  </w:num>
  <w:num w:numId="2">
    <w:abstractNumId w:val="1733209"/>
  </w:num>
  <w:num w:numId="3">
    <w:abstractNumId w:val="1733210"/>
  </w:num>
  <w:num w:numId="4">
    <w:abstractNumId w:val="1733211"/>
  </w:num>
  <w:num w:numId="5">
    <w:abstractNumId w:val="1733212"/>
  </w:num>
  <w:num w:numId="6">
    <w:abstractNumId w:val="1733213"/>
  </w:num>
  <w:num w:numId="7">
    <w:abstractNumId w:val="1733214"/>
  </w:num>
  <w:num w:numId="8">
    <w:abstractNumId w:val="1733215"/>
  </w:num>
  <w:num w:numId="9">
    <w:abstractNumId w:val="1733216"/>
  </w:num>
  <w:num w:numId="10">
    <w:abstractNumId w:val="1733217"/>
  </w:num>
  <w:num w:numId="11">
    <w:abstractNumId w:val="1733218"/>
  </w:num>
  <w:num w:numId="12">
    <w:abstractNumId w:val="1733219"/>
  </w:num>
  <w:num w:numId="13">
    <w:abstractNumId w:val="1733220"/>
  </w:num>
  <w:num w:numId="14">
    <w:abstractNumId w:val="1733221"/>
  </w:num>
  <w:num w:numId="15">
    <w:abstractNumId w:val="1733222"/>
  </w:num>
  <w:num w:numId="16">
    <w:abstractNumId w:val="1733223"/>
  </w:num>
  <w:num w:numId="17">
    <w:abstractNumId w:val="1733224"/>
  </w:num>
  <w:num w:numId="18">
    <w:abstractNumId w:val="1733225"/>
  </w:num>
  <w:num w:numId="19">
    <w:abstractNumId w:val="1733226"/>
  </w:num>
  <w:num w:numId="20">
    <w:abstractNumId w:val="1733227"/>
  </w:num>
  <w:num w:numId="21">
    <w:abstractNumId w:val="1733228"/>
  </w:num>
  <w:num w:numId="22">
    <w:abstractNumId w:val="1733229"/>
  </w:num>
  <w:num w:numId="23">
    <w:abstractNumId w:val="17332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y.feishu.cn/file/RK3NbLo7topEL0x3UBXcSH2anBh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numbering.xml" Type="http://schemas.openxmlformats.org/officeDocument/2006/relationships/numbering"/><Relationship Id="rId8" Target="embeddings/Microsoft_Excel_Worksheet1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2026-07-28T02:20:33Z</dcterms:created>
  <dc:creator>Apache POI</dc:creator>
</cp:coreProperties>
</file>