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18" w:space="6"/>
        </w:pBdr>
        <w:spacing w:after="60" w:before="200"/>
        <w:jc w:val="left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44"/>
          <w:szCs w:val="44"/>
        </w:rPr>
        <w:t xml:space="preserve">亚马逊广告精品打法</w:t>
      </w:r>
    </w:p>
    <w:p>
      <w:pPr>
        <w:spacing w:after="200" w:before="8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6"/>
          <w:szCs w:val="26"/>
        </w:rPr>
        <w:t xml:space="preserve">分时精细化控盘的思路拆解与实操框架</w:t>
      </w: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很多卖家的广告是「开着就不管」的粗放模式：一天一个总预算、一个竞价、跑一整天，钱花完就等报告。精品打法的核心从来不是「烧得多」，而是「烧得准」——把广告拆到每一个小时、每一个词、每一个坑位去控盘，让每一分钱都花在出单概率最高的时间与位置上。本文把这套打法的底层逻辑（一个中心方程 + 四维杠杆）、可落地的测算体系、分时与阈值的止损规则，以及一个完整模式（新品-精品-品牌-正常价格-广告版）的实操拆解讲清楚。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一、一个中心方程：所有优化都落在三个数上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广告经济学的中心公式只有一个，把它刻在脑子里，后面所有的动作都能对号入座：</w:t>
      </w:r>
    </w:p>
    <w:p>
      <w:pPr>
        <w:shd w:fill="F5F5F5" w:val="clear"/>
        <w:spacing w:after="60" w:before="60" w:line="280"/>
        <w:jc w:val="center"/>
      </w:pP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ACOS = CPC ÷ (CVR × 客单价)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这个公式说明了一件事：ACOS 只由三个变量决定——CPC（单次点击成本）、CVR（转化率）、客单价。所有的优化动作，无论是调竞价、改主图、优化 Listing、还是调整定价，最终都是在拨动这三个数中的某一个。</w:t>
      </w: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最常见的误区是「想降 ACOS 就只会降竞价」。ACOS 的分母是 CVR × 客单价，分母的杠杆往往比分子（CPC）大得多。转化率从 8% 提到 12%，或者客单价结构性上移，对 ACOS 的改善远比一味压低出价来得健康——压竞价会同时压掉曝光和坑位，是「杀敌一千自损八百」。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二、先算平本，再定目标：盈亏三态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在谈「目标 ACOS 定多少」之前，必须先算出自己的「平本 ACOS」。平本 ACOS 等于广告前毛利率——当广告把毛利刚好花光，就是平本线。目标 ACOS 必须低于平本 ACOS，两者的差额，就是留给自己的净利空间。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把每一单的「空间」定义为：空间 = 预期广告预算 + 毛利。据此可以把广告状态清晰地分成三态：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500"/>
        <w:gridCol w:w="3900"/>
        <w:gridCol w:w="3626"/>
      </w:tblGrid>
      <w:tr>
        <w:trPr>
          <w:tblHeader/>
        </w:trPr>
        <w:tc>
          <w:tcPr>
            <w:tcW w:type="dxa" w:w="15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39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判断条件</w:t>
            </w:r>
          </w:p>
        </w:tc>
        <w:tc>
          <w:tcPr>
            <w:tcW w:type="dxa" w:w="3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等价表述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盈利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广告花费 &lt; 预期广告预算 + 毛利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广告后毛利率 &gt; 0，ACOS &lt; 平本 ACOS</w:t>
            </w:r>
          </w:p>
        </w:tc>
      </w:tr>
      <w:tr>
        <w:tc>
          <w:tcPr>
            <w:tcW w:type="dxa" w:w="15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平本</w:t>
            </w:r>
          </w:p>
        </w:tc>
        <w:tc>
          <w:tcPr>
            <w:tcW w:type="dxa" w:w="39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广告花费 = 预期广告预算 + 毛利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广告后毛利 = 0，ACOS = 平本 ACOS = 广告前毛利率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亏损</w:t>
            </w:r>
          </w:p>
        </w:tc>
        <w:tc>
          <w:tcPr>
            <w:tcW w:type="dxa" w:w="3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广告花费 &gt; 预期广告预算 + 毛利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广告后毛利率 &lt; 0；毛利=0 时花任何广告费即亏</w:t>
            </w:r>
          </w:p>
        </w:tc>
      </w:tr>
    </w:tbl>
    <w:p>
      <w:pPr>
        <w:spacing w:after="80"/>
      </w:pP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新品前期是可以把所有毛利都拿来做广告的，甚至可以短期超过毛利——这属于战略性亏损买权重。但前提是你必须清楚地知道自己此刻站在哪个态、准备亏多久、用什么指标验收（自然单占比是否在爬升）。「不知道自己在亏」和「知道自己在战略性投入」是两回事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三、测算体系：把预算从「拍脑袋」变成「算出来」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围绕中心方程，可以推导出一整套测算体系。它的价值在于：出价不是凭感觉，预算不是拍脑袋，而是「我要几单 × 我买得起一单多少钱」算出来的。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3626"/>
        <w:gridCol w:w="32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3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公式</w:t>
            </w:r>
          </w:p>
        </w:tc>
        <w:tc>
          <w:tcPr>
            <w:tcW w:type="dxa" w:w="3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经营含义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可承受 CPC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目标ACOS × 客单价 × CVR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出价的天花板，管「出价」</w:t>
            </w:r>
          </w:p>
        </w:tc>
      </w:tr>
      <w:tr>
        <w:tc>
          <w:tcPr>
            <w:tcW w:type="dxa" w:w="2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CPA（每单成本）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CPC ÷ CVR</w:t>
            </w:r>
          </w:p>
        </w:tc>
        <w:tc>
          <w:tcPr>
            <w:tcW w:type="dxa" w:w="3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实际每单广告成本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CPA 上限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客单价 × 目标ACOS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每单最多买得起多少，管「利润」</w:t>
            </w:r>
          </w:p>
        </w:tc>
      </w:tr>
      <w:tr>
        <w:tc>
          <w:tcPr>
            <w:tcW w:type="dxa" w:w="2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可承受 CPC（CPA视角）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CVR × CPA上限</w:t>
            </w:r>
          </w:p>
        </w:tc>
        <w:tc>
          <w:tcPr>
            <w:tcW w:type="dxa" w:w="3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与上式等价，是同一方程的两个投影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日广告预算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预计日单量 × CPA上限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管「预算」</w:t>
            </w:r>
          </w:p>
        </w:tc>
      </w:tr>
      <w:tr>
        <w:tc>
          <w:tcPr>
            <w:tcW w:type="dxa" w:w="2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CVR 门槛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CPC ÷ (目标ACOS × 客单价)</w:t>
            </w:r>
          </w:p>
        </w:tc>
        <w:tc>
          <w:tcPr>
            <w:tcW w:type="dxa" w:w="3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已知市场CPC时反推需要多高的转化率</w:t>
            </w:r>
          </w:p>
        </w:tc>
      </w:tr>
    </w:tbl>
    <w:p>
      <w:pPr>
        <w:spacing w:after="80"/>
      </w:pP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标准示例（客单价 $30）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输入：客单价 = $30，CVR = 10%，目标 ACOS = 30%。</w:t>
      </w:r>
    </w:p>
    <w:p>
      <w:pPr>
        <w:shd w:fill="F5F5F5" w:val="clear"/>
        <w:spacing w:after="60" w:before="60" w:line="280"/>
        <w:jc w:val="center"/>
      </w:pP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可承受CPC = 30 × 10% × 30% = $0.90</w:t>
      </w:r>
    </w:p>
    <w:p>
      <w:pPr>
        <w:shd w:fill="F5F5F5" w:val="clear"/>
        <w:spacing w:after="60" w:before="60" w:line="280"/>
        <w:jc w:val="center"/>
      </w:pP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CPA上限 = 30 × 30% = $9.00     日预算 = 10单 × $9 = $90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关键结论：客单价一旦定死，如果 CVR 做不到 10%，长期就不可能同时满足「30% ACOS + 市场 CPC ≥ $0.90」。CVR 掉到 8%，可承受 CPC 只剩 $0.72；市场词均价若在 $1.0，这个缺口只能靠三条路补——提客单价、提 CVR、或放宽 ACOS（吃毛利）。反过来用：市场 CPC = $1.20 时反推，CVR 门槛 = 1.20 ÷ (0.30 × 30) = 13.3%，若类目均值只有 8%，这个词在这个价位结构性做不动，该换词或换定价，而不是硬调竞价。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四、广告出单临界值：先测出自己产品的生死线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所有阈值和止损规则的锚点，是「出单临界值」——大概多少个点击能出一单。这个数必须针对自己的产品测出来，不能照搬别人的。默认经验值是 15 个点击出一单（隐含 CVR ≈ 6.67%），但要按类目校准：</w:t>
      </w:r>
    </w:p>
    <w:p>
      <w:pPr>
        <w:shd w:fill="F5F5F5" w:val="clear"/>
        <w:spacing w:after="60" w:before="60" w:line="280"/>
        <w:jc w:val="center"/>
      </w:pPr>
      <w:r>
        <w:rPr>
          <w:rFonts w:ascii="Consolas" w:cs="Consolas" w:eastAsia="Consolas" w:hAnsi="Consolas"/>
          <w:b/>
          <w:bCs/>
          <w:color w:val="1F3A5F"/>
          <w:sz w:val="20"/>
          <w:szCs w:val="20"/>
        </w:rPr>
        <w:t xml:space="preserve">临界点击数 = 1 ÷ 类目平均CVR × 安全系数(1.0~1.5)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类目 CVR 10% → 临界约 10~15 次点击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类目 CVR 5%  → 临界约 20~30 次点击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有了临界值，词级止损就有了客观标准：某搜索词点击数达到临界值仍然 0 单，就该否定或大幅降价；点击超过 2 倍临界值且 CVR 不到类目一半，说明这个词和 Listing 根本不匹配，要先修相关性，而不是继续烧。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五、分时精细化：出单高峰全覆盖，低峰不曝光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这是精品打法最具标志性的动作，也是和粗放打法拉开差距的地方。核心思路是：把一天 24 小时拆开，让钱只在该花的时候花。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第一步：统计出单高峰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拉取最近 30 天该 ASIN 每一个小时的出单数据，统计出每个时间段的出单情况，画出一天的出单高峰与低峰曲线。哪几个小时是出单高峰、哪几个小时几乎零单，一目了然。这是分时调整的全部依据。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第二步：两个杠杆一起调——竞价 + 预算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分时调整不只是调竞价，预算同样要分时给。两个杠杆配合使用：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出单高峰时段：上调竞价、保证预算充足，做到坑位全覆盖、不断档，把握住出单概率最高的窗口；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低峰 / 零单时段：降低竞价、压缩预算，甚至不曝光或少曝光，避免把钱浪费在几乎不会出单的时间；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目标是「出单高峰的每一个小时，我都有预算、有曝光、有靠前的位置」，而在没有出单的时间段，尽量不产生无效花费。</w:t>
      </w: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分时的本质是「把有限的预算，在时间维度上重新分配」。同样是每天 $90，粗放模式是 24 小时均摊，精品模式是把 70% 的钱压在出单高峰的那几个小时。前者买的是「一整天的平均曝光」，后者买的是「高峰期的坑位垄断」——效率完全不同。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六、阈值与止损：把「感觉不行」变成「数字触发」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精品打法要求每一个止损动作都有明确的数字触发条件，而不是凭感觉。先测出自己产品的出单临界值，再据此设定一整套阈值。任何一项被触发，就执行对应动作。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3626"/>
        <w:gridCol w:w="28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触发信号</w:t>
            </w:r>
          </w:p>
        </w:tc>
        <w:tc>
          <w:tcPr>
            <w:tcW w:type="dxa" w:w="3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阈值判断</w:t>
            </w:r>
          </w:p>
        </w:tc>
        <w:tc>
          <w:tcPr>
            <w:tcW w:type="dxa" w:w="2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对应动作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高点击不出单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 &gt; 临界值，仍 0 单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否词</w:t>
            </w:r>
          </w:p>
        </w:tc>
      </w:tr>
      <w:tr>
        <w:tc>
          <w:tcPr>
            <w:tcW w:type="dxa" w:w="26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高点击 + 高 ACOS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ACOS 远超平本，转化极差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否词 / 关广告组 / 关活动 / 关关键词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转化率过低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CVR 低于设定值 且 点击 &gt; 阈值 仍不出单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否词 / 止损</w:t>
            </w:r>
          </w:p>
        </w:tc>
      </w:tr>
      <w:tr>
        <w:tc>
          <w:tcPr>
            <w:tcW w:type="dxa" w:w="26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预算烧完不出单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花费超过阈值仍 0 单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关掉（按测出的出单临界值）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CPA 过高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CPA &gt; 设定上限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降价或止损</w:t>
            </w:r>
          </w:p>
        </w:tc>
      </w:tr>
      <w:tr>
        <w:tc>
          <w:tcPr>
            <w:tcW w:type="dxa" w:w="26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毛利被吃穿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广告后毛利率 &lt; 设定下限</w:t>
            </w:r>
          </w:p>
        </w:tc>
        <w:tc>
          <w:tcPr>
            <w:tcW w:type="dxa" w:w="2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止损</w:t>
            </w:r>
          </w:p>
        </w:tc>
      </w:tr>
    </w:tbl>
    <w:p>
      <w:pPr>
        <w:spacing w:after="80"/>
      </w:pP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这些阈值不是孤立的数字，它们共同回答一个问题：这个词 / 这个广告组 / 这个活动，还值不值得继续花钱。设定阈值的过程，本质上就是把「多少点击出一单、广告订单多少、自然订单多少」这些数据摸清楚，从而合理安排预算的过程。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七、四维优化框架：曝光 → 点击 → 转化 → ACOS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优化广告要按漏斗逐层诊断，每一层用不同的杠杆，而且一次只动一个维度——同时动多个维度，事后就没法归因，不知道是哪个动作起了效果。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3626"/>
        <w:gridCol w:w="3800"/>
      </w:tblGrid>
      <w:tr>
        <w:trPr>
          <w:tblHeader/>
        </w:trPr>
        <w:tc>
          <w:tcPr>
            <w:tcW w:type="dxa" w:w="16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3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主要杠杆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曝光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曝光量不足，没量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竞价、预算、匹配方式、坑位</w:t>
            </w:r>
          </w:p>
        </w:tc>
      </w:tr>
      <w:tr>
        <w:tc>
          <w:tcPr>
            <w:tcW w:type="dxa" w:w="16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② 点击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有曝光没点击</w:t>
            </w:r>
          </w:p>
        </w:tc>
        <w:tc>
          <w:tcPr>
            <w:tcW w:type="dxa" w:w="3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主图、价格、评分、标题（点击要素）</w:t>
            </w:r>
          </w:p>
        </w:tc>
      </w:tr>
      <w:tr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③ 转化</w:t>
            </w:r>
          </w:p>
        </w:tc>
        <w:tc>
          <w:tcPr>
            <w:tcW w:type="dxa" w:w="3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有点击不出单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Listing、价格、评论、相关性</w:t>
            </w:r>
          </w:p>
        </w:tc>
      </w:tr>
      <w:tr>
        <w:tc>
          <w:tcPr>
            <w:tcW w:type="dxa" w:w="16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④ ACOS</w:t>
            </w:r>
          </w:p>
        </w:tc>
        <w:tc>
          <w:tcPr>
            <w:tcW w:type="dxa" w:w="36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能出单但不划算</w:t>
            </w:r>
          </w:p>
        </w:tc>
        <w:tc>
          <w:tcPr>
            <w:tcW w:type="dxa" w:w="3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回到中心方程找杠杆，配合否词</w:t>
            </w:r>
          </w:p>
        </w:tc>
      </w:tr>
    </w:tbl>
    <w:p>
      <w:pPr>
        <w:spacing w:after="80"/>
      </w:pP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用竞价、广告预算、广告策略这三根杠杆去调整，同时结合否词、结合节点阶段、结合公司的模式与广告所处的阶段、广告目的、类目和推广手法综合判断。同样一个「ACOS 偏高」，在新品期和成熟期、在冲排名和收利润两种目的下，处理方式是完全不同的。</w:t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八、七种精品广告模式（选型全景）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打法没有唯一解，要根据产品定位、定价策略、品牌与否、以及是否配合站外来选型。以下是七种常见的精品模式，先选对模式，再谈具体投放。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52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特征与适用场景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新品-精铺-正常价格-保守广告版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多品试错，正常定价，广告求稳控成本，验证选品为主</w:t>
            </w:r>
          </w:p>
        </w:tc>
      </w:tr>
      <w:tr>
        <w:tc>
          <w:tcPr>
            <w:tcW w:type="dxa" w:w="3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新品-精铺-正常价格-激进广告版</w:t>
            </w:r>
          </w:p>
        </w:tc>
        <w:tc>
          <w:tcPr>
            <w:tcW w:type="dxa" w:w="52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多品铺量，正常定价，前期加大广告抢占坑位与排名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新品-精铺-低价螺旋-激进广告版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低价起量 + 激进广告，快速冲排名，靠螺旋拉自然位</w:t>
            </w:r>
          </w:p>
        </w:tc>
      </w:tr>
      <w:tr>
        <w:tc>
          <w:tcPr>
            <w:tcW w:type="dxa" w:w="3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新品-精品-正常价格-广告&amp;站外版</w:t>
            </w:r>
          </w:p>
        </w:tc>
        <w:tc>
          <w:tcPr>
            <w:tcW w:type="dxa" w:w="52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单品精做，正常定价，站内广告配合站外引流放大流量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新品-精品-品牌-正常价格-广告版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有品牌，正常定价，以站内广告为主的稳健精品打法</w:t>
            </w:r>
          </w:p>
        </w:tc>
      </w:tr>
      <w:tr>
        <w:tc>
          <w:tcPr>
            <w:tcW w:type="dxa" w:w="38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新品-精品-低价螺旋-纯广告版</w:t>
            </w:r>
          </w:p>
        </w:tc>
        <w:tc>
          <w:tcPr>
            <w:tcW w:type="dxa" w:w="52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单品精做，低价螺旋，纯站内广告驱动，不依赖站外</w:t>
            </w:r>
          </w:p>
        </w:tc>
      </w:tr>
      <w:tr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新品-精品-品牌-高单价价格-广告版</w:t>
            </w:r>
          </w:p>
        </w:tc>
        <w:tc>
          <w:tcPr>
            <w:tcW w:type="dxa" w:w="52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品牌 + 高客单，靠广告 + 品牌溢价，重转化与形象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九、实战拆解：新品-精品-品牌-正常价格-广告版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下面以「新品-精品-品牌-正常价格-广告版」为例，把从准备到落地的完整链路走一遍。这套流程同样适用于其他模式，只是权重和参数会变。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9.1 准备工作：三类必备资料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① 竞品与流量布局。 选取 9 个核心竞品 + 自己的 ASIN，做多产品流量布局对比分析，从中找词，找出主攻的关键词，并分层：大词、核心词、长尾词、品牌词、人群词、场景词、以及其他词。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② SIF 坑位与排名数据。 拉取核心关键词的坑位快照、广告位小时级排名数据、自然位小时级排名数据。词的覆盖建议：核心词 3 个 + 长尾词 5 个 + 其他 3 个。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③ 小时出单数据。 统计该 ASIN 最近 30 天每一个小时的出单情况，做数据分析，定位出单高峰时间段——这是后续分时调节的依据（与第五节呼应）。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9.2 选词：确定主攻方向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从竞品流量布局的对比中，确定主攻方向：哪些是必须拿下的大词与核心词，哪些是性价比高、容易起量的长尾词，哪些是品牌词、人群词、场景词的补充。选词是整个投放的地基，方向错了后面全错。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9.3 看坑位快照：小时级的坑位博弈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坑位快照要看的是：每一个小时，竞品在某个关键词下的自然位和广告位，构成了哪些威胁，有没有断层（位置空缺），关键词的流量大小如何，曝光的位置（首页首位最佳）以及曝光时长。把这些综合起来判断值不值得抢、什么时候抢。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最终目标可以浓缩成一句话：在出单高峰的每一个小时维度上，做到——有广告预算、有曝光、CPC 可以接受、位置靠前、曝光时长比较久、波动性比较低（即 ASIN 自然位/广告位的滚动率低）。综合评估的维度包括：获得率、竞争难度、自然流量份额、以及最终的综合得分。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9.4 广告策略：人在我在，人不在我更在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在「新品-精品-品牌、正常价格、广告预算中等」这个设定下，先把市场看清楚：找到类目平均转化率、核心关键词的广告点击转化率、竞品 ASIN 的转化率、平均 CPC，综合看市场类目情况、竞争对手、排名、广告位与自然位排名、以及时间分布。</w:t>
      </w: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核心策略一句话概括：人家在的位置我也在，甚至排到他前面；人家没有在的时间、没有占的广告位和自然位，我全都在，甚至更靠前、时长更久、自然位更多。用坑位覆盖的「时间 × 位置」二维密度，去挤压竞争对手的生存空间。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9.5 收录与词根：打标侧写，集中火力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关注关键词的收录情况：收录的数量、每个词的流量大小、详细层级、属性、相关性、以及词频统计。大词往往难以直接打上去，这时可以采用「做词根」的策略——拆解那些词频高的单词，根据词根词频来做「打标侧写」，把火力主要集中在少数几个核心属性和卖点上，而不是平均用力。</w:t>
      </w:r>
    </w:p>
    <w:p>
      <w:pPr>
        <w:pStyle w:val="Heading2"/>
        <w:spacing w:after="120" w:before="220"/>
      </w:pPr>
      <w:r>
        <w:rPr>
          <w:rFonts w:ascii="黑体" w:cs="黑体" w:eastAsia="黑体" w:hAnsi="黑体"/>
          <w:b/>
          <w:bCs/>
          <w:i w:val="false"/>
          <w:iCs w:val="false"/>
          <w:color w:val="C0392B"/>
          <w:sz w:val="24"/>
          <w:szCs w:val="24"/>
        </w:rPr>
        <w:t xml:space="preserve">9.6 属性分析：四大能力自评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最后回到自身，对「新品-精品-品牌-正常价格-广告版」做一次能力体检。这决定了前面所有策略能不能真正落地——四大能力任何一项是短板，都会拖垮整体节奏。</w:t>
      </w:r>
    </w:p>
    <w:p>
      <w:pPr>
        <w:spacing w:after="60"/>
      </w:pP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能力维度</w:t>
            </w:r>
          </w:p>
        </w:tc>
        <w:tc>
          <w:tcPr>
            <w:tcW w:type="dxa" w:w="682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宋体" w:cs="宋体" w:eastAsia="宋体" w:hAnsi="宋体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具体标准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产品力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产品力强；退货率低于类目平均水平；品牌影响力强；价格竞争力强</w:t>
            </w:r>
          </w:p>
        </w:tc>
      </w:tr>
      <w:tr>
        <w:tc>
          <w:tcPr>
            <w:tcW w:type="dxa" w:w="2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Listing 竞争力</w:t>
            </w:r>
          </w:p>
        </w:tc>
        <w:tc>
          <w:tcPr>
            <w:tcW w:type="dxa" w:w="68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获取评价能力强（100 以上）；评分在类目平均以上；文案质量高、Listing 定位能力强；视觉质量优秀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推广能力</w:t>
            </w:r>
          </w:p>
        </w:tc>
        <w:tc>
          <w:tcPr>
            <w:tcW w:type="dxa" w:w="68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站内广告水平强；站外推广能力强；推广意愿强；付费能力强</w:t>
            </w:r>
          </w:p>
        </w:tc>
      </w:tr>
      <w:tr>
        <w:tc>
          <w:tcPr>
            <w:tcW w:type="dxa" w:w="2200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管理能力</w:t>
            </w:r>
          </w:p>
        </w:tc>
        <w:tc>
          <w:tcPr>
            <w:tcW w:type="dxa" w:w="6826"/>
            <w:shd w:fill="F4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激励制度完善；执行能力强；管理水平高</w:t>
            </w:r>
          </w:p>
        </w:tc>
      </w:tr>
    </w:tbl>
    <w:p>
      <w:pPr>
        <w:pStyle w:val="Heading1"/>
        <w:spacing w:after="160" w:before="320"/>
      </w:pPr>
      <w:r>
        <w:rPr>
          <w:rFonts w:ascii="黑体" w:cs="黑体" w:eastAsia="黑体" w:hAnsi="黑体"/>
          <w:b/>
          <w:bCs/>
          <w:i w:val="false"/>
          <w:iCs w:val="false"/>
          <w:color w:val="1F3A5F"/>
          <w:sz w:val="30"/>
          <w:szCs w:val="30"/>
        </w:rPr>
        <w:t xml:space="preserve">结语：广告是买入口，自然单是复利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精品打法的所有动作——分时控盘、阈值止损、坑位博弈、词根侧写——最终都服务于一个目标：把广告买来的流量，沉淀成自然位的权重，让飞轮转起来。</w:t>
      </w:r>
    </w:p>
    <w:p>
      <w:pPr>
        <w:spacing w:after="140" w:before="0" w:line="30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真正的盈亏，不能只看 ACOS，要看 TACOS 和自然单占比 s 的爬升斜率。TACOS = ACOS × (1 − s)：自然单占比越高，每一单的广告成本被摊得越薄。新品期敢出高价、敢超毛利，数学依据正是「等效可承受 CPC = 基础可承受 CPC ÷ (1 − s)」——自然占比拉到 50%，$0.90 的上限就等效放宽到 $1.80。但这一切的前提是自然单真的跟得上；如果 s 长期停在 0~20% 不动，说明广告没有转化成自然权重，加预算只是在租流量，而不是在买资产。</w:t>
      </w:r>
    </w:p>
    <w:p>
      <w:pPr>
        <w:pBdr>
          <w:top w:val="single" w:color="EEF2F7" w:sz="2" w:space="6"/>
          <w:bottom w:val="single" w:color="EEF2F7" w:sz="2" w:space="6"/>
          <w:left w:val="single" w:color="C0392B" w:sz="24" w:space="8"/>
          <w:right w:val="single" w:color="EEF2F7" w:sz="2" w:space="6"/>
        </w:pBdr>
        <w:shd w:fill="EEF2F7" w:val="clear"/>
        <w:spacing w:after="160" w:before="100" w:line="300"/>
        <w:ind w:left="120" w:right="60"/>
        <w:jc w:val="both"/>
      </w:pPr>
      <w:r>
        <w:rPr>
          <w:rFonts w:ascii="宋体" w:cs="宋体" w:eastAsia="宋体" w:hAnsi="宋体"/>
          <w:b w:val="false"/>
          <w:bCs w:val="false"/>
          <w:i w:val="false"/>
          <w:iCs w:val="false"/>
          <w:color w:val="1F3A5F"/>
          <w:sz w:val="21"/>
          <w:szCs w:val="21"/>
        </w:rPr>
        <w:t xml:space="preserve">一句话收尾：精品打法的终点，不是把 ACOS 做好看，而是用最精准的每一分钱，把广告流量变成自然位的资产。烧得准，比烧得多重要得多。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黑体" w:cs="黑体" w:eastAsia="黑体" w:hAnsi="黑体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黑体" w:cs="黑体" w:eastAsia="黑体" w:hAnsi="黑体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亚马逊广告精品打法：分时精细化控盘的思路拆解与实操框架</dc:title>
  <dc:creator>Yangyayun</dc:creator>
  <cp:lastModifiedBy>Un-named</cp:lastModifiedBy>
  <cp:revision>1</cp:revision>
  <dcterms:created xsi:type="dcterms:W3CDTF">2026-08-23T03:44:13.203Z</dcterms:created>
  <dcterms:modified xsi:type="dcterms:W3CDTF">2026-08-23T03:44:13.213Z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