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亚马逊新上线 Benchmarks 功能：直观对比同行 CPC 和 CTR ！还有CPA,CPM, 新客购买率 和品牌新客购买占比 6大核心维度数据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亚马逊新上线 Benchmarks 广告功能：直观对比同行 CPC 和 CTR ！CPA,CPM, 新客购买率 和品牌新客购买占比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亚马逊广告后台近期悄悄上线了 “</w:t>
      </w:r>
      <w:r>
        <w:rPr>
          <w:rFonts w:eastAsia="等线" w:ascii="Arial" w:cs="Arial" w:hAnsi="Arial"/>
          <w:sz w:val="22"/>
          <w:shd w:fill="fff67a"/>
        </w:rPr>
        <w:t>Benchmarks</w:t>
      </w:r>
      <w:r>
        <w:rPr>
          <w:rFonts w:eastAsia="等线" w:ascii="Arial" w:cs="Arial" w:hAnsi="Arial"/>
          <w:sz w:val="22"/>
        </w:rPr>
        <w:t>”（基准）功能，目前主要覆盖 SB 和 SD 广告。解决了过去只能靠第三方软件估算，或是仅能通过自身历史数据做纵向对比的难题，让数据分析有了更客观的横向参照标准。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fa53d"/>
        </w:rPr>
        <w:t>Benchmarks 功能入口在哪里？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登录亚马逊广告控制台后，进入 “活动管理” 页面。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六大核心指标，精准对标行业均值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六大核心指标，精准对标行业均值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以往做广告复盘时，我们最常困惑的就是：</w:t>
      </w:r>
      <w:r>
        <w:rPr>
          <w:rFonts w:eastAsia="等线" w:ascii="Arial" w:cs="Arial" w:hAnsi="Arial"/>
          <w:color w:val="245bdb"/>
          <w:sz w:val="22"/>
        </w:rPr>
        <w:t>“我的 CPC 是不是太高了？” “这个转化率算正常水平吗？”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  <w:shd w:fill="ffe928"/>
        </w:rPr>
        <w:t>Benchmarks 报告通过 “同类目群组” 这一核心概念，给出了明确答案。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卖家可以查看过去 30 天、每周甚至每日的细分数据，重点关注以下六大核心维度：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品牌新客购买占比 (Percent of purchases new-to-brand)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新客购买率 (Purchase rate new-to-brand)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单次点击成本 (CPC)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点击率 (CTR)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单个广告订单获客成本CPA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6425d0"/>
          <w:sz w:val="22"/>
        </w:rPr>
        <w:t>千次曝光成本CPM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 xml:space="preserve">亚马逊上线 Benchmarks 功能：直观对比同行 CPC 和 CTR ！还有CPA,CPM, 新客购买率 和品牌新客购买占比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 xml:space="preserve">6大核心维度数据.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详细解释benchmark每一个指标：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38725" cy="5514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CPC 每点击一次的广告成本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CPA 每一个广告订单的获客成本</w:t>
      </w:r>
      <w:r>
        <w:rPr>
          <w:rFonts w:eastAsia="等线" w:ascii="Arial" w:cs="Arial" w:hAnsi="Arial"/>
          <w:sz w:val="22"/>
        </w:rPr>
        <w:t>（新客户）COST PER PURCHASE(NEW TO BRAND)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CPM 每千次曝光成本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CTR  点击率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品牌新客户购买占比 Percent of Purchases new to brand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新客户购买率  Purchase Rate new to brand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rate new to brand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通过直观的折线图，大家能清晰看到自己的运营曲线与类目基准线的差距：知己知彼百战百胜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e928"/>
        </w:rPr>
        <w:t>举个例子，</w:t>
      </w:r>
      <w:r>
        <w:rPr>
          <w:rFonts w:eastAsia="等线" w:ascii="Arial" w:cs="Arial" w:hAnsi="Arial"/>
          <w:sz w:val="22"/>
          <w:u w:val="single"/>
          <w:shd w:fill="fff67a"/>
        </w:rPr>
        <w:t>如果你的 CPC 是 1.15，而类目基准是 1.68，说明你的流量获取成本比大部分同行都有优势；反之，就得警惕是不是广告溢价设置过高了。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4e83fd"/>
        </w:rPr>
        <w:t xml:space="preserve">CTR 跑输基准线？主图优化该提上日程了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这是亚马逊官方首次给出如此明确的视觉表现数据参考 赶紧去广告后台试一试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CTR 是衡量 Listing 在搜索结果页吸引力的关键指标 —— </w:t>
      </w:r>
      <w:r>
        <w:rPr>
          <w:rFonts w:eastAsia="等线" w:ascii="Arial" w:cs="Arial" w:hAnsi="Arial"/>
          <w:color w:val="245bdb"/>
          <w:sz w:val="22"/>
        </w:rPr>
        <w:t>如果你的 CTR 曲线长期低于类目基准线，在排除流量精准度问题后，大概率是主图缺乏竞争力。或者是广告显示要素不够吸引消费者优化标题，主图，评论评分，价格，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这就为运营优化指明了方向，赶紧对主图进行 A/B 测试或迭代优化，直到 CTR 回升到类目平均水平以上。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需要注意的是，虽然 Benchmarks 提供了权威参考，但卖家在实际应用时，一定要结合自身的推广阶段来解读数据：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● </w:t>
      </w:r>
      <w:r>
        <w:rPr>
          <w:rFonts w:eastAsia="等线" w:ascii="Arial" w:cs="Arial" w:hAnsi="Arial"/>
          <w:b w:val="true"/>
          <w:sz w:val="22"/>
          <w:shd w:fill="ffe928"/>
        </w:rPr>
        <w:t>新品推广期：</w:t>
      </w:r>
      <w:r>
        <w:rPr>
          <w:rFonts w:eastAsia="等线" w:ascii="Arial" w:cs="Arial" w:hAnsi="Arial"/>
          <w:sz w:val="22"/>
        </w:rPr>
        <w:t>为了抢占市场份额、提升自然排名，CPC 略高于基准线通常属于合理的战略性投入，不必过度焦虑；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●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  <w:shd w:fill="ffe928"/>
        </w:rPr>
        <w:t>头部稳定期：</w:t>
      </w:r>
      <w:r>
        <w:rPr>
          <w:rFonts w:eastAsia="等线" w:ascii="Arial" w:cs="Arial" w:hAnsi="Arial"/>
          <w:sz w:val="22"/>
        </w:rPr>
        <w:t>如果你已是类目 Top 级卖家，依托成熟的品牌效应和较高的自然权重，理论上广告花费占比和 CPC 都应低于类目平均水平，这才是健康的运营状态。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Benchmarks 的核心价值，其实是帮卖家判断数据波动的根源：</w:t>
      </w:r>
      <w:r>
        <w:rPr>
          <w:rFonts w:eastAsia="等线" w:ascii="Arial" w:cs="Arial" w:hAnsi="Arial"/>
          <w:sz w:val="22"/>
          <w:u w:val="single"/>
        </w:rPr>
        <w:t>当数据下滑时，到底是整个类目大盘都不景气，还是自身的运营策略出了问题。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e7802"/>
          <w:sz w:val="22"/>
        </w:rPr>
        <w:t>最后建议各位卖家，现在就登录广告后台查看这份基准报告，用官方数据验证一下自己的Listing —— 究竟是在领跑行业，还是得抓紧优化迎头赶上。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如想让listing爆发流量可以看看公众号 先机跨境其他网站网站  博主 微信 [电话已移除]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amzchance.com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亚马逊上线 Benchmarks 功能：直观对比同行 CPC 和 CTR 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先把结论说在前面：</w:t>
      </w:r>
      <w:r>
        <w:rPr>
          <w:rFonts w:eastAsia="等线" w:ascii="Arial" w:cs="Arial" w:hAnsi="Arial"/>
          <w:b w:val="true"/>
          <w:sz w:val="22"/>
        </w:rPr>
        <w:t>Benchmarks = 亚马逊官方给你的“同行对标仪表盘”</w:t>
      </w:r>
      <w:r>
        <w:rPr>
          <w:rFonts w:eastAsia="等线" w:ascii="Arial" w:cs="Arial" w:hAnsi="Arial"/>
          <w:sz w:val="22"/>
        </w:rPr>
        <w:t>，核心作用就是：</w:t>
        <w:br/>
      </w:r>
      <w:r>
        <w:rPr>
          <w:rFonts w:eastAsia="等线" w:ascii="Arial" w:cs="Arial" w:hAnsi="Arial"/>
          <w:sz w:val="22"/>
        </w:rPr>
        <w:t xml:space="preserve"> 不再只跟“过去的自己”比，而是</w:t>
      </w:r>
      <w:r>
        <w:rPr>
          <w:rFonts w:eastAsia="等线" w:ascii="Arial" w:cs="Arial" w:hAnsi="Arial"/>
          <w:b w:val="true"/>
          <w:sz w:val="22"/>
        </w:rPr>
        <w:t>实时知道自己在类目里算好、一般，还是在拖后腿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下面我按“从概念 → 入口 → 指标 → 如何实战用”一条线，事无巨细拆开讲。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亚马逊上线 Benchmarks 功能：直观对比同行 CPC 和 CTR ！还有CPA,CPM, 新客购买率 和品牌新客购买占比  6大核心维度数据.docx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一、Benchmarks 是什么？到底解决了什么痛点？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以前我们做广告复盘，一直有几个经典灵魂拷问：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我的 </w:t>
      </w:r>
      <w:r>
        <w:rPr>
          <w:rFonts w:eastAsia="等线" w:ascii="Arial" w:cs="Arial" w:hAnsi="Arial"/>
          <w:b w:val="true"/>
          <w:sz w:val="22"/>
        </w:rPr>
        <w:t>CPC 1.2 美金</w:t>
      </w:r>
      <w:r>
        <w:rPr>
          <w:rFonts w:eastAsia="等线" w:ascii="Arial" w:cs="Arial" w:hAnsi="Arial"/>
          <w:sz w:val="22"/>
        </w:rPr>
        <w:t>，到底贵不贵？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 看着还可以，但放在类目里，是中游，还是吊车尾？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新客买得多不多，跟同行相比是不是浪费流量？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之前要么靠第三方估算，要么只能纵向看自己历史数据。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Benchmarks（基准）功能</w:t>
      </w:r>
      <w:r>
        <w:rPr>
          <w:rFonts w:eastAsia="等线" w:ascii="Arial" w:cs="Arial" w:hAnsi="Arial"/>
          <w:sz w:val="22"/>
        </w:rPr>
        <w:t>就是：</w:t>
        <w:br/>
      </w:r>
      <w:r>
        <w:rPr>
          <w:rFonts w:eastAsia="等线" w:ascii="Arial" w:cs="Arial" w:hAnsi="Arial"/>
          <w:sz w:val="22"/>
        </w:rPr>
        <w:t xml:space="preserve"> 亚马逊官方把你和“同类目、相似规模的品牌”放在一个 </w:t>
      </w:r>
      <w:r>
        <w:rPr>
          <w:rFonts w:eastAsia="等线" w:ascii="Arial" w:cs="Arial" w:hAnsi="Arial"/>
          <w:b w:val="true"/>
          <w:sz w:val="22"/>
        </w:rPr>
        <w:t>同类目群组（peer brand group）</w:t>
      </w:r>
      <w:r>
        <w:rPr>
          <w:rFonts w:eastAsia="等线" w:ascii="Arial" w:cs="Arial" w:hAnsi="Arial"/>
          <w:sz w:val="22"/>
        </w:rPr>
        <w:t xml:space="preserve"> 里，把大家的真实投放结果算出统计区间，给你一条或多条</w:t>
      </w:r>
      <w:r>
        <w:rPr>
          <w:rFonts w:eastAsia="等线" w:ascii="Arial" w:cs="Arial" w:hAnsi="Arial"/>
          <w:b w:val="true"/>
          <w:sz w:val="22"/>
        </w:rPr>
        <w:t>类目基准线</w:t>
      </w:r>
      <w:r>
        <w:rPr>
          <w:rFonts w:eastAsia="等线" w:ascii="Arial" w:cs="Arial" w:hAnsi="Arial"/>
          <w:sz w:val="22"/>
        </w:rPr>
        <w:t>，你可以按</w:t>
      </w:r>
      <w:r>
        <w:rPr>
          <w:rFonts w:eastAsia="等线" w:ascii="Arial" w:cs="Arial" w:hAnsi="Arial"/>
          <w:b w:val="true"/>
          <w:sz w:val="22"/>
        </w:rPr>
        <w:t>日 / 周 / 月</w:t>
      </w:r>
      <w:r>
        <w:rPr>
          <w:rFonts w:eastAsia="等线" w:ascii="Arial" w:cs="Arial" w:hAnsi="Arial"/>
          <w:sz w:val="22"/>
        </w:rPr>
        <w:t>去对比自己的表现。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2025 年 11 月官方说明里，Benchmarks 已经作为一套自助洞察系统，嵌入 </w:t>
      </w:r>
      <w:r>
        <w:rPr>
          <w:rFonts w:eastAsia="等线" w:ascii="Arial" w:cs="Arial" w:hAnsi="Arial"/>
          <w:b w:val="true"/>
          <w:sz w:val="22"/>
        </w:rPr>
        <w:t>广告控制台的 Campaign Manager、Report Center 以及 API</w:t>
      </w:r>
      <w:r>
        <w:rPr>
          <w:rFonts w:eastAsia="等线" w:ascii="Arial" w:cs="Arial" w:hAnsi="Arial"/>
          <w:sz w:val="22"/>
        </w:rPr>
        <w:t xml:space="preserve">，支持 </w:t>
      </w:r>
      <w:r>
        <w:rPr>
          <w:rFonts w:eastAsia="等线" w:ascii="Arial" w:cs="Arial" w:hAnsi="Arial"/>
          <w:b w:val="true"/>
          <w:sz w:val="22"/>
        </w:rPr>
        <w:t>SP / SB / SD / Sponsored TV / DSP</w:t>
      </w:r>
      <w:r>
        <w:rPr>
          <w:rFonts w:eastAsia="等线" w:ascii="Arial" w:cs="Arial" w:hAnsi="Arial"/>
          <w:sz w:val="22"/>
        </w:rPr>
        <w:t xml:space="preserve"> 等多种广告形式（目前主要在美国站开放，品牌注册卖家和部分广告主可用）。(</w:t>
      </w:r>
      <w:hyperlink r:id="rId21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你可以理解为：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原来的「SB 类目基准下载报告」升级成了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跨广告形式、可视化实时对比的大号版本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。(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Amazon Ads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二、功能入口：Benchmarks 在哪里看？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广告控制台前端入口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一般路径是：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Amazon Ads 广告控制台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等线" w:ascii="Arial" w:cs="Arial" w:hAnsi="Arial"/>
          <w:b w:val="true"/>
          <w:sz w:val="22"/>
        </w:rPr>
        <w:t>Campaign manager（活动管理）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在顶部或侧边找到类似 </w:t>
      </w:r>
      <w:r>
        <w:rPr>
          <w:rFonts w:eastAsia="等线" w:ascii="Arial" w:cs="Arial" w:hAnsi="Arial"/>
          <w:b w:val="true"/>
          <w:sz w:val="22"/>
        </w:rPr>
        <w:t>“Benchmarks / 基准”</w:t>
      </w:r>
      <w:r>
        <w:rPr>
          <w:rFonts w:eastAsia="等线" w:ascii="Arial" w:cs="Arial" w:hAnsi="Arial"/>
          <w:sz w:val="22"/>
        </w:rPr>
        <w:t xml:space="preserve"> 的视图或 tab（界面在不断迭代，可能以图标或子页形式出现）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广告产品：SP / SB / SD / 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时间粒度：按日 / 周 / 月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时间范围：过去 30 天 / 自定义区间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维度：Campaign / Ad group / Category 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面板里会出现：</w:t>
      </w:r>
      <w:r>
        <w:rPr>
          <w:rFonts w:eastAsia="等线" w:ascii="Arial" w:cs="Arial" w:hAnsi="Arial"/>
          <w:b w:val="true"/>
          <w:sz w:val="22"/>
        </w:rPr>
        <w:t>你自己的曲线 + 类目基准线</w:t>
      </w:r>
      <w:r>
        <w:rPr>
          <w:rFonts w:eastAsia="等线" w:ascii="Arial" w:cs="Arial" w:hAnsi="Arial"/>
          <w:sz w:val="22"/>
        </w:rPr>
        <w:t>（有时候包含中位数 / Top quartile 等对比）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你上传的文档里提到，目前后台看到的主要是 </w:t>
      </w:r>
      <w:r>
        <w:rPr>
          <w:rFonts w:eastAsia="等线" w:ascii="Arial" w:cs="Arial" w:hAnsi="Arial"/>
          <w:b w:val="true"/>
          <w:sz w:val="22"/>
        </w:rPr>
        <w:t>SB 和 SD 广告的 Benchmarks 面板</w:t>
      </w:r>
      <w:r>
        <w:rPr>
          <w:rFonts w:eastAsia="等线" w:ascii="Arial" w:cs="Arial" w:hAnsi="Arial"/>
          <w:sz w:val="22"/>
        </w:rPr>
        <w:t>，在活动管理页就可以点进去看：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实际上，随着 2025 年 11 月这波升级，Benchmarks 已经逐步扩展到了更多广告类型和报表中心，可在控制台和 API 中统一访问。(</w:t>
            </w:r>
            <w:r>
              <w:rPr>
                <w:rFonts w:eastAsia="等线" w:ascii="Arial" w:cs="Arial" w:hAnsi="Arial"/>
                <w:color w:val="646a73"/>
                <w:sz w:val="22"/>
              </w:rPr>
              <w:t>Amazon Ads</w:t>
            </w:r>
            <w:r>
              <w:rPr>
                <w:rFonts w:eastAsia="等线" w:ascii="Arial" w:cs="Arial" w:hAnsi="Arial"/>
                <w:color w:val="646a73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报表中心入口（Report Center）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等线" w:ascii="Arial" w:cs="Arial" w:hAnsi="Arial"/>
          <w:b w:val="true"/>
          <w:sz w:val="22"/>
        </w:rPr>
        <w:t>Measurement &amp; Reporting → Create report</w:t>
      </w:r>
      <w:r>
        <w:rPr>
          <w:rFonts w:eastAsia="等线" w:ascii="Arial" w:cs="Arial" w:hAnsi="Arial"/>
          <w:sz w:val="22"/>
        </w:rPr>
        <w:t xml:space="preserve"> 里，你可以新建一些“基准类报表”，典型例子：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Sponsored Brands → 报表类型：</w:t>
      </w:r>
      <w:r>
        <w:rPr>
          <w:rFonts w:eastAsia="等线" w:ascii="Arial" w:cs="Arial" w:hAnsi="Arial"/>
          <w:b w:val="true"/>
          <w:sz w:val="22"/>
        </w:rPr>
        <w:t>Category Benchmark（类目基准报告）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Amazon Ads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Sponsored Ads / DSP → 新增 Benchmarks 报表类型（例如 crossProgramBenchmarks, dspBenchmarks），通过 Offline Reporting API 拉取。(</w:t>
      </w:r>
      <w:r>
        <w:rPr>
          <w:rFonts w:eastAsia="等线" w:ascii="Arial" w:cs="Arial" w:hAnsi="Arial"/>
          <w:sz w:val="22"/>
        </w:rPr>
        <w:t>Amazon Ads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这样你就可以把 Benchmarks 数据拉到 Excel / BI 里做更深度分析。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三、核心底层逻辑：同类目群组 &amp; 统计方式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同类目群组（Peer Brand Group）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系统不是简单按“粗类目”来算，而是用一套算法，把你与</w:t>
      </w:r>
      <w:r>
        <w:rPr>
          <w:rFonts w:eastAsia="等线" w:ascii="Arial" w:cs="Arial" w:hAnsi="Arial"/>
          <w:b w:val="true"/>
          <w:sz w:val="22"/>
        </w:rPr>
        <w:t>同类目、相似广告目标 / 出价 / 流量规模</w:t>
      </w:r>
      <w:r>
        <w:rPr>
          <w:rFonts w:eastAsia="等线" w:ascii="Arial" w:cs="Arial" w:hAnsi="Arial"/>
          <w:sz w:val="22"/>
        </w:rPr>
        <w:t>的品牌聚在一起做对比。官方的说法是：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通过“更精细的同类品牌匹配”和透明的方法论，提供每个品牌在所在类目里的表现区间。(</w:t>
            </w:r>
            <w:r>
              <w:rPr>
                <w:rFonts w:eastAsia="等线" w:ascii="Arial" w:cs="Arial" w:hAnsi="Arial"/>
                <w:color w:val="646a73"/>
                <w:sz w:val="22"/>
              </w:rPr>
              <w:t>Amazon Ads</w:t>
            </w:r>
            <w:r>
              <w:rPr>
                <w:rFonts w:eastAsia="等线" w:ascii="Arial" w:cs="Arial" w:hAnsi="Arial"/>
                <w:color w:val="646a73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不是对标单个竞品，而是</w:t>
      </w:r>
      <w:r>
        <w:rPr>
          <w:rFonts w:eastAsia="等线" w:ascii="Arial" w:cs="Arial" w:hAnsi="Arial"/>
          <w:b w:val="true"/>
          <w:sz w:val="22"/>
        </w:rPr>
        <w:t>一篮子同行</w:t>
      </w:r>
      <w:r>
        <w:rPr>
          <w:rFonts w:eastAsia="等线" w:ascii="Arial" w:cs="Arial" w:hAnsi="Arial"/>
          <w:sz w:val="22"/>
        </w:rPr>
        <w:t>的综合统计；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保护隐私：你看不到对手是谁，只能看到“行业中位数 / 四分位区间”等；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当你的数据量太小（曝光 / 点击太少）时，Benchmarks 可能不显示或不稳定，因为没有足够样本。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时间粒度与窗口</w:t>
      </w:r>
      <w:bookmarkEnd w:id="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 </w:t>
      </w:r>
      <w:r>
        <w:rPr>
          <w:rFonts w:eastAsia="等线" w:ascii="Arial" w:cs="Arial" w:hAnsi="Arial"/>
          <w:b w:val="true"/>
          <w:sz w:val="22"/>
        </w:rPr>
        <w:t>Daily / Weekly / Monthly</w:t>
      </w:r>
      <w:r>
        <w:rPr>
          <w:rFonts w:eastAsia="等线" w:ascii="Arial" w:cs="Arial" w:hAnsi="Arial"/>
          <w:sz w:val="22"/>
        </w:rPr>
        <w:t xml:space="preserve"> 粒度；你可以按日看短期波动，按周或月看趋势。(</w:t>
      </w:r>
      <w:hyperlink r:id="rId24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一些具体报表（如 SB 的 Category Benchmark 报告）有 </w:t>
      </w:r>
      <w:r>
        <w:rPr>
          <w:rFonts w:eastAsia="等线" w:ascii="Arial" w:cs="Arial" w:hAnsi="Arial"/>
          <w:b w:val="true"/>
          <w:sz w:val="22"/>
        </w:rPr>
        <w:t>最长 90 天回溯窗口</w:t>
      </w:r>
      <w:r>
        <w:rPr>
          <w:rFonts w:eastAsia="等线" w:ascii="Arial" w:cs="Arial" w:hAnsi="Arial"/>
          <w:sz w:val="22"/>
        </w:rPr>
        <w:t xml:space="preserve"> 的限制。(</w:t>
      </w:r>
      <w:hyperlink r:id="rId25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四、六大核心指标：逐个拆解 + 如何用来对标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你文档里总结的是 </w:t>
      </w:r>
      <w:r>
        <w:rPr>
          <w:rFonts w:eastAsia="等线" w:ascii="Arial" w:cs="Arial" w:hAnsi="Arial"/>
          <w:b w:val="true"/>
          <w:sz w:val="22"/>
        </w:rPr>
        <w:t>6 个核心维度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 – Cost Per Click 单次点击成本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 – Click-Through Rate 点击率（注意：这里是“点击率”，不是转化率）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CPA – Cost Per Purchase (New-to-brand) 单个广告订单获客成本（尤其关注品牌新客）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CPM – Cost Per Mille 千次曝光成本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Purchase rate new-to-brand – 新客购买率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Percent of purchases new-to-brand – 品牌新客购买占比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再配合普通订单数、ROAS/ACOS 等指标，就构成了完整的“广告效率 + 品牌拉新”视角。新客相关指标的正式定义可以在 Amazon Ads 新客度量文档里查到：</w:t>
      </w:r>
      <w:r>
        <w:rPr>
          <w:rFonts w:eastAsia="等线" w:ascii="Arial" w:cs="Arial" w:hAnsi="Arial"/>
          <w:b w:val="true"/>
          <w:sz w:val="22"/>
        </w:rPr>
        <w:t>“新客订单数 / 总订单数”等</w:t>
      </w:r>
      <w:r>
        <w:rPr>
          <w:rFonts w:eastAsia="等线" w:ascii="Arial" w:cs="Arial" w:hAnsi="Arial"/>
          <w:sz w:val="22"/>
        </w:rPr>
        <w:t>。(</w:t>
      </w:r>
      <w:r>
        <w:rPr>
          <w:rFonts w:eastAsia="等线" w:ascii="Arial" w:cs="Arial" w:hAnsi="Arial"/>
          <w:sz w:val="22"/>
        </w:rPr>
        <w:t>Amazon Ads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下面我一个个拆，并结合“相对基准线高/低，意味着什么 &amp; 落地动作”。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CPC：每次点击成本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广告总花费 ÷ 点击次数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如何利用 Benchmarks：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CPC &lt; 类目基准线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可能含义：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出价策略更精细，或者你的商品 / 品牌有较高相关性，平台给的质量分更高；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也可能是你抢的都是“偏长尾 / 辅助词”，整体流量单价较低。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运营动作：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对比 CTR、CVR（转化率）、ACOS，如果这些也不错，说明你在“低成本高质量流量”；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 CPC 很低但 CTR、CVR 一般甚至偏低，说明你可能只是在捡“便宜但不太精准”的流量。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CPC &gt; 类目基准线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新品推广期：略高是正常的“买排名 / 抢坑位”策略；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稳定期：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出价偏激进 / keyword 结构不够优化；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或者在重度竞争词上挤得太狠，导致 Bid 一路抬高。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运营动作：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按词级别拆，筛出 CPC 远高于类目基准又没产出的词，降价或否定；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适度向长尾转移预算，用 Benchmarks 盯住整体 CPC 是否回落到合理区间。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CTR：点击率 （不是转化率）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点击次数 ÷ 展示次数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Benchmarks 里的作用：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CTR 是衡量 </w:t>
      </w:r>
      <w:r>
        <w:rPr>
          <w:rFonts w:eastAsia="等线" w:ascii="Arial" w:cs="Arial" w:hAnsi="Arial"/>
          <w:b w:val="true"/>
          <w:sz w:val="22"/>
        </w:rPr>
        <w:t>广告位 + 主图 / 文案</w:t>
      </w:r>
      <w:r>
        <w:rPr>
          <w:rFonts w:eastAsia="等线" w:ascii="Arial" w:cs="Arial" w:hAnsi="Arial"/>
          <w:sz w:val="22"/>
        </w:rPr>
        <w:t xml:space="preserve"> 吸引力的直观指标；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Benchmarks 把你的 CTR 曲线和类目平均线放在一张折线图上，你能一眼看到：你是</w:t>
      </w:r>
      <w:r>
        <w:rPr>
          <w:rFonts w:eastAsia="等线" w:ascii="Arial" w:cs="Arial" w:hAnsi="Arial"/>
          <w:b w:val="true"/>
          <w:sz w:val="22"/>
        </w:rPr>
        <w:t>抬头的小尖峰，还是趴在下面的一条线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几种典型情况：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CPC ≈ 基准，CTR &lt; 基准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说明竞争环境差不多，但你“点击能力”明显不足，通常是：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主图不够突出类目卖点；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标题 &amp; 价格组合在搜索页里没有竞争力；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 / A+ 没有好好用（SB/SD）。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运营动作：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把 CTR 当成“主图评分”，必须做 </w:t>
      </w: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调整主图构图：加场景、加差异化元素、加清晰卖点 icon；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重点观察：主图/标题变更后，CTR 是否有明显向类目基准线靠拢或超过。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 &gt; 基准，但 ACOS / ROAS 不好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说明你很能“勾人点”，但</w:t>
      </w:r>
      <w:r>
        <w:rPr>
          <w:rFonts w:eastAsia="等线" w:ascii="Arial" w:cs="Arial" w:hAnsi="Arial"/>
          <w:b w:val="true"/>
          <w:sz w:val="22"/>
        </w:rPr>
        <w:t>转化不行 / 价格不行 / 页面说服力不够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运营动作：集中优化详情页、价格、Coupon、评论结构等。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CPA：单个广告订单获客成本（尤其是新客）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广告花费 ÷ 订单数（或新客订单数）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在一些 Benchmarks 面板里，会特别强调 </w:t>
      </w:r>
      <w:r>
        <w:rPr>
          <w:rFonts w:eastAsia="等线" w:ascii="Arial" w:cs="Arial" w:hAnsi="Arial"/>
          <w:b w:val="true"/>
          <w:sz w:val="22"/>
        </w:rPr>
        <w:t>Cost per purchase (new-to-brand)</w:t>
      </w:r>
      <w:r>
        <w:rPr>
          <w:rFonts w:eastAsia="等线" w:ascii="Arial" w:cs="Arial" w:hAnsi="Arial"/>
          <w:sz w:val="22"/>
        </w:rPr>
        <w:t>，也就是</w:t>
      </w:r>
      <w:r>
        <w:rPr>
          <w:rFonts w:eastAsia="等线" w:ascii="Arial" w:cs="Arial" w:hAnsi="Arial"/>
          <w:b w:val="true"/>
          <w:sz w:val="22"/>
        </w:rPr>
        <w:t>拿新客的成本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CPA（新客） &gt; 类目基准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买一个新客比同行贵，常见原因：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目标人群不精准（SB / SD 定向太宽）；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商品价格或评星在类目中没有优势，需要更大促销力度才能成交；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着陆页承接（多产品页 / Brand Store）不清晰，用户进来后迷路。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动作：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检查定向：减少无关兴趣 / 类目扩展，收紧到更高意向人群；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 NTB 视角做 campaign 划分：针对新客的预算与复购预算拆开看；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 landing：把热门爆品 / 入门款前置，提高首次成交率。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CPA（新客） &lt; 类目基准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说明你在</w:t>
      </w:r>
      <w:r>
        <w:rPr>
          <w:rFonts w:eastAsia="等线" w:ascii="Arial" w:cs="Arial" w:hAnsi="Arial"/>
          <w:b w:val="true"/>
          <w:sz w:val="22"/>
        </w:rPr>
        <w:t>同样的钱里，换来的新客更多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 NTB 占比也高（下面两项会说），说明你的品牌拉新效率优于同行，可考虑：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稳步加预算，扩大品牌池；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用 Benchmarks 做“拉新天花板”的评估。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CPM：千次曝光成本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广告花费 ÷ (曝光数 ÷ 1000)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CPM 更多用于看</w:t>
      </w:r>
      <w:r>
        <w:rPr>
          <w:rFonts w:eastAsia="等线" w:ascii="Arial" w:cs="Arial" w:hAnsi="Arial"/>
          <w:b w:val="true"/>
          <w:sz w:val="22"/>
        </w:rPr>
        <w:t>你买“眼球”的成本”</w:t>
      </w:r>
      <w:r>
        <w:rPr>
          <w:rFonts w:eastAsia="等线" w:ascii="Arial" w:cs="Arial" w:hAnsi="Arial"/>
          <w:sz w:val="22"/>
        </w:rPr>
        <w:t>，对 SB / SD / Sponsored TV 尤其重要。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CPM &gt; 基准，但 CTR 正常甚至偏低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表现为：你为每 1000 次曝光付出更高的钱，但这些曝光并没有被有效点击；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可能意味着：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抢位姿势太猛（特别是顶部资源位）；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或者广告受众覆盖过宽，把很多低意向人群都打了进来。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CPM &lt; 基准，但 CTR 明显高于基准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这是“投放效率黄金状态”：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说明你以较低成本抢到不错的曝光位，而且这些曝光被充分利用；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可以考虑加预算，让这个策略覆盖更多的流量空间。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Purchase rate new-to-brand：新客购买率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核心含义：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在所有被你“触达 / 点击”的用户中，有多大比例最终以**“新客身份”下单**；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可以看作“广告流量转变为品牌新客户的效率”。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 Benchmarks：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你的新客购买率 &lt; 类目基准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同样的钱，别人吸引来的新客更多；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原因可能是：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你的产品更偏复购 / 替换型，类目里别人更容易吸纳首次购买者；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或者品牌记忆度弱，用户看完广告没把你当“第一个尝试的品牌”。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动作：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 SB / SD 里强调“适合首次购买人群”的卖点（如易安装、新手友好、全套配件、超长质保等）；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优先针对“从未购买过你品牌”的受众做专门 campaign（例如 Brand Store 引导、Prime 折扣等）。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你的新客购买率 &gt; 基准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说明你特别擅长“第一次拉人进坑”，非常适合：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做品牌池放大（广撒网拿新客）；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然后用 Subscribe &amp; Save / remarketing 做复购。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10. </w:t>
      </w:r>
      <w:r>
        <w:rPr>
          <w:rFonts w:eastAsia="等线" w:ascii="Arial" w:cs="Arial" w:hAnsi="Arial"/>
          <w:b w:val="true"/>
          <w:sz w:val="30"/>
        </w:rPr>
        <w:t>Percent of purchases new-to-brand：品牌新客购买占比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新客订单数 ÷ 总订单数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这是典型的 new-to-brand 指标之一，Amazon 在官方文档中专门归类为 “NTB Metrics”，用于 Sponsored Brands / Display 等。(Amazon Ads)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新客占比 &lt; 类目基准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说明你更多在“喂养老客”，但在增量市场上的竞争力不足；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适合做：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老品降本 + 提利润</w:t>
      </w:r>
      <w:r>
        <w:rPr>
          <w:rFonts w:eastAsia="等线" w:ascii="Arial" w:cs="Arial" w:hAnsi="Arial"/>
          <w:sz w:val="22"/>
        </w:rPr>
        <w:t xml:space="preserve"> 的打法（因为复购多）；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同时尝试打开新客入口（例如新品组合、入门价套装）。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新客占比 &gt; 类目基准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说明你是类目里的“拉新机器”：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要关注的是：这些新客的 LTV（终身价值）如何；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后端是否有足够产品和服务把他们留住。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运营动作：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把 Benchmarks 当作“拉新效率监控屏”，确保在加预算的时候，新客比例仍保持优势；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结合 Brand Metrics / Repeat Purchase 报表，测算整体品牌 ROI。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五、如何用 Benchmarks 做完整广告复盘？（操作流程示例）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 Benchmarks 固化成每周 / 每月的“标准复盘动作”。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 1：选时间 &amp; 粒度</w:t>
      </w:r>
      <w:bookmarkEnd w:id="15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新品期：建议用 </w:t>
      </w:r>
      <w:r>
        <w:rPr>
          <w:rFonts w:eastAsia="等线" w:ascii="Arial" w:cs="Arial" w:hAnsi="Arial"/>
          <w:b w:val="true"/>
          <w:sz w:val="22"/>
        </w:rPr>
        <w:t>Daily + 最近 30 天</w:t>
      </w:r>
      <w:r>
        <w:rPr>
          <w:rFonts w:eastAsia="等线" w:ascii="Arial" w:cs="Arial" w:hAnsi="Arial"/>
          <w:sz w:val="22"/>
        </w:rPr>
        <w:t>，盯短期波动；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稳定期：用 </w:t>
      </w:r>
      <w:r>
        <w:rPr>
          <w:rFonts w:eastAsia="等线" w:ascii="Arial" w:cs="Arial" w:hAnsi="Arial"/>
          <w:b w:val="true"/>
          <w:sz w:val="22"/>
        </w:rPr>
        <w:t>Weekly / Monthly</w:t>
      </w:r>
      <w:r>
        <w:rPr>
          <w:rFonts w:eastAsia="等线" w:ascii="Arial" w:cs="Arial" w:hAnsi="Arial"/>
          <w:sz w:val="22"/>
        </w:rPr>
        <w:t>，看趋势即可。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步骤 2：选广告类型 &amp; 目标</w:t>
      </w:r>
      <w:bookmarkEnd w:id="16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分别看：SP / SB / SD（以及可能的 Sponsored TV / DSP）；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对每一类，先关注：</w:t>
      </w:r>
      <w:r>
        <w:rPr>
          <w:rFonts w:eastAsia="等线" w:ascii="Arial" w:cs="Arial" w:hAnsi="Arial"/>
          <w:b w:val="true"/>
          <w:sz w:val="22"/>
        </w:rPr>
        <w:t>CPC / CTR / CPA / CPM</w:t>
      </w:r>
      <w:r>
        <w:rPr>
          <w:rFonts w:eastAsia="等线" w:ascii="Arial" w:cs="Arial" w:hAnsi="Arial"/>
          <w:sz w:val="22"/>
        </w:rPr>
        <w:t xml:space="preserve">，再看 </w:t>
      </w:r>
      <w:r>
        <w:rPr>
          <w:rFonts w:eastAsia="等线" w:ascii="Arial" w:cs="Arial" w:hAnsi="Arial"/>
          <w:b w:val="true"/>
          <w:sz w:val="22"/>
        </w:rPr>
        <w:t>NTB 相关指标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步骤 3：在折线图里看“你 vs 类目”差距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以你文档中的例子：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 CPC = 1.15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类目基准 CPC = 1.68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这种情况说明：</w:t>
      </w:r>
      <w:r>
        <w:rPr>
          <w:rFonts w:eastAsia="等线" w:ascii="Arial" w:cs="Arial" w:hAnsi="Arial"/>
          <w:b w:val="true"/>
          <w:sz w:val="22"/>
        </w:rPr>
        <w:t>你当前获取流量的成本比大多数同行更有优势</w:t>
      </w:r>
      <w:r>
        <w:rPr>
          <w:rFonts w:eastAsia="等线" w:ascii="Arial" w:cs="Arial" w:hAnsi="Arial"/>
          <w:sz w:val="22"/>
        </w:rPr>
        <w:t>，除非转化很差，否则没必要盲目杀价。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类似地，如果你看到：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 长期低于基准：主图 / 标题 / 价格 / Review 结构有问题，需要优先优化视觉 &amp; USP；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CPA、新客购买率、新客占比都差：说明不仅“点的人少”，来了也不买 / 不留，需要从产品竞争力和品牌定位整体检视。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步骤 4：分阶段解读（非常关键）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你的文档里强调了一个很实用的点：Benchmarks 一定要结合</w:t>
      </w:r>
      <w:r>
        <w:rPr>
          <w:rFonts w:eastAsia="等线" w:ascii="Arial" w:cs="Arial" w:hAnsi="Arial"/>
          <w:b w:val="true"/>
          <w:sz w:val="22"/>
        </w:rPr>
        <w:t>推广阶段</w:t>
      </w:r>
      <w:r>
        <w:rPr>
          <w:rFonts w:eastAsia="等线" w:ascii="Arial" w:cs="Arial" w:hAnsi="Arial"/>
          <w:sz w:val="22"/>
        </w:rPr>
        <w:t>来看。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新品推广期：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 略高于类目基准是正常的“投资换坑位”；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更重要是 CTR 是否能快速接近或超过类目线、CPA 是否在可接受区间；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核心是“用可控的高成本，换未来自然流量和类目话语权”。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头部稳定期：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理想状态：</w:t>
      </w:r>
      <w:r>
        <w:rPr>
          <w:rFonts w:eastAsia="等线" w:ascii="Arial" w:cs="Arial" w:hAnsi="Arial"/>
          <w:b w:val="true"/>
          <w:sz w:val="22"/>
        </w:rPr>
        <w:t>CPC、CPM 低于类目基准，CTR、高新客率优于基准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说明你已经“凭品牌和口碑占坑”，不需要跟中小卖家一样拼命抬价；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一旦发现 CPC &gt; 基准、CTR 反而低，就要警惕“头部地位被后来者侵蚀”。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 5：判断是“大盘问题”还是“自己问题”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Benchmarks 的“灵魂用途”：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 CTR / CPC / CPA 都变差，同时</w:t>
      </w:r>
      <w:r>
        <w:rPr>
          <w:rFonts w:eastAsia="等线" w:ascii="Arial" w:cs="Arial" w:hAnsi="Arial"/>
          <w:b w:val="true"/>
          <w:sz w:val="22"/>
        </w:rPr>
        <w:t>类目基准线也一起往差的方向走</w:t>
      </w:r>
      <w:r>
        <w:rPr>
          <w:rFonts w:eastAsia="等线" w:ascii="Arial" w:cs="Arial" w:hAnsi="Arial"/>
          <w:sz w:val="22"/>
        </w:rPr>
        <w:t>，那说明是整个类目大盘不好（旺季过了、需求下行）；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如果只有你变差，基准线反而往好的方向走，那就是：</w:t>
      </w:r>
      <w:r>
        <w:rPr>
          <w:rFonts w:eastAsia="等线" w:ascii="Arial" w:cs="Arial" w:hAnsi="Arial"/>
          <w:b w:val="true"/>
          <w:sz w:val="22"/>
        </w:rPr>
        <w:t>同行在进步，而你在原地踏步甚至往后退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六、和老的 Category Benchmark 报告有什么区别？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早期的 </w:t>
      </w:r>
      <w:r>
        <w:rPr>
          <w:rFonts w:eastAsia="等线" w:ascii="Arial" w:cs="Arial" w:hAnsi="Arial"/>
          <w:b w:val="true"/>
          <w:sz w:val="22"/>
        </w:rPr>
        <w:t>Sponsored Brands Category Benchmark Report</w:t>
      </w:r>
      <w:r>
        <w:rPr>
          <w:rFonts w:eastAsia="等线" w:ascii="Arial" w:cs="Arial" w:hAnsi="Arial"/>
          <w:sz w:val="22"/>
        </w:rPr>
        <w:t>（SB CBR）是一个</w:t>
      </w:r>
      <w:r>
        <w:rPr>
          <w:rFonts w:eastAsia="等线" w:ascii="Arial" w:cs="Arial" w:hAnsi="Arial"/>
          <w:b w:val="true"/>
          <w:sz w:val="22"/>
        </w:rPr>
        <w:t>可下载报表</w:t>
      </w:r>
      <w:r>
        <w:rPr>
          <w:rFonts w:eastAsia="等线" w:ascii="Arial" w:cs="Arial" w:hAnsi="Arial"/>
          <w:sz w:val="22"/>
        </w:rPr>
        <w:t>，提供：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Impressions / CTR / ACOS / ROAS 的 </w:t>
      </w:r>
      <w:r>
        <w:rPr>
          <w:rFonts w:eastAsia="等线" w:ascii="Arial" w:cs="Arial" w:hAnsi="Arial"/>
          <w:b w:val="true"/>
          <w:sz w:val="22"/>
        </w:rPr>
        <w:t>中位数、Top 25%、Bottom 25%</w:t>
      </w:r>
      <w:r>
        <w:rPr>
          <w:rFonts w:eastAsia="等线" w:ascii="Arial" w:cs="Arial" w:hAnsi="Arial"/>
          <w:sz w:val="22"/>
        </w:rPr>
        <w:t xml:space="preserve"> 等分位信息；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让你知道自己在 SB 广告中处于哪一档水平。(</w:t>
      </w:r>
      <w:hyperlink r:id="rId26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现在的 </w:t>
      </w:r>
      <w:r>
        <w:rPr>
          <w:rFonts w:eastAsia="等线" w:ascii="Arial" w:cs="Arial" w:hAnsi="Arial"/>
          <w:b w:val="true"/>
          <w:sz w:val="22"/>
        </w:rPr>
        <w:t>Benchmarks 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广告类型更全</w:t>
      </w:r>
      <w:r>
        <w:rPr>
          <w:rFonts w:eastAsia="等线" w:ascii="Arial" w:cs="Arial" w:hAnsi="Arial"/>
          <w:sz w:val="22"/>
        </w:rPr>
        <w:t>：不仅是 SB，逐步扩展至 SP / SD / Sponsored TV / DSP；(</w:t>
      </w:r>
      <w:hyperlink r:id="rId27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体验更可视化</w:t>
      </w:r>
      <w:r>
        <w:rPr>
          <w:rFonts w:eastAsia="等线" w:ascii="Arial" w:cs="Arial" w:hAnsi="Arial"/>
          <w:sz w:val="22"/>
        </w:rPr>
        <w:t>：直接在 Campaign Manager 里通过折线图对比，不用只看表格；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集成到工作流</w:t>
      </w:r>
      <w:r>
        <w:rPr>
          <w:rFonts w:eastAsia="等线" w:ascii="Arial" w:cs="Arial" w:hAnsi="Arial"/>
          <w:sz w:val="22"/>
        </w:rPr>
        <w:t>：在创建 / 调整 Campaign 时即可看到行业基准，用来指导出价和预算决策；(</w:t>
      </w:r>
      <w:hyperlink r:id="rId28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支持</w:t>
      </w:r>
      <w:r>
        <w:rPr>
          <w:rFonts w:eastAsia="等线" w:ascii="Arial" w:cs="Arial" w:hAnsi="Arial"/>
          <w:sz w:val="22"/>
        </w:rPr>
        <w:t>：可以通过 Reporting API 定期拉 Benchmarks 数据，接入你自己的 BI 系统。(</w:t>
      </w:r>
      <w:hyperlink r:id="rId29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你可以把它理解为：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CBR = “下载版基准表格”，而现在的 Benchmarks = “全广告类型、实时可视化 + API 的完整对标体系”。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七、使用 Benchmarks 时的几个注意点 / 限制</w:t>
      </w:r>
      <w:bookmarkEnd w:id="21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地区限制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最新一批功能首先在 </w:t>
      </w:r>
      <w:r>
        <w:rPr>
          <w:rFonts w:eastAsia="等线" w:ascii="Arial" w:cs="Arial" w:hAnsi="Arial"/>
          <w:b w:val="true"/>
          <w:sz w:val="22"/>
        </w:rPr>
        <w:t>美国市场（US）</w:t>
      </w:r>
      <w:r>
        <w:rPr>
          <w:rFonts w:eastAsia="等线" w:ascii="Arial" w:cs="Arial" w:hAnsi="Arial"/>
          <w:sz w:val="22"/>
        </w:rPr>
        <w:t xml:space="preserve"> 上线；其他站点要看后续节奏。(</w:t>
      </w:r>
      <w:hyperlink r:id="rId30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账号资格限制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一般要求：</w:t>
      </w:r>
    </w:p>
    <w:p>
      <w:pPr>
        <w:numPr>
          <w:numId w:val="1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品牌注册的品牌方 / 代理；</w:t>
      </w:r>
    </w:p>
    <w:p>
      <w:pPr>
        <w:numPr>
          <w:numId w:val="1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或符合条件的“内生广告主 / Endemic advertisers”。(</w:t>
      </w:r>
      <w:hyperlink r:id="rId31">
        <w:r>
          <w:rPr>
            <w:rFonts w:eastAsia="等线" w:ascii="Arial" w:cs="Arial" w:hAnsi="Arial"/>
            <w:color w:val="3370ff"/>
            <w:sz w:val="22"/>
          </w:rPr>
          <w:t>Amazon Ads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样本量问题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如果你的 Campaign 曝光 / 点击量特别低，Benchmarks 数据会：</w:t>
      </w:r>
    </w:p>
    <w:p>
      <w:pPr>
        <w:numPr>
          <w:numId w:val="1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要么不显示；</w:t>
      </w:r>
    </w:p>
    <w:p>
      <w:pPr>
        <w:numPr>
          <w:numId w:val="1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要么波动极大（统计上不稳定）；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所以 Benchmarks 更适合看 </w:t>
      </w:r>
      <w:r>
        <w:rPr>
          <w:rFonts w:eastAsia="等线" w:ascii="Arial" w:cs="Arial" w:hAnsi="Arial"/>
          <w:b w:val="true"/>
          <w:sz w:val="22"/>
        </w:rPr>
        <w:t>整体或中大体量 Campaign / 类目层级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误读风险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不能只看 </w:t>
      </w:r>
      <w:r>
        <w:rPr>
          <w:rFonts w:eastAsia="等线" w:ascii="Arial" w:cs="Arial" w:hAnsi="Arial"/>
          <w:b w:val="true"/>
          <w:sz w:val="22"/>
        </w:rPr>
        <w:t>CPC 高低</w:t>
      </w:r>
      <w:r>
        <w:rPr>
          <w:rFonts w:eastAsia="等线" w:ascii="Arial" w:cs="Arial" w:hAnsi="Arial"/>
          <w:sz w:val="22"/>
        </w:rPr>
        <w:t xml:space="preserve"> 就判断好坏；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也不能只看 CTR，而忽略 CVR/ACOS/利润；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新品期不要硬要求所有指标都优于类目平均，否则你可能根本抢不到初始流量。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数据延迟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和大多数广告报表一样，Benchmarks 指标也有一定延迟（通常 1–2 天），不要拿 D0 的数据做 D0 当天的极端操作。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八、给你的一套落地用法建议（快速上手版）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如果你现在已经在美国站投 SB / SD / SP，可以按这个顺序来用 Benchmarks：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锁定 1–2 个主推 ASIN 的主力 Campaign</w:t>
      </w:r>
      <w:r>
        <w:rPr>
          <w:rFonts w:eastAsia="等线" w:ascii="Arial" w:cs="Arial" w:hAnsi="Arial"/>
          <w:sz w:val="22"/>
        </w:rPr>
        <w:t>，先看：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CPC 相对基准是高还是低？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CTR 是否长期低于基准？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新客购买率 / 新客占比是否输给行业？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先解决 CTR vs 基准的问题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CTR 明显落后 → 直接安排主图 / 标题 / 价格 / Review 结构的 A/B 测试；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 1–2 周观察 CTR 曲线是否“爬上来”，至少追平基准线。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再用 CPA / NTB 指标判断“钱花得值不值”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CPA（新客）明显高于基准 → 检查定向与着陆页；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新客占比持续低于基准 → 考虑把这条线偏向“老客复购 / 利润最大化”，拉新交给其他更擅长拉新的品/Campaign。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最后用 Benchmarks 看“整体策略是否健康”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稳定期目标：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CPC/CPM </w:t>
      </w:r>
      <w:r>
        <w:rPr>
          <w:rFonts w:eastAsia="等线" w:ascii="Arial" w:cs="Arial" w:hAnsi="Arial"/>
          <w:b w:val="true"/>
          <w:sz w:val="22"/>
        </w:rPr>
        <w:t>略低于</w:t>
      </w:r>
      <w:r>
        <w:rPr>
          <w:rFonts w:eastAsia="等线" w:ascii="Arial" w:cs="Arial" w:hAnsi="Arial"/>
          <w:sz w:val="22"/>
        </w:rPr>
        <w:t xml:space="preserve"> 基准；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CTR、NTB 指标 </w:t>
      </w:r>
      <w:r>
        <w:rPr>
          <w:rFonts w:eastAsia="等线" w:ascii="Arial" w:cs="Arial" w:hAnsi="Arial"/>
          <w:b w:val="true"/>
          <w:sz w:val="22"/>
        </w:rPr>
        <w:t>高于</w:t>
      </w:r>
      <w:r>
        <w:rPr>
          <w:rFonts w:eastAsia="等线" w:ascii="Arial" w:cs="Arial" w:hAnsi="Arial"/>
          <w:sz w:val="22"/>
        </w:rPr>
        <w:t xml:space="preserve"> 基准；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新品期目标：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接受 CPC 偏高，但要求 CTR 不低于基准，CPA 在预算可控范围内。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</w:t>
      </w:r>
      <w:r>
        <w:rPr>
          <w:rFonts w:eastAsia="等线" w:ascii="Arial" w:cs="Arial" w:hAnsi="Arial"/>
          <w:b w:val="true"/>
          <w:sz w:val="22"/>
        </w:rPr>
        <w:t>某个品类/ASIN，设计一套“基于 Benchmarks 的复盘模板”（Excel 字段 + 看板结构）</w:t>
      </w:r>
      <w:r>
        <w:rPr>
          <w:rFonts w:eastAsia="等线" w:ascii="Arial" w:cs="Arial" w:hAnsi="Arial"/>
          <w:sz w:val="22"/>
        </w:rPr>
        <w:t>，直接用来每周/每月复盘，把这些对标动作固化到你的运营 SOP 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详细解释亚马逊新上线的benchmarks功能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以下是关于亚马逊新上线的 </w:t>
      </w:r>
      <w:r>
        <w:rPr>
          <w:rFonts w:eastAsia="等线" w:ascii="Arial" w:cs="Arial" w:hAnsi="Arial"/>
          <w:b w:val="true"/>
          <w:sz w:val="22"/>
        </w:rPr>
        <w:t>Benchmarks（基准）</w:t>
      </w:r>
      <w:r>
        <w:rPr>
          <w:rFonts w:eastAsia="等线" w:ascii="Arial" w:cs="Arial" w:hAnsi="Arial"/>
          <w:sz w:val="22"/>
        </w:rPr>
        <w:t xml:space="preserve"> 功能的详细解读。这是一个非常有价值的数据分析工具，帮助卖家打破“数据孤岛”，实现与行业同行的横向对比。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11. </w:t>
      </w:r>
      <w:r>
        <w:rPr>
          <w:rFonts w:eastAsia="等线" w:ascii="Arial" w:cs="Arial" w:hAnsi="Arial"/>
          <w:b w:val="true"/>
          <w:sz w:val="30"/>
        </w:rPr>
        <w:t>什么是 Benchmarks（基准）功能？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核心定义：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Benchmarks 是亚马逊广告后台推出的一个数据对比工具，允许卖家将自己的广告表现与**同类目（Peer Group）**的平均水平进行直观对比。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覆盖范围：</w:t>
      </w:r>
      <w:r>
        <w:rPr>
          <w:rFonts w:eastAsia="等线" w:ascii="Arial" w:cs="Arial" w:hAnsi="Arial"/>
          <w:sz w:val="22"/>
        </w:rPr>
        <w:t xml:space="preserve"> 目前主要覆盖 </w:t>
      </w:r>
      <w:r>
        <w:rPr>
          <w:rFonts w:eastAsia="等线" w:ascii="Arial" w:cs="Arial" w:hAnsi="Arial"/>
          <w:b w:val="true"/>
          <w:sz w:val="22"/>
        </w:rPr>
        <w:t>Sponsored Brands (SB，品牌推广)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Sponsored Display (SD，展示型推广)</w:t>
      </w:r>
      <w:r>
        <w:rPr>
          <w:rFonts w:eastAsia="等线" w:ascii="Arial" w:cs="Arial" w:hAnsi="Arial"/>
          <w:sz w:val="22"/>
        </w:rPr>
        <w:t xml:space="preserve"> 广告。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解决痛点：</w:t>
      </w:r>
      <w:r>
        <w:rPr>
          <w:rFonts w:eastAsia="等线" w:ascii="Arial" w:cs="Arial" w:hAnsi="Arial"/>
          <w:sz w:val="22"/>
        </w:rPr>
        <w:t xml:space="preserve"> 以前卖家只能看自己的历史数据（纵向对比），不知道自己的数据在行业里算好还是坏。现在有了官方的行业基准线（横向对比）。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12. </w:t>
      </w:r>
      <w:r>
        <w:rPr>
          <w:rFonts w:eastAsia="等线" w:ascii="Arial" w:cs="Arial" w:hAnsi="Arial"/>
          <w:b w:val="true"/>
          <w:sz w:val="30"/>
        </w:rPr>
        <w:t>功能入口</w:t>
      </w:r>
      <w:bookmarkEnd w:id="24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登录亚马逊广告控制台（Amazon Ads Console）。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等线" w:ascii="Arial" w:cs="Arial" w:hAnsi="Arial"/>
          <w:b w:val="true"/>
          <w:sz w:val="22"/>
        </w:rPr>
        <w:t>“活动管理” (Campaign Management/Manager)</w:t>
      </w:r>
      <w:r>
        <w:rPr>
          <w:rFonts w:eastAsia="等线" w:ascii="Arial" w:cs="Arial" w:hAnsi="Arial"/>
          <w:sz w:val="22"/>
        </w:rPr>
        <w:t xml:space="preserve"> 页面即可查看。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13. </w:t>
      </w:r>
      <w:r>
        <w:rPr>
          <w:rFonts w:eastAsia="等线" w:ascii="Arial" w:cs="Arial" w:hAnsi="Arial"/>
          <w:b w:val="true"/>
          <w:sz w:val="30"/>
        </w:rPr>
        <w:t>六大核心对比维度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该功能提供了6个关键指标的行业平均值对比，分为</w:t>
      </w:r>
      <w:r>
        <w:rPr>
          <w:rFonts w:eastAsia="等线" w:ascii="Arial" w:cs="Arial" w:hAnsi="Arial"/>
          <w:b w:val="true"/>
          <w:sz w:val="22"/>
        </w:rPr>
        <w:t>成本/流量指标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新客指标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A. 流量与成本指标</w:t>
      </w:r>
      <w:bookmarkEnd w:id="26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CPC (单次点击成本)：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作用：</w:t>
      </w:r>
      <w:r>
        <w:rPr>
          <w:rFonts w:eastAsia="等线" w:ascii="Arial" w:cs="Arial" w:hAnsi="Arial"/>
          <w:sz w:val="22"/>
        </w:rPr>
        <w:t xml:space="preserve"> 判断你的流量获取成本是贵了还是便宜了。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CTR (点击率)：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文档中原文提及“CTR 转化率”，但在亚马逊术语中 CTR 指的是 Click-Through Rate（点击率）。文档后文提到“主图优化”，这也证实了此处指的确实是</w:t>
      </w:r>
      <w:r>
        <w:rPr>
          <w:rFonts w:eastAsia="等线" w:ascii="Arial" w:cs="Arial" w:hAnsi="Arial"/>
          <w:b w:val="true"/>
          <w:sz w:val="22"/>
        </w:rPr>
        <w:t>点击率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作用：</w:t>
      </w:r>
      <w:r>
        <w:rPr>
          <w:rFonts w:eastAsia="等线" w:ascii="Arial" w:cs="Arial" w:hAnsi="Arial"/>
          <w:sz w:val="22"/>
        </w:rPr>
        <w:t xml:space="preserve"> 衡量广告素材（主图、标题）在搜索结果页的吸引力。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CPM (千次曝光成本)：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作用：</w:t>
      </w:r>
      <w:r>
        <w:rPr>
          <w:rFonts w:eastAsia="等线" w:ascii="Arial" w:cs="Arial" w:hAnsi="Arial"/>
          <w:sz w:val="22"/>
        </w:rPr>
        <w:t xml:space="preserve"> 衡量展示型广告的曝光成本。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B. 转化与新客指标 (New-To-Brand, NTB)</w:t>
      </w:r>
      <w:bookmarkEnd w:id="27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CPA (单个广告订单获客成本 - 新客)：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文档特别指出是 </w:t>
      </w:r>
      <w:r>
        <w:rPr>
          <w:rFonts w:eastAsia="等线" w:ascii="Arial" w:cs="Arial" w:hAnsi="Arial"/>
          <w:i w:val="true"/>
          <w:sz w:val="22"/>
        </w:rPr>
        <w:t>Cost Per Purchase (New-To-Brand)</w:t>
      </w:r>
      <w:r>
        <w:rPr>
          <w:rFonts w:eastAsia="等线" w:ascii="Arial" w:cs="Arial" w:hAnsi="Arial"/>
          <w:sz w:val="22"/>
        </w:rPr>
        <w:t>，即获取一个</w:t>
      </w:r>
      <w:r>
        <w:rPr>
          <w:rFonts w:eastAsia="等线" w:ascii="Arial" w:cs="Arial" w:hAnsi="Arial"/>
          <w:b w:val="true"/>
          <w:sz w:val="22"/>
        </w:rPr>
        <w:t>品牌新客户</w:t>
      </w:r>
      <w:r>
        <w:rPr>
          <w:rFonts w:eastAsia="等线" w:ascii="Arial" w:cs="Arial" w:hAnsi="Arial"/>
          <w:sz w:val="22"/>
        </w:rPr>
        <w:t>所需的广告成本。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品牌新客购买占比 (Percent of purchases new-to-brand)：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作用：</w:t>
      </w:r>
      <w:r>
        <w:rPr>
          <w:rFonts w:eastAsia="等线" w:ascii="Arial" w:cs="Arial" w:hAnsi="Arial"/>
          <w:sz w:val="22"/>
        </w:rPr>
        <w:t xml:space="preserve"> 衡量订单中有多少比例来自于从未买过你品牌的新客户。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新客购买率 (Purchase rate new-to-brand)：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作用：</w:t>
      </w:r>
      <w:r>
        <w:rPr>
          <w:rFonts w:eastAsia="等线" w:ascii="Arial" w:cs="Arial" w:hAnsi="Arial"/>
          <w:sz w:val="22"/>
        </w:rPr>
        <w:t xml:space="preserve"> 衡量新客户点击广告后的转化效率。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14. </w:t>
      </w:r>
      <w:r>
        <w:rPr>
          <w:rFonts w:eastAsia="等线" w:ascii="Arial" w:cs="Arial" w:hAnsi="Arial"/>
          <w:b w:val="true"/>
          <w:sz w:val="30"/>
        </w:rPr>
        <w:t>数据如何解读与实战应用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该功能会通过</w:t>
      </w:r>
      <w:r>
        <w:rPr>
          <w:rFonts w:eastAsia="等线" w:ascii="Arial" w:cs="Arial" w:hAnsi="Arial"/>
          <w:b w:val="true"/>
          <w:sz w:val="22"/>
        </w:rPr>
        <w:t>折线图</w:t>
      </w:r>
      <w:r>
        <w:rPr>
          <w:rFonts w:eastAsia="等线" w:ascii="Arial" w:cs="Arial" w:hAnsi="Arial"/>
          <w:sz w:val="22"/>
        </w:rPr>
        <w:t>展示两条线：一条是</w:t>
      </w:r>
      <w:r>
        <w:rPr>
          <w:rFonts w:eastAsia="等线" w:ascii="Arial" w:cs="Arial" w:hAnsi="Arial"/>
          <w:b w:val="true"/>
          <w:sz w:val="22"/>
        </w:rPr>
        <w:t>你的数据</w:t>
      </w:r>
      <w:r>
        <w:rPr>
          <w:rFonts w:eastAsia="等线" w:ascii="Arial" w:cs="Arial" w:hAnsi="Arial"/>
          <w:sz w:val="22"/>
        </w:rPr>
        <w:t>，一条是</w:t>
      </w:r>
      <w:r>
        <w:rPr>
          <w:rFonts w:eastAsia="等线" w:ascii="Arial" w:cs="Arial" w:hAnsi="Arial"/>
          <w:b w:val="true"/>
          <w:sz w:val="22"/>
        </w:rPr>
        <w:t>类目基准线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场景一：CPC 对比（成本控制）</w:t>
      </w:r>
      <w:bookmarkEnd w:id="29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CPC &lt; 基准线（例：1.15 vs 1.68）：</w:t>
      </w:r>
      <w:r>
        <w:rPr>
          <w:rFonts w:eastAsia="等线" w:ascii="Arial" w:cs="Arial" w:hAnsi="Arial"/>
          <w:sz w:val="22"/>
        </w:rPr>
        <w:t xml:space="preserve"> 说明你的流量成本比同行低，具有成本优势。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CPC &gt; 基准线：</w:t>
      </w:r>
      <w:r>
        <w:rPr>
          <w:rFonts w:eastAsia="等线" w:ascii="Arial" w:cs="Arial" w:hAnsi="Arial"/>
          <w:sz w:val="22"/>
        </w:rPr>
        <w:t xml:space="preserve"> 说明你的出价可能过高，或者同行在降价。需要警惕广告溢价过高，压缩了利润空间。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场景二：CTR 对比（素材优化）</w:t>
      </w:r>
      <w:bookmarkEnd w:id="30"/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 CTR &lt; 基准线：</w:t>
      </w:r>
      <w:r>
        <w:rPr>
          <w:rFonts w:eastAsia="等线" w:ascii="Arial" w:cs="Arial" w:hAnsi="Arial"/>
          <w:sz w:val="22"/>
        </w:rPr>
        <w:t xml:space="preserve"> 这是一个非常明确的信号。如果排除了流量不精准的问题，长期跑输基准线通常意味着**主图（Main Image）**缺乏竞争力。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行动建议：</w:t>
      </w:r>
      <w:r>
        <w:rPr>
          <w:rFonts w:eastAsia="等线" w:ascii="Arial" w:cs="Arial" w:hAnsi="Arial"/>
          <w:sz w:val="22"/>
        </w:rPr>
        <w:t xml:space="preserve"> 立即对主图进行 A/B 测试或迭代优化，直到 CTR 回升至及格线以上。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场景三：判断数据下滑根源（甩锅神器）</w:t>
      </w:r>
      <w:bookmarkEnd w:id="31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数据双双下滑：</w:t>
      </w:r>
      <w:r>
        <w:rPr>
          <w:rFonts w:eastAsia="等线" w:ascii="Arial" w:cs="Arial" w:hAnsi="Arial"/>
          <w:sz w:val="22"/>
        </w:rPr>
        <w:t xml:space="preserve"> 如果你的数据在跌，基准线也在跌，说明是**整个大盘（类目淡季/市场不景气）**的问题，非人力可抗，不必过度焦虑。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你跌基准涨（或平）：</w:t>
      </w:r>
      <w:r>
        <w:rPr>
          <w:rFonts w:eastAsia="等线" w:ascii="Arial" w:cs="Arial" w:hAnsi="Arial"/>
          <w:sz w:val="22"/>
        </w:rPr>
        <w:t xml:space="preserve"> 说明大盘没问题，是</w:t>
      </w:r>
      <w:r>
        <w:rPr>
          <w:rFonts w:eastAsia="等线" w:ascii="Arial" w:cs="Arial" w:hAnsi="Arial"/>
          <w:b w:val="true"/>
          <w:sz w:val="22"/>
        </w:rPr>
        <w:t>你自己的运营策略</w:t>
      </w:r>
      <w:r>
        <w:rPr>
          <w:rFonts w:eastAsia="等线" w:ascii="Arial" w:cs="Arial" w:hAnsi="Arial"/>
          <w:sz w:val="22"/>
        </w:rPr>
        <w:t>出了问题，需要立即自查。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color w:val="3370ff"/>
          <w:sz w:val="30"/>
        </w:rPr>
        <w:t xml:space="preserve">15. </w:t>
      </w:r>
      <w:r>
        <w:rPr>
          <w:rFonts w:eastAsia="等线" w:ascii="Arial" w:cs="Arial" w:hAnsi="Arial"/>
          <w:b w:val="true"/>
          <w:sz w:val="30"/>
        </w:rPr>
        <w:t>运营阶段的差异化解读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文档特别强调，不能盲目追求“优于基准”，要结合产品生命周期：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新品推广期：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策略：</w:t>
      </w:r>
      <w:r>
        <w:rPr>
          <w:rFonts w:eastAsia="等线" w:ascii="Arial" w:cs="Arial" w:hAnsi="Arial"/>
          <w:sz w:val="22"/>
        </w:rPr>
        <w:t xml:space="preserve"> 为了抢占市场和排名，</w:t>
      </w:r>
      <w:r>
        <w:rPr>
          <w:rFonts w:eastAsia="等线" w:ascii="Arial" w:cs="Arial" w:hAnsi="Arial"/>
          <w:b w:val="true"/>
          <w:sz w:val="22"/>
        </w:rPr>
        <w:t>CPC 略高于基准线</w:t>
      </w:r>
      <w:r>
        <w:rPr>
          <w:rFonts w:eastAsia="等线" w:ascii="Arial" w:cs="Arial" w:hAnsi="Arial"/>
          <w:sz w:val="22"/>
        </w:rPr>
        <w:t>是合理的战略性投入（花钱买流量）。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头部稳定期：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策略：</w:t>
      </w:r>
      <w:r>
        <w:rPr>
          <w:rFonts w:eastAsia="等线" w:ascii="Arial" w:cs="Arial" w:hAnsi="Arial"/>
          <w:sz w:val="22"/>
        </w:rPr>
        <w:t xml:space="preserve"> 如果你是 Top 级卖家，拥有品牌效应和高自然权重，你的</w:t>
      </w:r>
      <w:r>
        <w:rPr>
          <w:rFonts w:eastAsia="等线" w:ascii="Arial" w:cs="Arial" w:hAnsi="Arial"/>
          <w:b w:val="true"/>
          <w:sz w:val="22"/>
        </w:rPr>
        <w:t>广告花费占比和 CPC 理论上应该低于类目平均水平</w:t>
      </w:r>
      <w:r>
        <w:rPr>
          <w:rFonts w:eastAsia="等线" w:ascii="Arial" w:cs="Arial" w:hAnsi="Arial"/>
          <w:sz w:val="22"/>
        </w:rPr>
        <w:t>，这才是健康的。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总结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亚马逊 Benchmarks 功能通过提供官方的“行业及格线”，让卖家从“盲人摸象”转变为“精准对标”。建议卖家立即去后台查看这六大维度，特别是 </w:t>
      </w:r>
      <w:r>
        <w:rPr>
          <w:rFonts w:eastAsia="等线" w:ascii="Arial" w:cs="Arial" w:hAnsi="Arial"/>
          <w:b w:val="true"/>
          <w:sz w:val="22"/>
        </w:rPr>
        <w:t>CPC（看钱花得值不值）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CTR（看图做得好不好）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亚马逊新上线 Benchmarks 功能：直观对比同行 CPC 和 CTR ！还有CPA,CPM, 新客购买率 和品牌新客购买占比 6大核心维度数据</w:t>
      </w:r>
    </w:p>
    <w:sectPr>
      <w:footerReference w:type="default" r:id="rId3"/>
      <w:headerReference w:type="default" r:id="rId3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5295">
    <w:lvl>
      <w:start w:val="1"/>
      <w:numFmt w:val="decimal"/>
      <w:suff w:val="tab"/>
      <w:lvlText w:val="%1."/>
      <w:rPr>
        <w:color w:val="3370ff"/>
      </w:rPr>
    </w:lvl>
  </w:abstractNum>
  <w:abstractNum w:abstractNumId="405296">
    <w:lvl>
      <w:start w:val="2"/>
      <w:numFmt w:val="decimal"/>
      <w:suff w:val="tab"/>
      <w:lvlText w:val="%1."/>
      <w:rPr>
        <w:color w:val="3370ff"/>
      </w:rPr>
    </w:lvl>
  </w:abstractNum>
  <w:abstractNum w:abstractNumId="405297">
    <w:lvl>
      <w:start w:val="3"/>
      <w:numFmt w:val="decimal"/>
      <w:suff w:val="tab"/>
      <w:lvlText w:val="%1."/>
      <w:rPr>
        <w:color w:val="3370ff"/>
      </w:rPr>
    </w:lvl>
  </w:abstractNum>
  <w:abstractNum w:abstractNumId="405298">
    <w:lvl>
      <w:start w:val="4"/>
      <w:numFmt w:val="decimal"/>
      <w:suff w:val="tab"/>
      <w:lvlText w:val="%1."/>
      <w:rPr>
        <w:color w:val="3370ff"/>
      </w:rPr>
    </w:lvl>
  </w:abstractNum>
  <w:abstractNum w:abstractNumId="405299">
    <w:lvl>
      <w:start w:val="5"/>
      <w:numFmt w:val="decimal"/>
      <w:suff w:val="tab"/>
      <w:lvlText w:val="%1."/>
      <w:rPr>
        <w:color w:val="3370ff"/>
      </w:rPr>
    </w:lvl>
  </w:abstractNum>
  <w:abstractNum w:abstractNumId="405300">
    <w:lvl>
      <w:start w:val="6"/>
      <w:numFmt w:val="decimal"/>
      <w:suff w:val="tab"/>
      <w:lvlText w:val="%1."/>
      <w:rPr>
        <w:color w:val="3370ff"/>
      </w:rPr>
    </w:lvl>
  </w:abstractNum>
  <w:abstractNum w:abstractNumId="405301">
    <w:lvl>
      <w:numFmt w:val="bullet"/>
      <w:suff w:val="tab"/>
      <w:lvlText w:val="•"/>
      <w:rPr>
        <w:color w:val="3370ff"/>
      </w:rPr>
    </w:lvl>
  </w:abstractNum>
  <w:abstractNum w:abstractNumId="405302">
    <w:lvl>
      <w:numFmt w:val="bullet"/>
      <w:suff w:val="tab"/>
      <w:lvlText w:val="•"/>
      <w:rPr>
        <w:color w:val="3370ff"/>
      </w:rPr>
    </w:lvl>
  </w:abstractNum>
  <w:abstractNum w:abstractNumId="405303">
    <w:lvl>
      <w:numFmt w:val="bullet"/>
      <w:suff w:val="tab"/>
      <w:lvlText w:val="•"/>
      <w:rPr>
        <w:color w:val="3370ff"/>
      </w:rPr>
    </w:lvl>
  </w:abstractNum>
  <w:abstractNum w:abstractNumId="405304">
    <w:lvl>
      <w:start w:val="1"/>
      <w:numFmt w:val="decimal"/>
      <w:suff w:val="tab"/>
      <w:lvlText w:val="%1."/>
      <w:rPr>
        <w:color w:val="3370ff"/>
      </w:rPr>
    </w:lvl>
  </w:abstractNum>
  <w:abstractNum w:abstractNumId="405305">
    <w:lvl>
      <w:start w:val="2"/>
      <w:numFmt w:val="decimal"/>
      <w:suff w:val="tab"/>
      <w:lvlText w:val="%1."/>
      <w:rPr>
        <w:color w:val="3370ff"/>
      </w:rPr>
    </w:lvl>
  </w:abstractNum>
  <w:abstractNum w:abstractNumId="405306">
    <w:lvl>
      <w:start w:val="3"/>
      <w:numFmt w:val="decimal"/>
      <w:suff w:val="tab"/>
      <w:lvlText w:val="%1."/>
      <w:rPr>
        <w:color w:val="3370ff"/>
      </w:rPr>
    </w:lvl>
  </w:abstractNum>
  <w:abstractNum w:abstractNumId="405307">
    <w:lvl>
      <w:start w:val="4"/>
      <w:numFmt w:val="decimal"/>
      <w:suff w:val="tab"/>
      <w:lvlText w:val="%1."/>
      <w:rPr>
        <w:color w:val="3370ff"/>
      </w:rPr>
    </w:lvl>
  </w:abstractNum>
  <w:abstractNum w:abstractNumId="405308">
    <w:lvl>
      <w:numFmt w:val="bullet"/>
      <w:suff w:val="tab"/>
      <w:lvlText w:val="￮"/>
      <w:rPr>
        <w:color w:val="3370ff"/>
      </w:rPr>
    </w:lvl>
  </w:abstractNum>
  <w:abstractNum w:abstractNumId="405309">
    <w:lvl>
      <w:numFmt w:val="bullet"/>
      <w:suff w:val="tab"/>
      <w:lvlText w:val="￮"/>
      <w:rPr>
        <w:color w:val="3370ff"/>
      </w:rPr>
    </w:lvl>
  </w:abstractNum>
  <w:abstractNum w:abstractNumId="405310">
    <w:lvl>
      <w:numFmt w:val="bullet"/>
      <w:suff w:val="tab"/>
      <w:lvlText w:val="￮"/>
      <w:rPr>
        <w:color w:val="3370ff"/>
      </w:rPr>
    </w:lvl>
  </w:abstractNum>
  <w:abstractNum w:abstractNumId="405311">
    <w:lvl>
      <w:numFmt w:val="bullet"/>
      <w:suff w:val="tab"/>
      <w:lvlText w:val="￮"/>
      <w:rPr>
        <w:color w:val="3370ff"/>
      </w:rPr>
    </w:lvl>
  </w:abstractNum>
  <w:abstractNum w:abstractNumId="405312">
    <w:lvl>
      <w:start w:val="5"/>
      <w:numFmt w:val="decimal"/>
      <w:suff w:val="tab"/>
      <w:lvlText w:val="%1."/>
      <w:rPr>
        <w:color w:val="3370ff"/>
      </w:rPr>
    </w:lvl>
  </w:abstractNum>
  <w:abstractNum w:abstractNumId="405313">
    <w:lvl>
      <w:numFmt w:val="bullet"/>
      <w:suff w:val="tab"/>
      <w:lvlText w:val="•"/>
      <w:rPr>
        <w:color w:val="3370ff"/>
      </w:rPr>
    </w:lvl>
  </w:abstractNum>
  <w:abstractNum w:abstractNumId="405314">
    <w:lvl>
      <w:numFmt w:val="bullet"/>
      <w:suff w:val="tab"/>
      <w:lvlText w:val="•"/>
      <w:rPr>
        <w:color w:val="3370ff"/>
      </w:rPr>
    </w:lvl>
  </w:abstractNum>
  <w:abstractNum w:abstractNumId="405315">
    <w:lvl>
      <w:numFmt w:val="bullet"/>
      <w:suff w:val="tab"/>
      <w:lvlText w:val="•"/>
      <w:rPr>
        <w:color w:val="3370ff"/>
      </w:rPr>
    </w:lvl>
  </w:abstractNum>
  <w:abstractNum w:abstractNumId="405316">
    <w:lvl>
      <w:numFmt w:val="bullet"/>
      <w:suff w:val="tab"/>
      <w:lvlText w:val="•"/>
      <w:rPr>
        <w:color w:val="3370ff"/>
      </w:rPr>
    </w:lvl>
  </w:abstractNum>
  <w:abstractNum w:abstractNumId="405317">
    <w:lvl>
      <w:numFmt w:val="bullet"/>
      <w:suff w:val="tab"/>
      <w:lvlText w:val="•"/>
      <w:rPr>
        <w:color w:val="3370ff"/>
      </w:rPr>
    </w:lvl>
  </w:abstractNum>
  <w:abstractNum w:abstractNumId="405318">
    <w:lvl>
      <w:numFmt w:val="bullet"/>
      <w:suff w:val="tab"/>
      <w:lvlText w:val="•"/>
      <w:rPr>
        <w:color w:val="3370ff"/>
      </w:rPr>
    </w:lvl>
  </w:abstractNum>
  <w:abstractNum w:abstractNumId="405319">
    <w:lvl>
      <w:numFmt w:val="bullet"/>
      <w:suff w:val="tab"/>
      <w:lvlText w:val="•"/>
      <w:rPr>
        <w:color w:val="3370ff"/>
      </w:rPr>
    </w:lvl>
  </w:abstractNum>
  <w:abstractNum w:abstractNumId="405320">
    <w:lvl>
      <w:start w:val="1"/>
      <w:numFmt w:val="decimal"/>
      <w:suff w:val="tab"/>
      <w:lvlText w:val="%1."/>
      <w:rPr>
        <w:color w:val="3370ff"/>
      </w:rPr>
    </w:lvl>
  </w:abstractNum>
  <w:abstractNum w:abstractNumId="405321">
    <w:lvl>
      <w:start w:val="2"/>
      <w:numFmt w:val="decimal"/>
      <w:suff w:val="tab"/>
      <w:lvlText w:val="%1."/>
      <w:rPr>
        <w:color w:val="3370ff"/>
      </w:rPr>
    </w:lvl>
  </w:abstractNum>
  <w:abstractNum w:abstractNumId="405322">
    <w:lvl>
      <w:start w:val="3"/>
      <w:numFmt w:val="decimal"/>
      <w:suff w:val="tab"/>
      <w:lvlText w:val="%1."/>
      <w:rPr>
        <w:color w:val="3370ff"/>
      </w:rPr>
    </w:lvl>
  </w:abstractNum>
  <w:abstractNum w:abstractNumId="405323">
    <w:lvl>
      <w:start w:val="4"/>
      <w:numFmt w:val="decimal"/>
      <w:suff w:val="tab"/>
      <w:lvlText w:val="%1."/>
      <w:rPr>
        <w:color w:val="3370ff"/>
      </w:rPr>
    </w:lvl>
  </w:abstractNum>
  <w:abstractNum w:abstractNumId="405324">
    <w:lvl>
      <w:start w:val="5"/>
      <w:numFmt w:val="decimal"/>
      <w:suff w:val="tab"/>
      <w:lvlText w:val="%1."/>
      <w:rPr>
        <w:color w:val="3370ff"/>
      </w:rPr>
    </w:lvl>
  </w:abstractNum>
  <w:abstractNum w:abstractNumId="405325">
    <w:lvl>
      <w:start w:val="6"/>
      <w:numFmt w:val="decimal"/>
      <w:suff w:val="tab"/>
      <w:lvlText w:val="%1."/>
      <w:rPr>
        <w:color w:val="3370ff"/>
      </w:rPr>
    </w:lvl>
  </w:abstractNum>
  <w:abstractNum w:abstractNumId="405326">
    <w:lvl>
      <w:numFmt w:val="bullet"/>
      <w:suff w:val="tab"/>
      <w:lvlText w:val="•"/>
      <w:rPr>
        <w:color w:val="3370ff"/>
      </w:rPr>
    </w:lvl>
  </w:abstractNum>
  <w:abstractNum w:abstractNumId="405327">
    <w:lvl>
      <w:numFmt w:val="bullet"/>
      <w:suff w:val="tab"/>
      <w:lvlText w:val="￮"/>
      <w:rPr>
        <w:color w:val="3370ff"/>
      </w:rPr>
    </w:lvl>
  </w:abstractNum>
  <w:abstractNum w:abstractNumId="405328">
    <w:lvl>
      <w:numFmt w:val="bullet"/>
      <w:suff w:val="tab"/>
      <w:lvlText w:val="▪"/>
      <w:rPr>
        <w:color w:val="3370ff"/>
        <w:sz w:val="11"/>
      </w:rPr>
    </w:lvl>
  </w:abstractNum>
  <w:abstractNum w:abstractNumId="405329">
    <w:lvl>
      <w:numFmt w:val="bullet"/>
      <w:suff w:val="tab"/>
      <w:lvlText w:val="▪"/>
      <w:rPr>
        <w:color w:val="3370ff"/>
        <w:sz w:val="11"/>
      </w:rPr>
    </w:lvl>
  </w:abstractNum>
  <w:abstractNum w:abstractNumId="405330">
    <w:lvl>
      <w:numFmt w:val="bullet"/>
      <w:suff w:val="tab"/>
      <w:lvlText w:val="￮"/>
      <w:rPr>
        <w:color w:val="3370ff"/>
      </w:rPr>
    </w:lvl>
  </w:abstractNum>
  <w:abstractNum w:abstractNumId="405331">
    <w:lvl>
      <w:numFmt w:val="bullet"/>
      <w:suff w:val="tab"/>
      <w:lvlText w:val="▪"/>
      <w:rPr>
        <w:color w:val="3370ff"/>
        <w:sz w:val="11"/>
      </w:rPr>
    </w:lvl>
  </w:abstractNum>
  <w:abstractNum w:abstractNumId="405332">
    <w:lvl>
      <w:numFmt w:val="bullet"/>
      <w:suff w:val="tab"/>
      <w:lvlText w:val="▪"/>
      <w:rPr>
        <w:color w:val="3370ff"/>
        <w:sz w:val="11"/>
      </w:rPr>
    </w:lvl>
  </w:abstractNum>
  <w:abstractNum w:abstractNumId="405333">
    <w:lvl>
      <w:numFmt w:val="bullet"/>
      <w:suff w:val="tab"/>
      <w:lvlText w:val="•"/>
      <w:rPr>
        <w:color w:val="3370ff"/>
      </w:rPr>
    </w:lvl>
  </w:abstractNum>
  <w:abstractNum w:abstractNumId="405334">
    <w:lvl>
      <w:numFmt w:val="bullet"/>
      <w:suff w:val="tab"/>
      <w:lvlText w:val="￮"/>
      <w:rPr>
        <w:color w:val="3370ff"/>
      </w:rPr>
    </w:lvl>
  </w:abstractNum>
  <w:abstractNum w:abstractNumId="405335">
    <w:lvl>
      <w:numFmt w:val="bullet"/>
      <w:suff w:val="tab"/>
      <w:lvlText w:val="￮"/>
      <w:rPr>
        <w:color w:val="3370ff"/>
      </w:rPr>
    </w:lvl>
  </w:abstractNum>
  <w:abstractNum w:abstractNumId="405336">
    <w:lvl>
      <w:numFmt w:val="bullet"/>
      <w:suff w:val="tab"/>
      <w:lvlText w:val="▪"/>
      <w:rPr>
        <w:color w:val="3370ff"/>
        <w:sz w:val="11"/>
      </w:rPr>
    </w:lvl>
  </w:abstractNum>
  <w:abstractNum w:abstractNumId="405337">
    <w:lvl>
      <w:numFmt w:val="bullet"/>
      <w:suff w:val="tab"/>
      <w:lvlText w:val="▪"/>
      <w:rPr>
        <w:color w:val="3370ff"/>
        <w:sz w:val="11"/>
      </w:rPr>
    </w:lvl>
  </w:abstractNum>
  <w:abstractNum w:abstractNumId="405338">
    <w:lvl>
      <w:numFmt w:val="bullet"/>
      <w:suff w:val="tab"/>
      <w:lvlText w:val="￮"/>
      <w:rPr>
        <w:color w:val="3370ff"/>
      </w:rPr>
    </w:lvl>
  </w:abstractNum>
  <w:abstractNum w:abstractNumId="405339">
    <w:lvl>
      <w:numFmt w:val="bullet"/>
      <w:suff w:val="tab"/>
      <w:lvlText w:val="▪"/>
      <w:rPr>
        <w:color w:val="3370ff"/>
        <w:sz w:val="11"/>
      </w:rPr>
    </w:lvl>
  </w:abstractNum>
  <w:abstractNum w:abstractNumId="405340">
    <w:lvl>
      <w:numFmt w:val="bullet"/>
      <w:suff w:val="tab"/>
      <w:lvlText w:val="▪"/>
      <w:rPr>
        <w:color w:val="3370ff"/>
        <w:sz w:val="11"/>
      </w:rPr>
    </w:lvl>
  </w:abstractNum>
  <w:abstractNum w:abstractNumId="405341">
    <w:lvl>
      <w:numFmt w:val="bullet"/>
      <w:suff w:val="tab"/>
      <w:lvlText w:val="•"/>
      <w:rPr>
        <w:color w:val="3370ff"/>
      </w:rPr>
    </w:lvl>
  </w:abstractNum>
  <w:abstractNum w:abstractNumId="405342">
    <w:lvl>
      <w:numFmt w:val="bullet"/>
      <w:suff w:val="tab"/>
      <w:lvlText w:val="•"/>
      <w:rPr>
        <w:color w:val="3370ff"/>
      </w:rPr>
    </w:lvl>
  </w:abstractNum>
  <w:abstractNum w:abstractNumId="405343">
    <w:lvl>
      <w:numFmt w:val="bullet"/>
      <w:suff w:val="tab"/>
      <w:lvlText w:val="•"/>
      <w:rPr>
        <w:color w:val="3370ff"/>
      </w:rPr>
    </w:lvl>
  </w:abstractNum>
  <w:abstractNum w:abstractNumId="405344">
    <w:lvl>
      <w:numFmt w:val="bullet"/>
      <w:suff w:val="tab"/>
      <w:lvlText w:val="￮"/>
      <w:rPr>
        <w:color w:val="3370ff"/>
      </w:rPr>
    </w:lvl>
  </w:abstractNum>
  <w:abstractNum w:abstractNumId="405345">
    <w:lvl>
      <w:numFmt w:val="bullet"/>
      <w:suff w:val="tab"/>
      <w:lvlText w:val="▪"/>
      <w:rPr>
        <w:color w:val="3370ff"/>
        <w:sz w:val="11"/>
      </w:rPr>
    </w:lvl>
  </w:abstractNum>
  <w:abstractNum w:abstractNumId="405346">
    <w:lvl>
      <w:numFmt w:val="bullet"/>
      <w:suff w:val="tab"/>
      <w:lvlText w:val="▪"/>
      <w:rPr>
        <w:color w:val="3370ff"/>
        <w:sz w:val="11"/>
      </w:rPr>
    </w:lvl>
  </w:abstractNum>
  <w:abstractNum w:abstractNumId="405347">
    <w:lvl>
      <w:numFmt w:val="bullet"/>
      <w:suff w:val="tab"/>
      <w:lvlText w:val="▪"/>
      <w:rPr>
        <w:color w:val="3370ff"/>
        <w:sz w:val="11"/>
      </w:rPr>
    </w:lvl>
  </w:abstractNum>
  <w:abstractNum w:abstractNumId="405348">
    <w:lvl>
      <w:numFmt w:val="bullet"/>
      <w:suff w:val="tab"/>
      <w:lvlText w:val="￮"/>
      <w:rPr>
        <w:color w:val="3370ff"/>
      </w:rPr>
    </w:lvl>
  </w:abstractNum>
  <w:abstractNum w:abstractNumId="405349">
    <w:lvl>
      <w:numFmt w:val="bullet"/>
      <w:suff w:val="tab"/>
      <w:lvlText w:val="▪"/>
      <w:rPr>
        <w:color w:val="3370ff"/>
        <w:sz w:val="11"/>
      </w:rPr>
    </w:lvl>
  </w:abstractNum>
  <w:abstractNum w:abstractNumId="405350">
    <w:lvl>
      <w:numFmt w:val="bullet"/>
      <w:suff w:val="tab"/>
      <w:lvlText w:val="▪"/>
      <w:rPr>
        <w:color w:val="3370ff"/>
        <w:sz w:val="11"/>
      </w:rPr>
    </w:lvl>
  </w:abstractNum>
  <w:abstractNum w:abstractNumId="405351">
    <w:lvl>
      <w:numFmt w:val="bullet"/>
      <w:suff w:val="tab"/>
      <w:lvlText w:val="▪"/>
      <w:rPr>
        <w:color w:val="3370ff"/>
        <w:sz w:val="11"/>
      </w:rPr>
    </w:lvl>
  </w:abstractNum>
  <w:abstractNum w:abstractNumId="405352">
    <w:lvl>
      <w:numFmt w:val="bullet"/>
      <w:suff w:val="tab"/>
      <w:lvlText w:val="•"/>
      <w:rPr>
        <w:color w:val="3370ff"/>
      </w:rPr>
    </w:lvl>
  </w:abstractNum>
  <w:abstractNum w:abstractNumId="405353">
    <w:lvl>
      <w:numFmt w:val="bullet"/>
      <w:suff w:val="tab"/>
      <w:lvlText w:val="￮"/>
      <w:rPr>
        <w:color w:val="3370ff"/>
      </w:rPr>
    </w:lvl>
  </w:abstractNum>
  <w:abstractNum w:abstractNumId="405354">
    <w:lvl>
      <w:numFmt w:val="bullet"/>
      <w:suff w:val="tab"/>
      <w:lvlText w:val="￮"/>
      <w:rPr>
        <w:color w:val="3370ff"/>
      </w:rPr>
    </w:lvl>
  </w:abstractNum>
  <w:abstractNum w:abstractNumId="405355">
    <w:lvl>
      <w:numFmt w:val="bullet"/>
      <w:suff w:val="tab"/>
      <w:lvlText w:val="•"/>
      <w:rPr>
        <w:color w:val="3370ff"/>
      </w:rPr>
    </w:lvl>
  </w:abstractNum>
  <w:abstractNum w:abstractNumId="405356">
    <w:lvl>
      <w:numFmt w:val="bullet"/>
      <w:suff w:val="tab"/>
      <w:lvlText w:val="￮"/>
      <w:rPr>
        <w:color w:val="3370ff"/>
      </w:rPr>
    </w:lvl>
  </w:abstractNum>
  <w:abstractNum w:abstractNumId="405357">
    <w:lvl>
      <w:numFmt w:val="bullet"/>
      <w:suff w:val="tab"/>
      <w:lvlText w:val="▪"/>
      <w:rPr>
        <w:color w:val="3370ff"/>
        <w:sz w:val="11"/>
      </w:rPr>
    </w:lvl>
  </w:abstractNum>
  <w:abstractNum w:abstractNumId="405358">
    <w:lvl>
      <w:numFmt w:val="bullet"/>
      <w:suff w:val="tab"/>
      <w:lvlText w:val="▪"/>
      <w:rPr>
        <w:color w:val="3370ff"/>
        <w:sz w:val="11"/>
      </w:rPr>
    </w:lvl>
  </w:abstractNum>
  <w:abstractNum w:abstractNumId="405359">
    <w:lvl>
      <w:numFmt w:val="bullet"/>
      <w:suff w:val="tab"/>
      <w:lvlText w:val="▪"/>
      <w:rPr>
        <w:color w:val="3370ff"/>
        <w:sz w:val="11"/>
      </w:rPr>
    </w:lvl>
  </w:abstractNum>
  <w:abstractNum w:abstractNumId="405360">
    <w:lvl>
      <w:numFmt w:val="bullet"/>
      <w:suff w:val="tab"/>
      <w:lvlText w:val="￮"/>
      <w:rPr>
        <w:color w:val="3370ff"/>
      </w:rPr>
    </w:lvl>
  </w:abstractNum>
  <w:abstractNum w:abstractNumId="405361">
    <w:lvl>
      <w:numFmt w:val="bullet"/>
      <w:suff w:val="tab"/>
      <w:lvlText w:val="▪"/>
      <w:rPr>
        <w:color w:val="3370ff"/>
        <w:sz w:val="11"/>
      </w:rPr>
    </w:lvl>
  </w:abstractNum>
  <w:abstractNum w:abstractNumId="405362">
    <w:lvl>
      <w:numFmt w:val="bullet"/>
      <w:suff w:val="tab"/>
      <w:lvlText w:val="▪"/>
      <w:rPr>
        <w:color w:val="3370ff"/>
        <w:sz w:val="11"/>
      </w:rPr>
    </w:lvl>
  </w:abstractNum>
  <w:abstractNum w:abstractNumId="405363">
    <w:lvl>
      <w:numFmt w:val="bullet"/>
      <w:suff w:val="tab"/>
      <w:lvlText w:val="▪"/>
      <w:rPr>
        <w:color w:val="3370ff"/>
        <w:sz w:val="11"/>
      </w:rPr>
    </w:lvl>
  </w:abstractNum>
  <w:abstractNum w:abstractNumId="405364">
    <w:lvl>
      <w:numFmt w:val="bullet"/>
      <w:suff w:val="tab"/>
      <w:lvlText w:val="•"/>
      <w:rPr>
        <w:color w:val="3370ff"/>
      </w:rPr>
    </w:lvl>
  </w:abstractNum>
  <w:abstractNum w:abstractNumId="405365">
    <w:lvl>
      <w:numFmt w:val="bullet"/>
      <w:suff w:val="tab"/>
      <w:lvlText w:val="￮"/>
      <w:rPr>
        <w:color w:val="3370ff"/>
      </w:rPr>
    </w:lvl>
  </w:abstractNum>
  <w:abstractNum w:abstractNumId="405366">
    <w:lvl>
      <w:numFmt w:val="bullet"/>
      <w:suff w:val="tab"/>
      <w:lvlText w:val="￮"/>
      <w:rPr>
        <w:color w:val="3370ff"/>
      </w:rPr>
    </w:lvl>
  </w:abstractNum>
  <w:abstractNum w:abstractNumId="405367">
    <w:lvl>
      <w:numFmt w:val="bullet"/>
      <w:suff w:val="tab"/>
      <w:lvlText w:val="▪"/>
      <w:rPr>
        <w:color w:val="3370ff"/>
        <w:sz w:val="11"/>
      </w:rPr>
    </w:lvl>
  </w:abstractNum>
  <w:abstractNum w:abstractNumId="405368">
    <w:lvl>
      <w:numFmt w:val="bullet"/>
      <w:suff w:val="tab"/>
      <w:lvlText w:val="▪"/>
      <w:rPr>
        <w:color w:val="3370ff"/>
        <w:sz w:val="11"/>
      </w:rPr>
    </w:lvl>
  </w:abstractNum>
  <w:abstractNum w:abstractNumId="405369">
    <w:lvl>
      <w:numFmt w:val="bullet"/>
      <w:suff w:val="tab"/>
      <w:lvlText w:val="•"/>
      <w:rPr>
        <w:color w:val="3370ff"/>
      </w:rPr>
    </w:lvl>
  </w:abstractNum>
  <w:abstractNum w:abstractNumId="405370">
    <w:lvl>
      <w:numFmt w:val="bullet"/>
      <w:suff w:val="tab"/>
      <w:lvlText w:val="￮"/>
      <w:rPr>
        <w:color w:val="3370ff"/>
      </w:rPr>
    </w:lvl>
  </w:abstractNum>
  <w:abstractNum w:abstractNumId="405371">
    <w:lvl>
      <w:numFmt w:val="bullet"/>
      <w:suff w:val="tab"/>
      <w:lvlText w:val="￮"/>
      <w:rPr>
        <w:color w:val="3370ff"/>
      </w:rPr>
    </w:lvl>
  </w:abstractNum>
  <w:abstractNum w:abstractNumId="405372">
    <w:lvl>
      <w:numFmt w:val="bullet"/>
      <w:suff w:val="tab"/>
      <w:lvlText w:val="▪"/>
      <w:rPr>
        <w:color w:val="3370ff"/>
        <w:sz w:val="11"/>
      </w:rPr>
    </w:lvl>
  </w:abstractNum>
  <w:abstractNum w:abstractNumId="405373">
    <w:lvl>
      <w:numFmt w:val="bullet"/>
      <w:suff w:val="tab"/>
      <w:lvlText w:val="▪"/>
      <w:rPr>
        <w:color w:val="3370ff"/>
        <w:sz w:val="11"/>
      </w:rPr>
    </w:lvl>
  </w:abstractNum>
  <w:abstractNum w:abstractNumId="405374">
    <w:lvl>
      <w:numFmt w:val="bullet"/>
      <w:suff w:val="tab"/>
      <w:lvlText w:val="•"/>
      <w:rPr>
        <w:color w:val="3370ff"/>
      </w:rPr>
    </w:lvl>
  </w:abstractNum>
  <w:abstractNum w:abstractNumId="405375">
    <w:lvl>
      <w:numFmt w:val="bullet"/>
      <w:suff w:val="tab"/>
      <w:lvlText w:val="￮"/>
      <w:rPr>
        <w:color w:val="3370ff"/>
      </w:rPr>
    </w:lvl>
  </w:abstractNum>
  <w:abstractNum w:abstractNumId="405376">
    <w:lvl>
      <w:numFmt w:val="bullet"/>
      <w:suff w:val="tab"/>
      <w:lvlText w:val="▪"/>
      <w:rPr>
        <w:color w:val="3370ff"/>
        <w:sz w:val="11"/>
      </w:rPr>
    </w:lvl>
  </w:abstractNum>
  <w:abstractNum w:abstractNumId="405377">
    <w:lvl>
      <w:numFmt w:val="bullet"/>
      <w:suff w:val="tab"/>
      <w:lvlText w:val="￮"/>
      <w:rPr>
        <w:color w:val="3370ff"/>
      </w:rPr>
    </w:lvl>
  </w:abstractNum>
  <w:abstractNum w:abstractNumId="405378">
    <w:lvl>
      <w:numFmt w:val="bullet"/>
      <w:suff w:val="tab"/>
      <w:lvlText w:val="•"/>
      <w:rPr>
        <w:color w:val="3370ff"/>
      </w:rPr>
    </w:lvl>
  </w:abstractNum>
  <w:abstractNum w:abstractNumId="405379">
    <w:lvl>
      <w:numFmt w:val="bullet"/>
      <w:suff w:val="tab"/>
      <w:lvlText w:val="•"/>
      <w:rPr>
        <w:color w:val="3370ff"/>
      </w:rPr>
    </w:lvl>
  </w:abstractNum>
  <w:abstractNum w:abstractNumId="405380">
    <w:lvl>
      <w:numFmt w:val="bullet"/>
      <w:suff w:val="tab"/>
      <w:lvlText w:val="•"/>
      <w:rPr>
        <w:color w:val="3370ff"/>
      </w:rPr>
    </w:lvl>
  </w:abstractNum>
  <w:abstractNum w:abstractNumId="405381">
    <w:lvl>
      <w:numFmt w:val="bullet"/>
      <w:suff w:val="tab"/>
      <w:lvlText w:val="￮"/>
      <w:rPr>
        <w:color w:val="3370ff"/>
      </w:rPr>
    </w:lvl>
  </w:abstractNum>
  <w:abstractNum w:abstractNumId="405382">
    <w:lvl>
      <w:numFmt w:val="bullet"/>
      <w:suff w:val="tab"/>
      <w:lvlText w:val="￮"/>
      <w:rPr>
        <w:color w:val="3370ff"/>
      </w:rPr>
    </w:lvl>
  </w:abstractNum>
  <w:abstractNum w:abstractNumId="405383">
    <w:lvl>
      <w:numFmt w:val="bullet"/>
      <w:suff w:val="tab"/>
      <w:lvlText w:val="▪"/>
      <w:rPr>
        <w:color w:val="3370ff"/>
        <w:sz w:val="11"/>
      </w:rPr>
    </w:lvl>
  </w:abstractNum>
  <w:abstractNum w:abstractNumId="405384">
    <w:lvl>
      <w:numFmt w:val="bullet"/>
      <w:suff w:val="tab"/>
      <w:lvlText w:val="▪"/>
      <w:rPr>
        <w:color w:val="3370ff"/>
        <w:sz w:val="11"/>
      </w:rPr>
    </w:lvl>
  </w:abstractNum>
  <w:abstractNum w:abstractNumId="405385">
    <w:lvl>
      <w:numFmt w:val="bullet"/>
      <w:suff w:val="tab"/>
      <w:lvlText w:val="￮"/>
      <w:rPr>
        <w:color w:val="3370ff"/>
      </w:rPr>
    </w:lvl>
  </w:abstractNum>
  <w:abstractNum w:abstractNumId="405386">
    <w:lvl>
      <w:numFmt w:val="bullet"/>
      <w:suff w:val="tab"/>
      <w:lvlText w:val="▪"/>
      <w:rPr>
        <w:color w:val="3370ff"/>
        <w:sz w:val="11"/>
      </w:rPr>
    </w:lvl>
  </w:abstractNum>
  <w:abstractNum w:abstractNumId="405387">
    <w:lvl>
      <w:numFmt w:val="bullet"/>
      <w:suff w:val="tab"/>
      <w:lvlText w:val="▪"/>
      <w:rPr>
        <w:color w:val="3370ff"/>
        <w:sz w:val="11"/>
      </w:rPr>
    </w:lvl>
  </w:abstractNum>
  <w:abstractNum w:abstractNumId="405388">
    <w:lvl>
      <w:numFmt w:val="bullet"/>
      <w:suff w:val="tab"/>
      <w:lvlText w:val="•"/>
      <w:rPr>
        <w:color w:val="3370ff"/>
      </w:rPr>
    </w:lvl>
  </w:abstractNum>
  <w:abstractNum w:abstractNumId="405389">
    <w:lvl>
      <w:numFmt w:val="bullet"/>
      <w:suff w:val="tab"/>
      <w:lvlText w:val="￮"/>
      <w:rPr>
        <w:color w:val="3370ff"/>
      </w:rPr>
    </w:lvl>
  </w:abstractNum>
  <w:abstractNum w:abstractNumId="405390">
    <w:lvl>
      <w:numFmt w:val="bullet"/>
      <w:suff w:val="tab"/>
      <w:lvlText w:val="▪"/>
      <w:rPr>
        <w:color w:val="3370ff"/>
        <w:sz w:val="11"/>
      </w:rPr>
    </w:lvl>
  </w:abstractNum>
  <w:abstractNum w:abstractNumId="405391">
    <w:lvl>
      <w:numFmt w:val="bullet"/>
      <w:suff w:val="tab"/>
      <w:lvlText w:val="▪"/>
      <w:rPr>
        <w:color w:val="3370ff"/>
        <w:sz w:val="11"/>
      </w:rPr>
    </w:lvl>
  </w:abstractNum>
  <w:abstractNum w:abstractNumId="405392">
    <w:lvl>
      <w:numFmt w:val="bullet"/>
      <w:suff w:val="tab"/>
      <w:lvlText w:val="•"/>
      <w:rPr>
        <w:color w:val="3370ff"/>
      </w:rPr>
    </w:lvl>
  </w:abstractNum>
  <w:abstractNum w:abstractNumId="405393">
    <w:lvl>
      <w:numFmt w:val="bullet"/>
      <w:suff w:val="tab"/>
      <w:lvlText w:val="￮"/>
      <w:rPr>
        <w:color w:val="3370ff"/>
      </w:rPr>
    </w:lvl>
  </w:abstractNum>
  <w:abstractNum w:abstractNumId="405394">
    <w:lvl>
      <w:numFmt w:val="bullet"/>
      <w:suff w:val="tab"/>
      <w:lvlText w:val="￮"/>
      <w:rPr>
        <w:color w:val="3370ff"/>
      </w:rPr>
    </w:lvl>
  </w:abstractNum>
  <w:abstractNum w:abstractNumId="405395">
    <w:lvl>
      <w:numFmt w:val="bullet"/>
      <w:suff w:val="tab"/>
      <w:lvlText w:val="▪"/>
      <w:rPr>
        <w:color w:val="3370ff"/>
        <w:sz w:val="11"/>
      </w:rPr>
    </w:lvl>
  </w:abstractNum>
  <w:abstractNum w:abstractNumId="405396">
    <w:lvl>
      <w:numFmt w:val="bullet"/>
      <w:suff w:val="tab"/>
      <w:lvlText w:val="▪"/>
      <w:rPr>
        <w:color w:val="3370ff"/>
        <w:sz w:val="11"/>
      </w:rPr>
    </w:lvl>
  </w:abstractNum>
  <w:abstractNum w:abstractNumId="405397">
    <w:lvl>
      <w:numFmt w:val="bullet"/>
      <w:suff w:val="tab"/>
      <w:lvlText w:val="•"/>
      <w:rPr>
        <w:color w:val="3370ff"/>
      </w:rPr>
    </w:lvl>
  </w:abstractNum>
  <w:abstractNum w:abstractNumId="405398">
    <w:lvl>
      <w:numFmt w:val="bullet"/>
      <w:suff w:val="tab"/>
      <w:lvlText w:val="￮"/>
      <w:rPr>
        <w:color w:val="3370ff"/>
      </w:rPr>
    </w:lvl>
  </w:abstractNum>
  <w:abstractNum w:abstractNumId="405399">
    <w:lvl>
      <w:numFmt w:val="bullet"/>
      <w:suff w:val="tab"/>
      <w:lvlText w:val="▪"/>
      <w:rPr>
        <w:color w:val="3370ff"/>
        <w:sz w:val="11"/>
      </w:rPr>
    </w:lvl>
  </w:abstractNum>
  <w:abstractNum w:abstractNumId="405400">
    <w:lvl>
      <w:numFmt w:val="bullet"/>
      <w:suff w:val="tab"/>
      <w:lvlText w:val="▪"/>
      <w:rPr>
        <w:color w:val="3370ff"/>
        <w:sz w:val="11"/>
      </w:rPr>
    </w:lvl>
  </w:abstractNum>
  <w:abstractNum w:abstractNumId="405401">
    <w:lvl>
      <w:numFmt w:val="bullet"/>
      <w:suff w:val="tab"/>
      <w:lvlText w:val="￮"/>
      <w:rPr>
        <w:color w:val="3370ff"/>
      </w:rPr>
    </w:lvl>
  </w:abstractNum>
  <w:abstractNum w:abstractNumId="405402">
    <w:lvl>
      <w:numFmt w:val="bullet"/>
      <w:suff w:val="tab"/>
      <w:lvlText w:val="▪"/>
      <w:rPr>
        <w:color w:val="3370ff"/>
        <w:sz w:val="11"/>
      </w:rPr>
    </w:lvl>
  </w:abstractNum>
  <w:abstractNum w:abstractNumId="405403">
    <w:lvl>
      <w:numFmt w:val="bullet"/>
      <w:suff w:val="tab"/>
      <w:lvlText w:val="▪"/>
      <w:rPr>
        <w:color w:val="3370ff"/>
        <w:sz w:val="11"/>
      </w:rPr>
    </w:lvl>
  </w:abstractNum>
  <w:abstractNum w:abstractNumId="405404">
    <w:lvl>
      <w:numFmt w:val="bullet"/>
      <w:suff w:val="tab"/>
      <w:lvlText w:val="•"/>
      <w:rPr>
        <w:color w:val="3370ff"/>
      </w:rPr>
    </w:lvl>
  </w:abstractNum>
  <w:abstractNum w:abstractNumId="405405">
    <w:lvl>
      <w:numFmt w:val="bullet"/>
      <w:suff w:val="tab"/>
      <w:lvlText w:val="•"/>
      <w:rPr>
        <w:color w:val="3370ff"/>
      </w:rPr>
    </w:lvl>
  </w:abstractNum>
  <w:abstractNum w:abstractNumId="405406">
    <w:lvl>
      <w:numFmt w:val="bullet"/>
      <w:suff w:val="tab"/>
      <w:lvlText w:val="•"/>
      <w:rPr>
        <w:color w:val="3370ff"/>
      </w:rPr>
    </w:lvl>
  </w:abstractNum>
  <w:abstractNum w:abstractNumId="405407">
    <w:lvl>
      <w:numFmt w:val="bullet"/>
      <w:suff w:val="tab"/>
      <w:lvlText w:val="•"/>
      <w:rPr>
        <w:color w:val="3370ff"/>
      </w:rPr>
    </w:lvl>
  </w:abstractNum>
  <w:abstractNum w:abstractNumId="405408">
    <w:lvl>
      <w:numFmt w:val="bullet"/>
      <w:suff w:val="tab"/>
      <w:lvlText w:val="•"/>
      <w:rPr>
        <w:color w:val="3370ff"/>
      </w:rPr>
    </w:lvl>
  </w:abstractNum>
  <w:abstractNum w:abstractNumId="405409">
    <w:lvl>
      <w:numFmt w:val="bullet"/>
      <w:suff w:val="tab"/>
      <w:lvlText w:val="•"/>
      <w:rPr>
        <w:color w:val="3370ff"/>
      </w:rPr>
    </w:lvl>
  </w:abstractNum>
  <w:abstractNum w:abstractNumId="405410">
    <w:lvl>
      <w:numFmt w:val="bullet"/>
      <w:suff w:val="tab"/>
      <w:lvlText w:val="•"/>
      <w:rPr>
        <w:color w:val="3370ff"/>
      </w:rPr>
    </w:lvl>
  </w:abstractNum>
  <w:abstractNum w:abstractNumId="405411">
    <w:lvl>
      <w:numFmt w:val="bullet"/>
      <w:suff w:val="tab"/>
      <w:lvlText w:val="•"/>
      <w:rPr>
        <w:color w:val="3370ff"/>
      </w:rPr>
    </w:lvl>
  </w:abstractNum>
  <w:abstractNum w:abstractNumId="405412">
    <w:lvl>
      <w:numFmt w:val="bullet"/>
      <w:suff w:val="tab"/>
      <w:lvlText w:val="•"/>
      <w:rPr>
        <w:color w:val="3370ff"/>
      </w:rPr>
    </w:lvl>
  </w:abstractNum>
  <w:abstractNum w:abstractNumId="405413">
    <w:lvl>
      <w:numFmt w:val="bullet"/>
      <w:suff w:val="tab"/>
      <w:lvlText w:val="￮"/>
      <w:rPr>
        <w:color w:val="3370ff"/>
      </w:rPr>
    </w:lvl>
  </w:abstractNum>
  <w:abstractNum w:abstractNumId="405414">
    <w:lvl>
      <w:numFmt w:val="bullet"/>
      <w:suff w:val="tab"/>
      <w:lvlText w:val="￮"/>
      <w:rPr>
        <w:color w:val="3370ff"/>
      </w:rPr>
    </w:lvl>
  </w:abstractNum>
  <w:abstractNum w:abstractNumId="405415">
    <w:lvl>
      <w:numFmt w:val="bullet"/>
      <w:suff w:val="tab"/>
      <w:lvlText w:val="￮"/>
      <w:rPr>
        <w:color w:val="3370ff"/>
      </w:rPr>
    </w:lvl>
  </w:abstractNum>
  <w:abstractNum w:abstractNumId="405416">
    <w:lvl>
      <w:numFmt w:val="bullet"/>
      <w:suff w:val="tab"/>
      <w:lvlText w:val="•"/>
      <w:rPr>
        <w:color w:val="3370ff"/>
      </w:rPr>
    </w:lvl>
  </w:abstractNum>
  <w:abstractNum w:abstractNumId="405417">
    <w:lvl>
      <w:numFmt w:val="bullet"/>
      <w:suff w:val="tab"/>
      <w:lvlText w:val="￮"/>
      <w:rPr>
        <w:color w:val="3370ff"/>
      </w:rPr>
    </w:lvl>
  </w:abstractNum>
  <w:abstractNum w:abstractNumId="405418">
    <w:lvl>
      <w:numFmt w:val="bullet"/>
      <w:suff w:val="tab"/>
      <w:lvlText w:val="￮"/>
      <w:rPr>
        <w:color w:val="3370ff"/>
      </w:rPr>
    </w:lvl>
  </w:abstractNum>
  <w:abstractNum w:abstractNumId="405419">
    <w:lvl>
      <w:numFmt w:val="bullet"/>
      <w:suff w:val="tab"/>
      <w:lvlText w:val="￮"/>
      <w:rPr>
        <w:color w:val="3370ff"/>
      </w:rPr>
    </w:lvl>
  </w:abstractNum>
  <w:abstractNum w:abstractNumId="405420">
    <w:lvl>
      <w:numFmt w:val="bullet"/>
      <w:suff w:val="tab"/>
      <w:lvlText w:val="•"/>
      <w:rPr>
        <w:color w:val="3370ff"/>
      </w:rPr>
    </w:lvl>
  </w:abstractNum>
  <w:abstractNum w:abstractNumId="405421">
    <w:lvl>
      <w:numFmt w:val="bullet"/>
      <w:suff w:val="tab"/>
      <w:lvlText w:val="•"/>
      <w:rPr>
        <w:color w:val="3370ff"/>
      </w:rPr>
    </w:lvl>
  </w:abstractNum>
  <w:abstractNum w:abstractNumId="405422">
    <w:lvl>
      <w:numFmt w:val="bullet"/>
      <w:suff w:val="tab"/>
      <w:lvlText w:val="•"/>
      <w:rPr>
        <w:color w:val="3370ff"/>
      </w:rPr>
    </w:lvl>
  </w:abstractNum>
  <w:abstractNum w:abstractNumId="405423">
    <w:lvl>
      <w:numFmt w:val="bullet"/>
      <w:suff w:val="tab"/>
      <w:lvlText w:val="•"/>
      <w:rPr>
        <w:color w:val="3370ff"/>
      </w:rPr>
    </w:lvl>
  </w:abstractNum>
  <w:abstractNum w:abstractNumId="405424">
    <w:lvl>
      <w:start w:val="1"/>
      <w:numFmt w:val="decimal"/>
      <w:suff w:val="tab"/>
      <w:lvlText w:val="%1."/>
      <w:rPr>
        <w:color w:val="3370ff"/>
      </w:rPr>
    </w:lvl>
  </w:abstractNum>
  <w:abstractNum w:abstractNumId="405425">
    <w:lvl>
      <w:start w:val="2"/>
      <w:numFmt w:val="decimal"/>
      <w:suff w:val="tab"/>
      <w:lvlText w:val="%1."/>
      <w:rPr>
        <w:color w:val="3370ff"/>
      </w:rPr>
    </w:lvl>
  </w:abstractNum>
  <w:abstractNum w:abstractNumId="405426">
    <w:lvl>
      <w:start w:val="3"/>
      <w:numFmt w:val="decimal"/>
      <w:suff w:val="tab"/>
      <w:lvlText w:val="%1."/>
      <w:rPr>
        <w:color w:val="3370ff"/>
      </w:rPr>
    </w:lvl>
  </w:abstractNum>
  <w:abstractNum w:abstractNumId="405427">
    <w:lvl>
      <w:start w:val="4"/>
      <w:numFmt w:val="decimal"/>
      <w:suff w:val="tab"/>
      <w:lvlText w:val="%1."/>
      <w:rPr>
        <w:color w:val="3370ff"/>
      </w:rPr>
    </w:lvl>
  </w:abstractNum>
  <w:abstractNum w:abstractNumId="405428">
    <w:lvl>
      <w:start w:val="1"/>
      <w:numFmt w:val="decimal"/>
      <w:suff w:val="tab"/>
      <w:lvlText w:val="%1."/>
      <w:rPr>
        <w:color w:val="3370ff"/>
      </w:rPr>
    </w:lvl>
  </w:abstractNum>
  <w:abstractNum w:abstractNumId="405429">
    <w:lvl>
      <w:numFmt w:val="bullet"/>
      <w:suff w:val="tab"/>
      <w:lvlText w:val="￮"/>
      <w:rPr>
        <w:color w:val="3370ff"/>
      </w:rPr>
    </w:lvl>
  </w:abstractNum>
  <w:abstractNum w:abstractNumId="405430">
    <w:lvl>
      <w:start w:val="2"/>
      <w:numFmt w:val="decimal"/>
      <w:suff w:val="tab"/>
      <w:lvlText w:val="%1."/>
      <w:rPr>
        <w:color w:val="3370ff"/>
      </w:rPr>
    </w:lvl>
  </w:abstractNum>
  <w:abstractNum w:abstractNumId="405431">
    <w:lvl>
      <w:numFmt w:val="bullet"/>
      <w:suff w:val="tab"/>
      <w:lvlText w:val="￮"/>
      <w:rPr>
        <w:color w:val="3370ff"/>
      </w:rPr>
    </w:lvl>
  </w:abstractNum>
  <w:abstractNum w:abstractNumId="405432">
    <w:lvl>
      <w:numFmt w:val="bullet"/>
      <w:suff w:val="tab"/>
      <w:lvlText w:val="▪"/>
      <w:rPr>
        <w:color w:val="3370ff"/>
        <w:sz w:val="11"/>
      </w:rPr>
    </w:lvl>
  </w:abstractNum>
  <w:abstractNum w:abstractNumId="405433">
    <w:lvl>
      <w:numFmt w:val="bullet"/>
      <w:suff w:val="tab"/>
      <w:lvlText w:val="▪"/>
      <w:rPr>
        <w:color w:val="3370ff"/>
        <w:sz w:val="11"/>
      </w:rPr>
    </w:lvl>
  </w:abstractNum>
  <w:abstractNum w:abstractNumId="405434">
    <w:lvl>
      <w:start w:val="3"/>
      <w:numFmt w:val="decimal"/>
      <w:suff w:val="tab"/>
      <w:lvlText w:val="%1."/>
      <w:rPr>
        <w:color w:val="3370ff"/>
      </w:rPr>
    </w:lvl>
  </w:abstractNum>
  <w:abstractNum w:abstractNumId="405435">
    <w:lvl>
      <w:numFmt w:val="bullet"/>
      <w:suff w:val="tab"/>
      <w:lvlText w:val="￮"/>
      <w:rPr>
        <w:color w:val="3370ff"/>
      </w:rPr>
    </w:lvl>
  </w:abstractNum>
  <w:abstractNum w:abstractNumId="405436">
    <w:lvl>
      <w:numFmt w:val="bullet"/>
      <w:suff w:val="tab"/>
      <w:lvlText w:val="▪"/>
      <w:rPr>
        <w:color w:val="3370ff"/>
        <w:sz w:val="11"/>
      </w:rPr>
    </w:lvl>
  </w:abstractNum>
  <w:abstractNum w:abstractNumId="405437">
    <w:lvl>
      <w:numFmt w:val="bullet"/>
      <w:suff w:val="tab"/>
      <w:lvlText w:val="▪"/>
      <w:rPr>
        <w:color w:val="3370ff"/>
        <w:sz w:val="11"/>
      </w:rPr>
    </w:lvl>
  </w:abstractNum>
  <w:abstractNum w:abstractNumId="405438">
    <w:lvl>
      <w:numFmt w:val="bullet"/>
      <w:suff w:val="tab"/>
      <w:lvlText w:val="￮"/>
      <w:rPr>
        <w:color w:val="3370ff"/>
      </w:rPr>
    </w:lvl>
  </w:abstractNum>
  <w:abstractNum w:abstractNumId="405439">
    <w:lvl>
      <w:start w:val="4"/>
      <w:numFmt w:val="decimal"/>
      <w:suff w:val="tab"/>
      <w:lvlText w:val="%1."/>
      <w:rPr>
        <w:color w:val="3370ff"/>
      </w:rPr>
    </w:lvl>
  </w:abstractNum>
  <w:abstractNum w:abstractNumId="405440">
    <w:lvl>
      <w:numFmt w:val="bullet"/>
      <w:suff w:val="tab"/>
      <w:lvlText w:val="￮"/>
      <w:rPr>
        <w:color w:val="3370ff"/>
      </w:rPr>
    </w:lvl>
  </w:abstractNum>
  <w:abstractNum w:abstractNumId="405441">
    <w:lvl>
      <w:numFmt w:val="bullet"/>
      <w:suff w:val="tab"/>
      <w:lvlText w:val="￮"/>
      <w:rPr>
        <w:color w:val="3370ff"/>
      </w:rPr>
    </w:lvl>
  </w:abstractNum>
  <w:abstractNum w:abstractNumId="405442">
    <w:lvl>
      <w:numFmt w:val="bullet"/>
      <w:suff w:val="tab"/>
      <w:lvlText w:val="￮"/>
      <w:rPr>
        <w:color w:val="3370ff"/>
      </w:rPr>
    </w:lvl>
  </w:abstractNum>
  <w:abstractNum w:abstractNumId="405443">
    <w:lvl>
      <w:start w:val="5"/>
      <w:numFmt w:val="decimal"/>
      <w:suff w:val="tab"/>
      <w:lvlText w:val="%1."/>
      <w:rPr>
        <w:color w:val="3370ff"/>
      </w:rPr>
    </w:lvl>
  </w:abstractNum>
  <w:abstractNum w:abstractNumId="405444">
    <w:lvl>
      <w:numFmt w:val="bullet"/>
      <w:suff w:val="tab"/>
      <w:lvlText w:val="￮"/>
      <w:rPr>
        <w:color w:val="3370ff"/>
      </w:rPr>
    </w:lvl>
  </w:abstractNum>
  <w:abstractNum w:abstractNumId="405445">
    <w:lvl>
      <w:start w:val="1"/>
      <w:numFmt w:val="decimal"/>
      <w:suff w:val="tab"/>
      <w:lvlText w:val="%1."/>
      <w:rPr>
        <w:color w:val="3370ff"/>
      </w:rPr>
    </w:lvl>
  </w:abstractNum>
  <w:abstractNum w:abstractNumId="405446">
    <w:lvl>
      <w:numFmt w:val="bullet"/>
      <w:suff w:val="tab"/>
      <w:lvlText w:val="￮"/>
      <w:rPr>
        <w:color w:val="3370ff"/>
      </w:rPr>
    </w:lvl>
  </w:abstractNum>
  <w:abstractNum w:abstractNumId="405447">
    <w:lvl>
      <w:numFmt w:val="bullet"/>
      <w:suff w:val="tab"/>
      <w:lvlText w:val="￮"/>
      <w:rPr>
        <w:color w:val="3370ff"/>
      </w:rPr>
    </w:lvl>
  </w:abstractNum>
  <w:abstractNum w:abstractNumId="405448">
    <w:lvl>
      <w:numFmt w:val="bullet"/>
      <w:suff w:val="tab"/>
      <w:lvlText w:val="￮"/>
      <w:rPr>
        <w:color w:val="3370ff"/>
      </w:rPr>
    </w:lvl>
  </w:abstractNum>
  <w:abstractNum w:abstractNumId="405449">
    <w:lvl>
      <w:start w:val="2"/>
      <w:numFmt w:val="decimal"/>
      <w:suff w:val="tab"/>
      <w:lvlText w:val="%1."/>
      <w:rPr>
        <w:color w:val="3370ff"/>
      </w:rPr>
    </w:lvl>
  </w:abstractNum>
  <w:abstractNum w:abstractNumId="405450">
    <w:lvl>
      <w:numFmt w:val="bullet"/>
      <w:suff w:val="tab"/>
      <w:lvlText w:val="￮"/>
      <w:rPr>
        <w:color w:val="3370ff"/>
      </w:rPr>
    </w:lvl>
  </w:abstractNum>
  <w:abstractNum w:abstractNumId="405451">
    <w:lvl>
      <w:numFmt w:val="bullet"/>
      <w:suff w:val="tab"/>
      <w:lvlText w:val="￮"/>
      <w:rPr>
        <w:color w:val="3370ff"/>
      </w:rPr>
    </w:lvl>
  </w:abstractNum>
  <w:abstractNum w:abstractNumId="405452">
    <w:lvl>
      <w:start w:val="3"/>
      <w:numFmt w:val="decimal"/>
      <w:suff w:val="tab"/>
      <w:lvlText w:val="%1."/>
      <w:rPr>
        <w:color w:val="3370ff"/>
      </w:rPr>
    </w:lvl>
  </w:abstractNum>
  <w:abstractNum w:abstractNumId="405453">
    <w:lvl>
      <w:numFmt w:val="bullet"/>
      <w:suff w:val="tab"/>
      <w:lvlText w:val="￮"/>
      <w:rPr>
        <w:color w:val="3370ff"/>
      </w:rPr>
    </w:lvl>
  </w:abstractNum>
  <w:abstractNum w:abstractNumId="405454">
    <w:lvl>
      <w:numFmt w:val="bullet"/>
      <w:suff w:val="tab"/>
      <w:lvlText w:val="￮"/>
      <w:rPr>
        <w:color w:val="3370ff"/>
      </w:rPr>
    </w:lvl>
  </w:abstractNum>
  <w:abstractNum w:abstractNumId="405455">
    <w:lvl>
      <w:start w:val="4"/>
      <w:numFmt w:val="decimal"/>
      <w:suff w:val="tab"/>
      <w:lvlText w:val="%1."/>
      <w:rPr>
        <w:color w:val="3370ff"/>
      </w:rPr>
    </w:lvl>
  </w:abstractNum>
  <w:abstractNum w:abstractNumId="405456">
    <w:lvl>
      <w:numFmt w:val="bullet"/>
      <w:suff w:val="tab"/>
      <w:lvlText w:val="￮"/>
      <w:rPr>
        <w:color w:val="3370ff"/>
      </w:rPr>
    </w:lvl>
  </w:abstractNum>
  <w:abstractNum w:abstractNumId="405457">
    <w:lvl>
      <w:numFmt w:val="bullet"/>
      <w:suff w:val="tab"/>
      <w:lvlText w:val="▪"/>
      <w:rPr>
        <w:color w:val="3370ff"/>
        <w:sz w:val="11"/>
      </w:rPr>
    </w:lvl>
  </w:abstractNum>
  <w:abstractNum w:abstractNumId="405458">
    <w:lvl>
      <w:numFmt w:val="bullet"/>
      <w:suff w:val="tab"/>
      <w:lvlText w:val="▪"/>
      <w:rPr>
        <w:color w:val="3370ff"/>
        <w:sz w:val="11"/>
      </w:rPr>
    </w:lvl>
  </w:abstractNum>
  <w:abstractNum w:abstractNumId="405459">
    <w:lvl>
      <w:numFmt w:val="bullet"/>
      <w:suff w:val="tab"/>
      <w:lvlText w:val="￮"/>
      <w:rPr>
        <w:color w:val="3370ff"/>
      </w:rPr>
    </w:lvl>
  </w:abstractNum>
  <w:abstractNum w:abstractNumId="405460">
    <w:lvl>
      <w:numFmt w:val="bullet"/>
      <w:suff w:val="tab"/>
      <w:lvlText w:val="▪"/>
      <w:rPr>
        <w:color w:val="3370ff"/>
        <w:sz w:val="11"/>
      </w:rPr>
    </w:lvl>
  </w:abstractNum>
  <w:abstractNum w:abstractNumId="405461">
    <w:lvl>
      <w:numFmt w:val="bullet"/>
      <w:suff w:val="tab"/>
      <w:lvlText w:val="•"/>
      <w:rPr>
        <w:color w:val="3370ff"/>
      </w:rPr>
    </w:lvl>
  </w:abstractNum>
  <w:abstractNum w:abstractNumId="405462">
    <w:lvl>
      <w:numFmt w:val="bullet"/>
      <w:suff w:val="tab"/>
      <w:lvlText w:val="•"/>
      <w:rPr>
        <w:color w:val="3370ff"/>
      </w:rPr>
    </w:lvl>
  </w:abstractNum>
  <w:abstractNum w:abstractNumId="405463">
    <w:lvl>
      <w:numFmt w:val="bullet"/>
      <w:suff w:val="tab"/>
      <w:lvlText w:val="•"/>
      <w:rPr>
        <w:color w:val="3370ff"/>
      </w:rPr>
    </w:lvl>
  </w:abstractNum>
  <w:abstractNum w:abstractNumId="405464">
    <w:lvl>
      <w:numFmt w:val="bullet"/>
      <w:suff w:val="tab"/>
      <w:lvlText w:val="•"/>
      <w:rPr>
        <w:color w:val="3370ff"/>
      </w:rPr>
    </w:lvl>
  </w:abstractNum>
  <w:abstractNum w:abstractNumId="405465">
    <w:lvl>
      <w:start w:val="1"/>
      <w:numFmt w:val="decimal"/>
      <w:suff w:val="tab"/>
      <w:lvlText w:val="%1."/>
      <w:rPr>
        <w:color w:val="3370ff"/>
      </w:rPr>
    </w:lvl>
  </w:abstractNum>
  <w:abstractNum w:abstractNumId="405466">
    <w:lvl>
      <w:numFmt w:val="bullet"/>
      <w:suff w:val="tab"/>
      <w:lvlText w:val="￮"/>
      <w:rPr>
        <w:color w:val="3370ff"/>
      </w:rPr>
    </w:lvl>
  </w:abstractNum>
  <w:abstractNum w:abstractNumId="405467">
    <w:lvl>
      <w:start w:val="2"/>
      <w:numFmt w:val="decimal"/>
      <w:suff w:val="tab"/>
      <w:lvlText w:val="%1."/>
      <w:rPr>
        <w:color w:val="3370ff"/>
      </w:rPr>
    </w:lvl>
  </w:abstractNum>
  <w:abstractNum w:abstractNumId="405468">
    <w:lvl>
      <w:numFmt w:val="bullet"/>
      <w:suff w:val="tab"/>
      <w:lvlText w:val="￮"/>
      <w:rPr>
        <w:color w:val="3370ff"/>
      </w:rPr>
    </w:lvl>
  </w:abstractNum>
  <w:abstractNum w:abstractNumId="405469">
    <w:lvl>
      <w:numFmt w:val="bullet"/>
      <w:suff w:val="tab"/>
      <w:lvlText w:val="￮"/>
      <w:rPr>
        <w:color w:val="3370ff"/>
      </w:rPr>
    </w:lvl>
  </w:abstractNum>
  <w:abstractNum w:abstractNumId="405470">
    <w:lvl>
      <w:start w:val="3"/>
      <w:numFmt w:val="decimal"/>
      <w:suff w:val="tab"/>
      <w:lvlText w:val="%1."/>
      <w:rPr>
        <w:color w:val="3370ff"/>
      </w:rPr>
    </w:lvl>
  </w:abstractNum>
  <w:abstractNum w:abstractNumId="405471">
    <w:lvl>
      <w:numFmt w:val="bullet"/>
      <w:suff w:val="tab"/>
      <w:lvlText w:val="￮"/>
      <w:rPr>
        <w:color w:val="3370ff"/>
      </w:rPr>
    </w:lvl>
  </w:abstractNum>
  <w:abstractNum w:abstractNumId="405472">
    <w:lvl>
      <w:start w:val="1"/>
      <w:numFmt w:val="decimal"/>
      <w:suff w:val="tab"/>
      <w:lvlText w:val="%1."/>
      <w:rPr>
        <w:color w:val="3370ff"/>
      </w:rPr>
    </w:lvl>
  </w:abstractNum>
  <w:abstractNum w:abstractNumId="405473">
    <w:lvl>
      <w:numFmt w:val="bullet"/>
      <w:suff w:val="tab"/>
      <w:lvlText w:val="￮"/>
      <w:rPr>
        <w:color w:val="3370ff"/>
      </w:rPr>
    </w:lvl>
  </w:abstractNum>
  <w:abstractNum w:abstractNumId="405474">
    <w:lvl>
      <w:start w:val="2"/>
      <w:numFmt w:val="decimal"/>
      <w:suff w:val="tab"/>
      <w:lvlText w:val="%1."/>
      <w:rPr>
        <w:color w:val="3370ff"/>
      </w:rPr>
    </w:lvl>
  </w:abstractNum>
  <w:abstractNum w:abstractNumId="405475">
    <w:lvl>
      <w:numFmt w:val="bullet"/>
      <w:suff w:val="tab"/>
      <w:lvlText w:val="￮"/>
      <w:rPr>
        <w:color w:val="3370ff"/>
      </w:rPr>
    </w:lvl>
  </w:abstractNum>
  <w:abstractNum w:abstractNumId="405476">
    <w:lvl>
      <w:start w:val="3"/>
      <w:numFmt w:val="decimal"/>
      <w:suff w:val="tab"/>
      <w:lvlText w:val="%1."/>
      <w:rPr>
        <w:color w:val="3370ff"/>
      </w:rPr>
    </w:lvl>
  </w:abstractNum>
  <w:abstractNum w:abstractNumId="405477">
    <w:lvl>
      <w:numFmt w:val="bullet"/>
      <w:suff w:val="tab"/>
      <w:lvlText w:val="￮"/>
      <w:rPr>
        <w:color w:val="3370ff"/>
      </w:rPr>
    </w:lvl>
  </w:abstractNum>
  <w:abstractNum w:abstractNumId="405478">
    <w:lvl>
      <w:numFmt w:val="bullet"/>
      <w:suff w:val="tab"/>
      <w:lvlText w:val="•"/>
      <w:rPr>
        <w:color w:val="3370ff"/>
      </w:rPr>
    </w:lvl>
  </w:abstractNum>
  <w:abstractNum w:abstractNumId="405479">
    <w:lvl>
      <w:numFmt w:val="bullet"/>
      <w:suff w:val="tab"/>
      <w:lvlText w:val="•"/>
      <w:rPr>
        <w:color w:val="3370ff"/>
      </w:rPr>
    </w:lvl>
  </w:abstractNum>
  <w:abstractNum w:abstractNumId="405480">
    <w:lvl>
      <w:numFmt w:val="bullet"/>
      <w:suff w:val="tab"/>
      <w:lvlText w:val="•"/>
      <w:rPr>
        <w:color w:val="3370ff"/>
      </w:rPr>
    </w:lvl>
  </w:abstractNum>
  <w:abstractNum w:abstractNumId="405481">
    <w:lvl>
      <w:numFmt w:val="bullet"/>
      <w:suff w:val="tab"/>
      <w:lvlText w:val="•"/>
      <w:rPr>
        <w:color w:val="3370ff"/>
      </w:rPr>
    </w:lvl>
  </w:abstractNum>
  <w:abstractNum w:abstractNumId="405482">
    <w:lvl>
      <w:numFmt w:val="bullet"/>
      <w:suff w:val="tab"/>
      <w:lvlText w:val="•"/>
      <w:rPr>
        <w:color w:val="3370ff"/>
      </w:rPr>
    </w:lvl>
  </w:abstractNum>
  <w:abstractNum w:abstractNumId="405483">
    <w:lvl>
      <w:numFmt w:val="bullet"/>
      <w:suff w:val="tab"/>
      <w:lvlText w:val="•"/>
      <w:rPr>
        <w:color w:val="3370ff"/>
      </w:rPr>
    </w:lvl>
  </w:abstractNum>
  <w:abstractNum w:abstractNumId="405484">
    <w:lvl>
      <w:numFmt w:val="bullet"/>
      <w:suff w:val="tab"/>
      <w:lvlText w:val="•"/>
      <w:rPr>
        <w:color w:val="3370ff"/>
      </w:rPr>
    </w:lvl>
  </w:abstractNum>
  <w:abstractNum w:abstractNumId="405485">
    <w:lvl>
      <w:numFmt w:val="bullet"/>
      <w:suff w:val="tab"/>
      <w:lvlText w:val="￮"/>
      <w:rPr>
        <w:color w:val="3370ff"/>
      </w:rPr>
    </w:lvl>
  </w:abstractNum>
  <w:abstractNum w:abstractNumId="405486">
    <w:lvl>
      <w:numFmt w:val="bullet"/>
      <w:suff w:val="tab"/>
      <w:lvlText w:val="•"/>
      <w:rPr>
        <w:color w:val="3370ff"/>
      </w:rPr>
    </w:lvl>
  </w:abstractNum>
  <w:abstractNum w:abstractNumId="405487">
    <w:lvl>
      <w:numFmt w:val="bullet"/>
      <w:suff w:val="tab"/>
      <w:lvlText w:val="￮"/>
      <w:rPr>
        <w:color w:val="3370ff"/>
      </w:rPr>
    </w:lvl>
  </w:abstractNum>
  <w:num w:numId="1">
    <w:abstractNumId w:val="405295"/>
  </w:num>
  <w:num w:numId="2">
    <w:abstractNumId w:val="405296"/>
  </w:num>
  <w:num w:numId="3">
    <w:abstractNumId w:val="405297"/>
  </w:num>
  <w:num w:numId="4">
    <w:abstractNumId w:val="405298"/>
  </w:num>
  <w:num w:numId="5">
    <w:abstractNumId w:val="405299"/>
  </w:num>
  <w:num w:numId="6">
    <w:abstractNumId w:val="405300"/>
  </w:num>
  <w:num w:numId="7">
    <w:abstractNumId w:val="405301"/>
  </w:num>
  <w:num w:numId="8">
    <w:abstractNumId w:val="405302"/>
  </w:num>
  <w:num w:numId="9">
    <w:abstractNumId w:val="405303"/>
  </w:num>
  <w:num w:numId="10">
    <w:abstractNumId w:val="405304"/>
  </w:num>
  <w:num w:numId="11">
    <w:abstractNumId w:val="405305"/>
  </w:num>
  <w:num w:numId="12">
    <w:abstractNumId w:val="405306"/>
  </w:num>
  <w:num w:numId="13">
    <w:abstractNumId w:val="405307"/>
  </w:num>
  <w:num w:numId="14">
    <w:abstractNumId w:val="405308"/>
  </w:num>
  <w:num w:numId="15">
    <w:abstractNumId w:val="405309"/>
  </w:num>
  <w:num w:numId="16">
    <w:abstractNumId w:val="405310"/>
  </w:num>
  <w:num w:numId="17">
    <w:abstractNumId w:val="405311"/>
  </w:num>
  <w:num w:numId="18">
    <w:abstractNumId w:val="405312"/>
  </w:num>
  <w:num w:numId="19">
    <w:abstractNumId w:val="405313"/>
  </w:num>
  <w:num w:numId="20">
    <w:abstractNumId w:val="405314"/>
  </w:num>
  <w:num w:numId="21">
    <w:abstractNumId w:val="405315"/>
  </w:num>
  <w:num w:numId="22">
    <w:abstractNumId w:val="405316"/>
  </w:num>
  <w:num w:numId="23">
    <w:abstractNumId w:val="405317"/>
  </w:num>
  <w:num w:numId="24">
    <w:abstractNumId w:val="405318"/>
  </w:num>
  <w:num w:numId="25">
    <w:abstractNumId w:val="405319"/>
  </w:num>
  <w:num w:numId="26">
    <w:abstractNumId w:val="405320"/>
  </w:num>
  <w:num w:numId="27">
    <w:abstractNumId w:val="405321"/>
  </w:num>
  <w:num w:numId="28">
    <w:abstractNumId w:val="405322"/>
  </w:num>
  <w:num w:numId="29">
    <w:abstractNumId w:val="405323"/>
  </w:num>
  <w:num w:numId="30">
    <w:abstractNumId w:val="405324"/>
  </w:num>
  <w:num w:numId="31">
    <w:abstractNumId w:val="405325"/>
  </w:num>
  <w:num w:numId="32">
    <w:abstractNumId w:val="405326"/>
  </w:num>
  <w:num w:numId="33">
    <w:abstractNumId w:val="405327"/>
  </w:num>
  <w:num w:numId="34">
    <w:abstractNumId w:val="405328"/>
  </w:num>
  <w:num w:numId="35">
    <w:abstractNumId w:val="405329"/>
  </w:num>
  <w:num w:numId="36">
    <w:abstractNumId w:val="405330"/>
  </w:num>
  <w:num w:numId="37">
    <w:abstractNumId w:val="405331"/>
  </w:num>
  <w:num w:numId="38">
    <w:abstractNumId w:val="405332"/>
  </w:num>
  <w:num w:numId="39">
    <w:abstractNumId w:val="405333"/>
  </w:num>
  <w:num w:numId="40">
    <w:abstractNumId w:val="405334"/>
  </w:num>
  <w:num w:numId="41">
    <w:abstractNumId w:val="405335"/>
  </w:num>
  <w:num w:numId="42">
    <w:abstractNumId w:val="405336"/>
  </w:num>
  <w:num w:numId="43">
    <w:abstractNumId w:val="405337"/>
  </w:num>
  <w:num w:numId="44">
    <w:abstractNumId w:val="405338"/>
  </w:num>
  <w:num w:numId="45">
    <w:abstractNumId w:val="405339"/>
  </w:num>
  <w:num w:numId="46">
    <w:abstractNumId w:val="405340"/>
  </w:num>
  <w:num w:numId="47">
    <w:abstractNumId w:val="405341"/>
  </w:num>
  <w:num w:numId="48">
    <w:abstractNumId w:val="405342"/>
  </w:num>
  <w:num w:numId="49">
    <w:abstractNumId w:val="405343"/>
  </w:num>
  <w:num w:numId="50">
    <w:abstractNumId w:val="405344"/>
  </w:num>
  <w:num w:numId="51">
    <w:abstractNumId w:val="405345"/>
  </w:num>
  <w:num w:numId="52">
    <w:abstractNumId w:val="405346"/>
  </w:num>
  <w:num w:numId="53">
    <w:abstractNumId w:val="405347"/>
  </w:num>
  <w:num w:numId="54">
    <w:abstractNumId w:val="405348"/>
  </w:num>
  <w:num w:numId="55">
    <w:abstractNumId w:val="405349"/>
  </w:num>
  <w:num w:numId="56">
    <w:abstractNumId w:val="405350"/>
  </w:num>
  <w:num w:numId="57">
    <w:abstractNumId w:val="405351"/>
  </w:num>
  <w:num w:numId="58">
    <w:abstractNumId w:val="405352"/>
  </w:num>
  <w:num w:numId="59">
    <w:abstractNumId w:val="405353"/>
  </w:num>
  <w:num w:numId="60">
    <w:abstractNumId w:val="405354"/>
  </w:num>
  <w:num w:numId="61">
    <w:abstractNumId w:val="405355"/>
  </w:num>
  <w:num w:numId="62">
    <w:abstractNumId w:val="405356"/>
  </w:num>
  <w:num w:numId="63">
    <w:abstractNumId w:val="405357"/>
  </w:num>
  <w:num w:numId="64">
    <w:abstractNumId w:val="405358"/>
  </w:num>
  <w:num w:numId="65">
    <w:abstractNumId w:val="405359"/>
  </w:num>
  <w:num w:numId="66">
    <w:abstractNumId w:val="405360"/>
  </w:num>
  <w:num w:numId="67">
    <w:abstractNumId w:val="405361"/>
  </w:num>
  <w:num w:numId="68">
    <w:abstractNumId w:val="405362"/>
  </w:num>
  <w:num w:numId="69">
    <w:abstractNumId w:val="405363"/>
  </w:num>
  <w:num w:numId="70">
    <w:abstractNumId w:val="405364"/>
  </w:num>
  <w:num w:numId="71">
    <w:abstractNumId w:val="405365"/>
  </w:num>
  <w:num w:numId="72">
    <w:abstractNumId w:val="405366"/>
  </w:num>
  <w:num w:numId="73">
    <w:abstractNumId w:val="405367"/>
  </w:num>
  <w:num w:numId="74">
    <w:abstractNumId w:val="405368"/>
  </w:num>
  <w:num w:numId="75">
    <w:abstractNumId w:val="405369"/>
  </w:num>
  <w:num w:numId="76">
    <w:abstractNumId w:val="405370"/>
  </w:num>
  <w:num w:numId="77">
    <w:abstractNumId w:val="405371"/>
  </w:num>
  <w:num w:numId="78">
    <w:abstractNumId w:val="405372"/>
  </w:num>
  <w:num w:numId="79">
    <w:abstractNumId w:val="405373"/>
  </w:num>
  <w:num w:numId="80">
    <w:abstractNumId w:val="405374"/>
  </w:num>
  <w:num w:numId="81">
    <w:abstractNumId w:val="405375"/>
  </w:num>
  <w:num w:numId="82">
    <w:abstractNumId w:val="405376"/>
  </w:num>
  <w:num w:numId="83">
    <w:abstractNumId w:val="405377"/>
  </w:num>
  <w:num w:numId="84">
    <w:abstractNumId w:val="405378"/>
  </w:num>
  <w:num w:numId="85">
    <w:abstractNumId w:val="405379"/>
  </w:num>
  <w:num w:numId="86">
    <w:abstractNumId w:val="405380"/>
  </w:num>
  <w:num w:numId="87">
    <w:abstractNumId w:val="405381"/>
  </w:num>
  <w:num w:numId="88">
    <w:abstractNumId w:val="405382"/>
  </w:num>
  <w:num w:numId="89">
    <w:abstractNumId w:val="405383"/>
  </w:num>
  <w:num w:numId="90">
    <w:abstractNumId w:val="405384"/>
  </w:num>
  <w:num w:numId="91">
    <w:abstractNumId w:val="405385"/>
  </w:num>
  <w:num w:numId="92">
    <w:abstractNumId w:val="405386"/>
  </w:num>
  <w:num w:numId="93">
    <w:abstractNumId w:val="405387"/>
  </w:num>
  <w:num w:numId="94">
    <w:abstractNumId w:val="405388"/>
  </w:num>
  <w:num w:numId="95">
    <w:abstractNumId w:val="405389"/>
  </w:num>
  <w:num w:numId="96">
    <w:abstractNumId w:val="405390"/>
  </w:num>
  <w:num w:numId="97">
    <w:abstractNumId w:val="405391"/>
  </w:num>
  <w:num w:numId="98">
    <w:abstractNumId w:val="405392"/>
  </w:num>
  <w:num w:numId="99">
    <w:abstractNumId w:val="405393"/>
  </w:num>
  <w:num w:numId="100">
    <w:abstractNumId w:val="405394"/>
  </w:num>
  <w:num w:numId="101">
    <w:abstractNumId w:val="405395"/>
  </w:num>
  <w:num w:numId="102">
    <w:abstractNumId w:val="405396"/>
  </w:num>
  <w:num w:numId="103">
    <w:abstractNumId w:val="405397"/>
  </w:num>
  <w:num w:numId="104">
    <w:abstractNumId w:val="405398"/>
  </w:num>
  <w:num w:numId="105">
    <w:abstractNumId w:val="405399"/>
  </w:num>
  <w:num w:numId="106">
    <w:abstractNumId w:val="405400"/>
  </w:num>
  <w:num w:numId="107">
    <w:abstractNumId w:val="405401"/>
  </w:num>
  <w:num w:numId="108">
    <w:abstractNumId w:val="405402"/>
  </w:num>
  <w:num w:numId="109">
    <w:abstractNumId w:val="405403"/>
  </w:num>
  <w:num w:numId="110">
    <w:abstractNumId w:val="405404"/>
  </w:num>
  <w:num w:numId="111">
    <w:abstractNumId w:val="405405"/>
  </w:num>
  <w:num w:numId="112">
    <w:abstractNumId w:val="405406"/>
  </w:num>
  <w:num w:numId="113">
    <w:abstractNumId w:val="405407"/>
  </w:num>
  <w:num w:numId="114">
    <w:abstractNumId w:val="405408"/>
  </w:num>
  <w:num w:numId="115">
    <w:abstractNumId w:val="405409"/>
  </w:num>
  <w:num w:numId="116">
    <w:abstractNumId w:val="405410"/>
  </w:num>
  <w:num w:numId="117">
    <w:abstractNumId w:val="405411"/>
  </w:num>
  <w:num w:numId="118">
    <w:abstractNumId w:val="405412"/>
  </w:num>
  <w:num w:numId="119">
    <w:abstractNumId w:val="405413"/>
  </w:num>
  <w:num w:numId="120">
    <w:abstractNumId w:val="405414"/>
  </w:num>
  <w:num w:numId="121">
    <w:abstractNumId w:val="405415"/>
  </w:num>
  <w:num w:numId="122">
    <w:abstractNumId w:val="405416"/>
  </w:num>
  <w:num w:numId="123">
    <w:abstractNumId w:val="405417"/>
  </w:num>
  <w:num w:numId="124">
    <w:abstractNumId w:val="405418"/>
  </w:num>
  <w:num w:numId="125">
    <w:abstractNumId w:val="405419"/>
  </w:num>
  <w:num w:numId="126">
    <w:abstractNumId w:val="405420"/>
  </w:num>
  <w:num w:numId="127">
    <w:abstractNumId w:val="405421"/>
  </w:num>
  <w:num w:numId="128">
    <w:abstractNumId w:val="405422"/>
  </w:num>
  <w:num w:numId="129">
    <w:abstractNumId w:val="405423"/>
  </w:num>
  <w:num w:numId="130">
    <w:abstractNumId w:val="405424"/>
  </w:num>
  <w:num w:numId="131">
    <w:abstractNumId w:val="405425"/>
  </w:num>
  <w:num w:numId="132">
    <w:abstractNumId w:val="405426"/>
  </w:num>
  <w:num w:numId="133">
    <w:abstractNumId w:val="405427"/>
  </w:num>
  <w:num w:numId="134">
    <w:abstractNumId w:val="405428"/>
  </w:num>
  <w:num w:numId="135">
    <w:abstractNumId w:val="405429"/>
  </w:num>
  <w:num w:numId="136">
    <w:abstractNumId w:val="405430"/>
  </w:num>
  <w:num w:numId="137">
    <w:abstractNumId w:val="405431"/>
  </w:num>
  <w:num w:numId="138">
    <w:abstractNumId w:val="405432"/>
  </w:num>
  <w:num w:numId="139">
    <w:abstractNumId w:val="405433"/>
  </w:num>
  <w:num w:numId="140">
    <w:abstractNumId w:val="405434"/>
  </w:num>
  <w:num w:numId="141">
    <w:abstractNumId w:val="405435"/>
  </w:num>
  <w:num w:numId="142">
    <w:abstractNumId w:val="405436"/>
  </w:num>
  <w:num w:numId="143">
    <w:abstractNumId w:val="405437"/>
  </w:num>
  <w:num w:numId="144">
    <w:abstractNumId w:val="405438"/>
  </w:num>
  <w:num w:numId="145">
    <w:abstractNumId w:val="405439"/>
  </w:num>
  <w:num w:numId="146">
    <w:abstractNumId w:val="405440"/>
  </w:num>
  <w:num w:numId="147">
    <w:abstractNumId w:val="405441"/>
  </w:num>
  <w:num w:numId="148">
    <w:abstractNumId w:val="405442"/>
  </w:num>
  <w:num w:numId="149">
    <w:abstractNumId w:val="405443"/>
  </w:num>
  <w:num w:numId="150">
    <w:abstractNumId w:val="405444"/>
  </w:num>
  <w:num w:numId="151">
    <w:abstractNumId w:val="405445"/>
  </w:num>
  <w:num w:numId="152">
    <w:abstractNumId w:val="405446"/>
  </w:num>
  <w:num w:numId="153">
    <w:abstractNumId w:val="405447"/>
  </w:num>
  <w:num w:numId="154">
    <w:abstractNumId w:val="405448"/>
  </w:num>
  <w:num w:numId="155">
    <w:abstractNumId w:val="405449"/>
  </w:num>
  <w:num w:numId="156">
    <w:abstractNumId w:val="405450"/>
  </w:num>
  <w:num w:numId="157">
    <w:abstractNumId w:val="405451"/>
  </w:num>
  <w:num w:numId="158">
    <w:abstractNumId w:val="405452"/>
  </w:num>
  <w:num w:numId="159">
    <w:abstractNumId w:val="405453"/>
  </w:num>
  <w:num w:numId="160">
    <w:abstractNumId w:val="405454"/>
  </w:num>
  <w:num w:numId="161">
    <w:abstractNumId w:val="405455"/>
  </w:num>
  <w:num w:numId="162">
    <w:abstractNumId w:val="405456"/>
  </w:num>
  <w:num w:numId="163">
    <w:abstractNumId w:val="405457"/>
  </w:num>
  <w:num w:numId="164">
    <w:abstractNumId w:val="405458"/>
  </w:num>
  <w:num w:numId="165">
    <w:abstractNumId w:val="405459"/>
  </w:num>
  <w:num w:numId="166">
    <w:abstractNumId w:val="405460"/>
  </w:num>
  <w:num w:numId="167">
    <w:abstractNumId w:val="405461"/>
  </w:num>
  <w:num w:numId="168">
    <w:abstractNumId w:val="405462"/>
  </w:num>
  <w:num w:numId="169">
    <w:abstractNumId w:val="405463"/>
  </w:num>
  <w:num w:numId="170">
    <w:abstractNumId w:val="405464"/>
  </w:num>
  <w:num w:numId="171">
    <w:abstractNumId w:val="405465"/>
  </w:num>
  <w:num w:numId="172">
    <w:abstractNumId w:val="405466"/>
  </w:num>
  <w:num w:numId="173">
    <w:abstractNumId w:val="405467"/>
  </w:num>
  <w:num w:numId="174">
    <w:abstractNumId w:val="405468"/>
  </w:num>
  <w:num w:numId="175">
    <w:abstractNumId w:val="405469"/>
  </w:num>
  <w:num w:numId="176">
    <w:abstractNumId w:val="405470"/>
  </w:num>
  <w:num w:numId="177">
    <w:abstractNumId w:val="405471"/>
  </w:num>
  <w:num w:numId="178">
    <w:abstractNumId w:val="405472"/>
  </w:num>
  <w:num w:numId="179">
    <w:abstractNumId w:val="405473"/>
  </w:num>
  <w:num w:numId="180">
    <w:abstractNumId w:val="405474"/>
  </w:num>
  <w:num w:numId="181">
    <w:abstractNumId w:val="405475"/>
  </w:num>
  <w:num w:numId="182">
    <w:abstractNumId w:val="405476"/>
  </w:num>
  <w:num w:numId="183">
    <w:abstractNumId w:val="405477"/>
  </w:num>
  <w:num w:numId="184">
    <w:abstractNumId w:val="405478"/>
  </w:num>
  <w:num w:numId="185">
    <w:abstractNumId w:val="405479"/>
  </w:num>
  <w:num w:numId="186">
    <w:abstractNumId w:val="405480"/>
  </w:num>
  <w:num w:numId="187">
    <w:abstractNumId w:val="405481"/>
  </w:num>
  <w:num w:numId="188">
    <w:abstractNumId w:val="405482"/>
  </w:num>
  <w:num w:numId="189">
    <w:abstractNumId w:val="405483"/>
  </w:num>
  <w:num w:numId="190">
    <w:abstractNumId w:val="405484"/>
  </w:num>
  <w:num w:numId="191">
    <w:abstractNumId w:val="405485"/>
  </w:num>
  <w:num w:numId="192">
    <w:abstractNumId w:val="405486"/>
  </w:num>
  <w:num w:numId="193">
    <w:abstractNumId w:val="4054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https://advertising.amazon.com/resources/whats-new/data-driven-decisions-with-new-benchmarks-from-amazon-ads?utm_source=chatgpt.com" TargetMode="External" Type="http://schemas.openxmlformats.org/officeDocument/2006/relationships/hyperlink"/><Relationship Id="rId22" Target="https://advertising.amazon.com/resources/whats-new/sponsored-brands-category-benchmark-report?utm_source=chatgpt.com" TargetMode="External" Type="http://schemas.openxmlformats.org/officeDocument/2006/relationships/hyperlink"/><Relationship Id="rId23" Target="media/image17.png" Type="http://schemas.openxmlformats.org/officeDocument/2006/relationships/image"/><Relationship Id="rId24" Target="https://advertising.amazon.com/resources/whats-new/data-driven-decisions-with-new-benchmarks-from-amazon-ads?utm_source=chatgpt.com" TargetMode="External" Type="http://schemas.openxmlformats.org/officeDocument/2006/relationships/hyperlink"/><Relationship Id="rId25" Target="https://advertising.amazon.com/resources/whats-new/sponsored-brands-category-benchmark-report?utm_source=chatgpt.com" TargetMode="External" Type="http://schemas.openxmlformats.org/officeDocument/2006/relationships/hyperlink"/><Relationship Id="rId26" Target="https://advertising.amazon.com/resources/whats-new/sponsored-brands-category-benchmark-report?utm_source=chatgpt.com" TargetMode="External" Type="http://schemas.openxmlformats.org/officeDocument/2006/relationships/hyperlink"/><Relationship Id="rId27" Target="https://advertising.amazon.com/resources/whats-new/data-driven-decisions-with-new-benchmarks-from-amazon-ads?utm_source=chatgpt.com" TargetMode="External" Type="http://schemas.openxmlformats.org/officeDocument/2006/relationships/hyperlink"/><Relationship Id="rId28" Target="https://advertising.amazon.com/resources/whats-new/data-driven-decisions-with-new-benchmarks-from-amazon-ads?utm_source=chatgpt.com" TargetMode="External" Type="http://schemas.openxmlformats.org/officeDocument/2006/relationships/hyperlink"/><Relationship Id="rId29" Target="https://advertising.amazon.com/resources/whats-new/data-driven-decisions-with-new-benchmarks-from-amazon-ads?utm_source=chatgpt.com" TargetMode="External" Type="http://schemas.openxmlformats.org/officeDocument/2006/relationships/hyperlink"/><Relationship Id="rId3" Target="footer1.xml" Type="http://schemas.openxmlformats.org/officeDocument/2006/relationships/footer"/><Relationship Id="rId30" Target="https://advertising.amazon.com/resources/whats-new/data-driven-decisions-with-new-benchmarks-from-amazon-ads?utm_source=chatgpt.com" TargetMode="External" Type="http://schemas.openxmlformats.org/officeDocument/2006/relationships/hyperlink"/><Relationship Id="rId31" Target="https://advertising.amazon.com/resources/whats-new/data-driven-decisions-with-new-benchmarks-from-amazon-ads?utm_source=chatgpt.com" TargetMode="External" Type="http://schemas.openxmlformats.org/officeDocument/2006/relationships/hyperlink"/><Relationship Id="rId32" Target="media/image18.png" Type="http://schemas.openxmlformats.org/officeDocument/2006/relationships/image"/><Relationship Id="rId33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2026-07-28T02:19:50Z</dcterms:created>
  <dc:creator>Apache POI</dc:creator>
</cp:coreProperties>
</file>