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我比较关注几个数据线【详细讲讲】分别解释以下4个广告优化的数据线 1. CVR警戒线 2. 竞价效率底线 3. 有效流量线 4. 成本容错线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049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亚马逊A9算法：知其然必知其所以然Algorithm LIST (1).xmind</w:t>
        </w:r>
      </w:hyperlink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002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097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383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四大广告优化数据线详解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结合文档中提到的流量分层、否定词体系等策略，以下四个数据线是衡量捡漏广告效果及优化方向的核心指标：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CVR警戒线（转化率红线）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：广告转化率（CVR）的最低阈值，低于此值需立即调整策略。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计算公式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>$CVR = \frac{\text{广告订单数}}{\text{广告点击量}} \times 100\%$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：反映流量质量及产品承接能力，需高于自然转化率的80%（例如自然转化率8%，广告CVR警戒线设为6.4%）。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优化措施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触发警戒后动作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清理垃圾流量：筛查点击量＞5但0转化的ASIN/词，立即否定。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调整竞价策略：对高点击低转化的词从广泛匹配改为精准匹配。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案例</w:t>
      </w:r>
      <w:r>
        <w:rPr>
          <w:rFonts w:eastAsia="等线" w:ascii="Arial" w:cs="Arial" w:hAnsi="Arial"/>
          <w:sz w:val="22"/>
        </w:rPr>
        <w:t>：某家居品广告CVR由8%跌至5%（警戒线6%），查出被某竞品ASIN大量恶意点击，否定该ASIN后CVR回升至7.5%。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竞价效率底线（ROAS保本线）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：单次点击竞价（CPC）与广告产出效率的平衡点，低于此值广告亏损。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计算公式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>$\text{竞价效率度} = \frac{\text{广告销售额}}{\text{建议竞价} \times \text{点击量}}$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效率度≥1：竞价合理，可维持或扩流；＜1则需优化。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设定逻辑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假设建议竞价$0.5，实际CPC为$0.3时：</w:t>
        <w:br/>
      </w:r>
      <w:r>
        <w:rPr>
          <w:rFonts w:eastAsia="等线" w:ascii="Arial" w:cs="Arial" w:hAnsi="Arial"/>
          <w:b w:val="true"/>
          <w:sz w:val="22"/>
        </w:rPr>
        <w:t>要求</w:t>
      </w:r>
      <w:r>
        <w:rPr>
          <w:rFonts w:eastAsia="等线" w:ascii="Arial" w:cs="Arial" w:hAnsi="Arial"/>
          <w:sz w:val="22"/>
        </w:rPr>
        <w:t>：广告单次点击至少产出$0.3×4（毛利率）= $1.2销售额。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若不达标，需降低CPC或提升转化。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优化指南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效率度＜1</w:t>
      </w:r>
      <w:r>
        <w:rPr>
          <w:rFonts w:eastAsia="等线" w:ascii="Arial" w:cs="Arial" w:hAnsi="Arial"/>
          <w:sz w:val="22"/>
        </w:rPr>
        <w:t>：逐步降低竞价5%-10%，或重点投放转化词。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效率度＞1.5</w:t>
      </w:r>
      <w:r>
        <w:rPr>
          <w:rFonts w:eastAsia="等线" w:ascii="Arial" w:cs="Arial" w:hAnsi="Arial"/>
          <w:sz w:val="22"/>
        </w:rPr>
        <w:t>：可尝试扩流（增加词或提升竞价10%）。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有效流量线（精准流量占比）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：广告流量中具备转化潜力的比例下限，用于监控垃圾流量污染程度。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计算公式</w:t>
      </w:r>
      <w:r>
        <w:rPr>
          <w:rFonts w:eastAsia="等线" w:ascii="Arial" w:cs="Arial" w:hAnsi="Arial"/>
          <w:sz w:val="22"/>
        </w:rPr>
        <w:t>：</w:t>
        <w:br/>
        <w:t>$\text{有效流量率} = \frac{\text{有效点击量（有加购/转化）}}{\text{总点击量}} \times 100\%$</w:t>
        <w:br/>
      </w:r>
      <w:r>
        <w:rPr>
          <w:rFonts w:eastAsia="等线" w:ascii="Arial" w:cs="Arial" w:hAnsi="Arial"/>
          <w:b w:val="true"/>
          <w:sz w:val="22"/>
        </w:rPr>
        <w:t>红线</w:t>
      </w:r>
      <w:r>
        <w:rPr>
          <w:rFonts w:eastAsia="等线" w:ascii="Arial" w:cs="Arial" w:hAnsi="Arial"/>
          <w:sz w:val="22"/>
        </w:rPr>
        <w:t>：需≥50%（理想值≥80%）。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维护策略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三级否定防御体系</w:t>
      </w:r>
      <w:r>
        <w:rPr>
          <w:rFonts w:eastAsia="等线" w:ascii="Arial" w:cs="Arial" w:hAnsi="Arial"/>
          <w:sz w:val="22"/>
        </w:rPr>
        <w:t>（见文档）：每日/周/月清理低效词和ASIN。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分层流量管理</w:t>
      </w:r>
      <w:r>
        <w:rPr>
          <w:rFonts w:eastAsia="等线" w:ascii="Arial" w:cs="Arial" w:hAnsi="Arial"/>
          <w:sz w:val="22"/>
        </w:rPr>
        <w:t>：自动广告四阶漏斗中，宽泛组负责“垃圾试错”，紧密组专注留存有效流量。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</w:t>
      </w:r>
      <w:r>
        <w:rPr>
          <w:rFonts w:eastAsia="等线" w:ascii="Arial" w:cs="Arial" w:hAnsi="Arial"/>
          <w:sz w:val="22"/>
        </w:rPr>
        <w:t>：某电子产品自动广告初期有效流量率仅35%，通过否定30个无关ASIN和15个宽泛词，提升至68%。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成本容错线（ACOS上限）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：在保证整体利润的前提下，容忍的广告成本占销售额最高比例。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计算公式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>$\text{成本容错线} = \text{产品毛利率} - \text{目标净利率}$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 xml:space="preserve"> 产品毛利率50%，目标净利率20% → 容错线为30%（ACOS需≤30%）。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动态调整规则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ACOS＜25%</w:t>
      </w:r>
      <w:r>
        <w:rPr>
          <w:rFonts w:eastAsia="等线" w:ascii="Arial" w:cs="Arial" w:hAnsi="Arial"/>
          <w:sz w:val="22"/>
        </w:rPr>
        <w:t>：持续投放，优化词库扩大流量。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ACOS 25%-30%</w:t>
      </w:r>
      <w:r>
        <w:rPr>
          <w:rFonts w:eastAsia="等线" w:ascii="Arial" w:cs="Arial" w:hAnsi="Arial"/>
          <w:sz w:val="22"/>
        </w:rPr>
        <w:t>：监控转化率，收缩低效组预算。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ACOS＞30%</w:t>
      </w:r>
      <w:r>
        <w:rPr>
          <w:rFonts w:eastAsia="等线" w:ascii="Arial" w:cs="Arial" w:hAnsi="Arial"/>
          <w:sz w:val="22"/>
        </w:rPr>
        <w:t>：暂停并分析问题（Listing质量、流量匹配度）。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特殊场景</w:t>
      </w:r>
      <w:r>
        <w:rPr>
          <w:rFonts w:eastAsia="等线" w:ascii="Arial" w:cs="Arial" w:hAnsi="Arial"/>
          <w:sz w:val="22"/>
        </w:rPr>
        <w:t xml:space="preserve">： 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新品期</w:t>
      </w:r>
      <w:r>
        <w:rPr>
          <w:rFonts w:eastAsia="等线" w:ascii="Arial" w:cs="Arial" w:hAnsi="Arial"/>
          <w:sz w:val="22"/>
        </w:rPr>
        <w:t>：容错线可放宽至毛利率的80%（牺牲短期利润换权重）。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老品防御期</w:t>
      </w:r>
      <w:r>
        <w:rPr>
          <w:rFonts w:eastAsia="等线" w:ascii="Arial" w:cs="Arial" w:hAnsi="Arial"/>
          <w:sz w:val="22"/>
        </w:rPr>
        <w:t>：容错线收紧至15%，侧重自然流量维护。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四线联动优化示例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某宠物用品广告组数据：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CVR</w:t>
      </w:r>
      <w:r>
        <w:rPr>
          <w:rFonts w:eastAsia="等线" w:ascii="Arial" w:cs="Arial" w:hAnsi="Arial"/>
          <w:sz w:val="22"/>
        </w:rPr>
        <w:t>：7%（警戒线5%）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竞价效率度</w:t>
      </w:r>
      <w:r>
        <w:rPr>
          <w:rFonts w:eastAsia="等线" w:ascii="Arial" w:cs="Arial" w:hAnsi="Arial"/>
          <w:sz w:val="22"/>
        </w:rPr>
        <w:t>：1.2（目标≥1）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有效流量率</w:t>
      </w:r>
      <w:r>
        <w:rPr>
          <w:rFonts w:eastAsia="等线" w:ascii="Arial" w:cs="Arial" w:hAnsi="Arial"/>
          <w:sz w:val="22"/>
        </w:rPr>
        <w:t>：60%（目标50%）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ACOS</w:t>
      </w:r>
      <w:r>
        <w:rPr>
          <w:rFonts w:eastAsia="等线" w:ascii="Arial" w:cs="Arial" w:hAnsi="Arial"/>
          <w:sz w:val="22"/>
        </w:rPr>
        <w:t>：28%（容错线30%）</w:t>
        <w:br/>
      </w: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CVR和有效流量率安全，但ACOS接近容错线，需行动： 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降低CPC</w:t>
      </w:r>
      <w:r>
        <w:rPr>
          <w:rFonts w:eastAsia="等线" w:ascii="Arial" w:cs="Arial" w:hAnsi="Arial"/>
          <w:sz w:val="22"/>
        </w:rPr>
        <w:t>：对效率度1-1.2的词下调竞价5%。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清理边界词</w:t>
      </w:r>
      <w:r>
        <w:rPr>
          <w:rFonts w:eastAsia="等线" w:ascii="Arial" w:cs="Arial" w:hAnsi="Arial"/>
          <w:sz w:val="22"/>
        </w:rPr>
        <w:t>：否定ACOS 25%-30%的长尾词，保留高转化核心词。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提升转化率</w:t>
      </w:r>
      <w:r>
        <w:rPr>
          <w:rFonts w:eastAsia="等线" w:ascii="Arial" w:cs="Arial" w:hAnsi="Arial"/>
          <w:sz w:val="22"/>
        </w:rPr>
        <w:t>：优化商品页图片，增强卖点提高CVR。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核心原则</w:t>
      </w:r>
      <w:bookmarkEnd w:id="2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数据线不是绝对值，需动态校准</w:t>
      </w:r>
      <w:r>
        <w:rPr>
          <w:rFonts w:eastAsia="等线" w:ascii="Arial" w:cs="Arial" w:hAnsi="Arial"/>
          <w:sz w:val="22"/>
        </w:rPr>
        <w:t>：根据品类、生命周期、竞争环境调整阈值。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四线优先级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b w:val="true"/>
          <w:sz w:val="22"/>
        </w:rPr>
        <w:t>CVR＞有效流量率＞竞价效率＞ACOS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（转化健康是基础，其次流量纯度，再追求效率，最后控制成本）。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的，我现在来仔细思考用户的问题。用户之前让总结关于亚马逊广告捡漏打法的文档，然后要求简化。现在他们进一步询问四个数据线：CVR警戒线、竞价效率底线、有效流量线、成本容错线，希望详细解释。需要结合文档内容来回答，因为之前的文档提到了这些数据线的重要性，但用户现在需要更详细的解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，我需要确定这四个数据线的定义。用户可能需要知道每个指标具体是什么，如何计算，以及如何应用在广告优化中。可能还需要提供案例或阈值作为参考。接下来，我需要确保我的回答与文档中的策略和方法一致，比如提到的流量分层、否定词防御体系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阅读原始文档后，发现作者在最后提到关注这四个数据线，并说以后再讲。用户显然希望深入这些点。我需要从文档中寻找线索，并结合自己的知识来补充。例如，CVR警戒线可能与转化率相关，当转化率低于某个值时需要调整策略；竞价效率底线可能涉及广告支出与回报的关系；有效流量线可能指高转化流量的比例；成本容错线可能与预算和利润空间有关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接下来需要逐个分析：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CVR警戒线</w:t>
      </w:r>
      <w:r>
        <w:rPr>
          <w:rFonts w:eastAsia="等线" w:ascii="Arial" w:cs="Arial" w:hAnsi="Arial"/>
          <w:sz w:val="22"/>
        </w:rPr>
        <w:t>：文档提到转化率的重要性，尤其是自然转化率和广告转化率。警戒线应该是确保广告转化率不低于某个阈值，否则可能导致流量质量差，ACOS过高。可能需要通过否定词和调整竞价来处理。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竞价效率底线</w:t>
      </w:r>
      <w:r>
        <w:rPr>
          <w:rFonts w:eastAsia="等线" w:ascii="Arial" w:cs="Arial" w:hAnsi="Arial"/>
          <w:sz w:val="22"/>
        </w:rPr>
        <w:t>：这可能与竞价效率和广告支出回报率有关。文档中提到的竞价效率度 = 广告销售额 /（建议竞价×点击量），可能用于评估竞价是否合理。底线即最低可接受的效率值，若低于此需调整竞价或否定低效词。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有效流量线</w:t>
      </w:r>
      <w:r>
        <w:rPr>
          <w:rFonts w:eastAsia="等线" w:ascii="Arial" w:cs="Arial" w:hAnsi="Arial"/>
          <w:sz w:val="22"/>
        </w:rPr>
        <w:t>：文档多次提到需要清理垃圾流量，提升有效流量占比。有效流量线可能指有效点击量占总点击量的比例（如≥80%），通过三级否定体系维护。这部分需要结合用户问题中的“有效流量线”来展开。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成本容错线</w:t>
      </w:r>
      <w:r>
        <w:rPr>
          <w:rFonts w:eastAsia="等线" w:ascii="Arial" w:cs="Arial" w:hAnsi="Arial"/>
          <w:sz w:val="22"/>
        </w:rPr>
        <w:t>：可能涉及ACOS或其他成本指标的上限，考虑到利润率和预算分配。文档提到需要平衡ACOS和可持续增长，因此容错线可能是允许的最高ACOS，超过则需优化广告结构或产品。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外，需要给出每个数据线的具体定义、计算公式、应用方法及案例，并确保与文档中的策略一致。例如，在否定词体系中，有效流量的维护直接关联到有效流量线的指标。而CVR警戒线可能触发否定词操作或竞价调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最后，确认所有信息准确、逻辑清晰，用案例辅助说明，帮助用户理解如何应用这些数据线优化广告活动。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四大广告优化数据线详解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我比较关注几个数据线【详细讲讲】分别解释以下4个广告优化的数据线 1. CVR警戒线 2. 竞价效率底线 3. 有效流量线 4. 成本容错线</w:t>
      </w:r>
    </w:p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亚马逊A9算法：知其然必知其所以然Algorithm LIST (1).xmind</w:t>
        </w:r>
      </w:hyperlink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04297">
    <w:lvl>
      <w:start w:val="1"/>
      <w:numFmt w:val="decimal"/>
      <w:suff w:val="tab"/>
      <w:lvlText w:val="%1."/>
      <w:rPr>
        <w:color w:val="3370ff"/>
      </w:rPr>
    </w:lvl>
  </w:abstractNum>
  <w:abstractNum w:abstractNumId="2904298">
    <w:lvl>
      <w:numFmt w:val="bullet"/>
      <w:suff w:val="tab"/>
      <w:lvlText w:val="•"/>
      <w:rPr>
        <w:color w:val="3370ff"/>
      </w:rPr>
    </w:lvl>
  </w:abstractNum>
  <w:abstractNum w:abstractNumId="2904299">
    <w:lvl>
      <w:numFmt w:val="bullet"/>
      <w:suff w:val="tab"/>
      <w:lvlText w:val="•"/>
      <w:rPr>
        <w:color w:val="3370ff"/>
      </w:rPr>
    </w:lvl>
  </w:abstractNum>
  <w:abstractNum w:abstractNumId="2904300">
    <w:lvl>
      <w:numFmt w:val="bullet"/>
      <w:suff w:val="tab"/>
      <w:lvlText w:val="•"/>
      <w:rPr>
        <w:color w:val="3370ff"/>
      </w:rPr>
    </w:lvl>
  </w:abstractNum>
  <w:abstractNum w:abstractNumId="2904301">
    <w:lvl>
      <w:numFmt w:val="bullet"/>
      <w:suff w:val="tab"/>
      <w:lvlText w:val="￮"/>
      <w:rPr>
        <w:color w:val="3370ff"/>
      </w:rPr>
    </w:lvl>
  </w:abstractNum>
  <w:abstractNum w:abstractNumId="2904302">
    <w:lvl>
      <w:numFmt w:val="bullet"/>
      <w:suff w:val="tab"/>
      <w:lvlText w:val="▪"/>
      <w:rPr>
        <w:color w:val="3370ff"/>
        <w:sz w:val="11"/>
      </w:rPr>
    </w:lvl>
  </w:abstractNum>
  <w:abstractNum w:abstractNumId="2904303">
    <w:lvl>
      <w:numFmt w:val="bullet"/>
      <w:suff w:val="tab"/>
      <w:lvlText w:val="▪"/>
      <w:rPr>
        <w:color w:val="3370ff"/>
        <w:sz w:val="11"/>
      </w:rPr>
    </w:lvl>
  </w:abstractNum>
  <w:abstractNum w:abstractNumId="2904304">
    <w:lvl>
      <w:numFmt w:val="bullet"/>
      <w:suff w:val="tab"/>
      <w:lvlText w:val="￮"/>
      <w:rPr>
        <w:color w:val="3370ff"/>
      </w:rPr>
    </w:lvl>
  </w:abstractNum>
  <w:abstractNum w:abstractNumId="2904305">
    <w:lvl>
      <w:start w:val="2"/>
      <w:numFmt w:val="decimal"/>
      <w:suff w:val="tab"/>
      <w:lvlText w:val="%1."/>
      <w:rPr>
        <w:color w:val="3370ff"/>
      </w:rPr>
    </w:lvl>
  </w:abstractNum>
  <w:abstractNum w:abstractNumId="2904306">
    <w:lvl>
      <w:numFmt w:val="bullet"/>
      <w:suff w:val="tab"/>
      <w:lvlText w:val="•"/>
      <w:rPr>
        <w:color w:val="3370ff"/>
      </w:rPr>
    </w:lvl>
  </w:abstractNum>
  <w:abstractNum w:abstractNumId="2904307">
    <w:lvl>
      <w:numFmt w:val="bullet"/>
      <w:suff w:val="tab"/>
      <w:lvlText w:val="￮"/>
      <w:rPr>
        <w:color w:val="3370ff"/>
      </w:rPr>
    </w:lvl>
  </w:abstractNum>
  <w:abstractNum w:abstractNumId="2904308">
    <w:lvl>
      <w:numFmt w:val="bullet"/>
      <w:suff w:val="tab"/>
      <w:lvlText w:val="•"/>
      <w:rPr>
        <w:color w:val="3370ff"/>
      </w:rPr>
    </w:lvl>
  </w:abstractNum>
  <w:abstractNum w:abstractNumId="2904309">
    <w:lvl>
      <w:numFmt w:val="bullet"/>
      <w:suff w:val="tab"/>
      <w:lvlText w:val="￮"/>
      <w:rPr>
        <w:color w:val="3370ff"/>
      </w:rPr>
    </w:lvl>
  </w:abstractNum>
  <w:abstractNum w:abstractNumId="2904310">
    <w:lvl>
      <w:numFmt w:val="bullet"/>
      <w:suff w:val="tab"/>
      <w:lvlText w:val="￮"/>
      <w:rPr>
        <w:color w:val="3370ff"/>
      </w:rPr>
    </w:lvl>
  </w:abstractNum>
  <w:abstractNum w:abstractNumId="2904311">
    <w:lvl>
      <w:numFmt w:val="bullet"/>
      <w:suff w:val="tab"/>
      <w:lvlText w:val="•"/>
      <w:rPr>
        <w:color w:val="3370ff"/>
      </w:rPr>
    </w:lvl>
  </w:abstractNum>
  <w:abstractNum w:abstractNumId="2904312">
    <w:lvl>
      <w:numFmt w:val="bullet"/>
      <w:suff w:val="tab"/>
      <w:lvlText w:val="￮"/>
      <w:rPr>
        <w:color w:val="3370ff"/>
      </w:rPr>
    </w:lvl>
  </w:abstractNum>
  <w:abstractNum w:abstractNumId="2904313">
    <w:lvl>
      <w:numFmt w:val="bullet"/>
      <w:suff w:val="tab"/>
      <w:lvlText w:val="￮"/>
      <w:rPr>
        <w:color w:val="3370ff"/>
      </w:rPr>
    </w:lvl>
  </w:abstractNum>
  <w:abstractNum w:abstractNumId="2904314">
    <w:lvl>
      <w:start w:val="3"/>
      <w:numFmt w:val="decimal"/>
      <w:suff w:val="tab"/>
      <w:lvlText w:val="%1."/>
      <w:rPr>
        <w:color w:val="3370ff"/>
      </w:rPr>
    </w:lvl>
  </w:abstractNum>
  <w:abstractNum w:abstractNumId="2904315">
    <w:lvl>
      <w:numFmt w:val="bullet"/>
      <w:suff w:val="tab"/>
      <w:lvlText w:val="•"/>
      <w:rPr>
        <w:color w:val="3370ff"/>
      </w:rPr>
    </w:lvl>
  </w:abstractNum>
  <w:abstractNum w:abstractNumId="2904316">
    <w:lvl>
      <w:numFmt w:val="bullet"/>
      <w:suff w:val="tab"/>
      <w:lvlText w:val="•"/>
      <w:rPr>
        <w:color w:val="3370ff"/>
      </w:rPr>
    </w:lvl>
  </w:abstractNum>
  <w:abstractNum w:abstractNumId="2904317">
    <w:lvl>
      <w:numFmt w:val="bullet"/>
      <w:suff w:val="tab"/>
      <w:lvlText w:val="￮"/>
      <w:rPr>
        <w:color w:val="3370ff"/>
      </w:rPr>
    </w:lvl>
  </w:abstractNum>
  <w:abstractNum w:abstractNumId="2904318">
    <w:lvl>
      <w:numFmt w:val="bullet"/>
      <w:suff w:val="tab"/>
      <w:lvlText w:val="￮"/>
      <w:rPr>
        <w:color w:val="3370ff"/>
      </w:rPr>
    </w:lvl>
  </w:abstractNum>
  <w:abstractNum w:abstractNumId="2904319">
    <w:lvl>
      <w:numFmt w:val="bullet"/>
      <w:suff w:val="tab"/>
      <w:lvlText w:val="•"/>
      <w:rPr>
        <w:color w:val="3370ff"/>
      </w:rPr>
    </w:lvl>
  </w:abstractNum>
  <w:abstractNum w:abstractNumId="2904320">
    <w:lvl>
      <w:start w:val="4"/>
      <w:numFmt w:val="decimal"/>
      <w:suff w:val="tab"/>
      <w:lvlText w:val="%1."/>
      <w:rPr>
        <w:color w:val="3370ff"/>
      </w:rPr>
    </w:lvl>
  </w:abstractNum>
  <w:abstractNum w:abstractNumId="2904321">
    <w:lvl>
      <w:numFmt w:val="bullet"/>
      <w:suff w:val="tab"/>
      <w:lvlText w:val="•"/>
      <w:rPr>
        <w:color w:val="3370ff"/>
      </w:rPr>
    </w:lvl>
  </w:abstractNum>
  <w:abstractNum w:abstractNumId="2904322">
    <w:lvl>
      <w:numFmt w:val="bullet"/>
      <w:suff w:val="tab"/>
      <w:lvlText w:val="￮"/>
      <w:rPr>
        <w:color w:val="3370ff"/>
      </w:rPr>
    </w:lvl>
  </w:abstractNum>
  <w:abstractNum w:abstractNumId="2904323">
    <w:lvl>
      <w:numFmt w:val="bullet"/>
      <w:suff w:val="tab"/>
      <w:lvlText w:val="•"/>
      <w:rPr>
        <w:color w:val="3370ff"/>
      </w:rPr>
    </w:lvl>
  </w:abstractNum>
  <w:abstractNum w:abstractNumId="2904324">
    <w:lvl>
      <w:numFmt w:val="bullet"/>
      <w:suff w:val="tab"/>
      <w:lvlText w:val="￮"/>
      <w:rPr>
        <w:color w:val="3370ff"/>
      </w:rPr>
    </w:lvl>
  </w:abstractNum>
  <w:abstractNum w:abstractNumId="2904325">
    <w:lvl>
      <w:numFmt w:val="bullet"/>
      <w:suff w:val="tab"/>
      <w:lvlText w:val="￮"/>
      <w:rPr>
        <w:color w:val="3370ff"/>
      </w:rPr>
    </w:lvl>
  </w:abstractNum>
  <w:abstractNum w:abstractNumId="2904326">
    <w:lvl>
      <w:numFmt w:val="bullet"/>
      <w:suff w:val="tab"/>
      <w:lvlText w:val="￮"/>
      <w:rPr>
        <w:color w:val="3370ff"/>
      </w:rPr>
    </w:lvl>
  </w:abstractNum>
  <w:abstractNum w:abstractNumId="2904327">
    <w:lvl>
      <w:numFmt w:val="bullet"/>
      <w:suff w:val="tab"/>
      <w:lvlText w:val="•"/>
      <w:rPr>
        <w:color w:val="3370ff"/>
      </w:rPr>
    </w:lvl>
  </w:abstractNum>
  <w:abstractNum w:abstractNumId="2904328">
    <w:lvl>
      <w:numFmt w:val="bullet"/>
      <w:suff w:val="tab"/>
      <w:lvlText w:val="￮"/>
      <w:rPr>
        <w:color w:val="3370ff"/>
      </w:rPr>
    </w:lvl>
  </w:abstractNum>
  <w:abstractNum w:abstractNumId="2904329">
    <w:lvl>
      <w:numFmt w:val="bullet"/>
      <w:suff w:val="tab"/>
      <w:lvlText w:val="￮"/>
      <w:rPr>
        <w:color w:val="3370ff"/>
      </w:rPr>
    </w:lvl>
  </w:abstractNum>
  <w:abstractNum w:abstractNumId="2904330">
    <w:lvl>
      <w:numFmt w:val="bullet"/>
      <w:suff w:val="tab"/>
      <w:lvlText w:val="•"/>
      <w:rPr>
        <w:color w:val="3370ff"/>
      </w:rPr>
    </w:lvl>
  </w:abstractNum>
  <w:abstractNum w:abstractNumId="2904331">
    <w:lvl>
      <w:numFmt w:val="bullet"/>
      <w:suff w:val="tab"/>
      <w:lvlText w:val="•"/>
      <w:rPr>
        <w:color w:val="3370ff"/>
      </w:rPr>
    </w:lvl>
  </w:abstractNum>
  <w:abstractNum w:abstractNumId="2904332">
    <w:lvl>
      <w:numFmt w:val="bullet"/>
      <w:suff w:val="tab"/>
      <w:lvlText w:val="•"/>
      <w:rPr>
        <w:color w:val="3370ff"/>
      </w:rPr>
    </w:lvl>
  </w:abstractNum>
  <w:abstractNum w:abstractNumId="2904333">
    <w:lvl>
      <w:numFmt w:val="bullet"/>
      <w:suff w:val="tab"/>
      <w:lvlText w:val="•"/>
      <w:rPr>
        <w:color w:val="3370ff"/>
      </w:rPr>
    </w:lvl>
  </w:abstractNum>
  <w:abstractNum w:abstractNumId="2904334">
    <w:lvl>
      <w:numFmt w:val="bullet"/>
      <w:suff w:val="tab"/>
      <w:lvlText w:val="•"/>
      <w:rPr>
        <w:color w:val="3370ff"/>
      </w:rPr>
    </w:lvl>
  </w:abstractNum>
  <w:abstractNum w:abstractNumId="2904335">
    <w:lvl>
      <w:start w:val="1"/>
      <w:numFmt w:val="lowerLetter"/>
      <w:suff w:val="tab"/>
      <w:lvlText w:val="%1."/>
      <w:rPr>
        <w:color w:val="3370ff"/>
      </w:rPr>
    </w:lvl>
  </w:abstractNum>
  <w:abstractNum w:abstractNumId="2904336">
    <w:lvl>
      <w:start w:val="2"/>
      <w:numFmt w:val="lowerLetter"/>
      <w:suff w:val="tab"/>
      <w:lvlText w:val="%1."/>
      <w:rPr>
        <w:color w:val="3370ff"/>
      </w:rPr>
    </w:lvl>
  </w:abstractNum>
  <w:abstractNum w:abstractNumId="2904337">
    <w:lvl>
      <w:start w:val="3"/>
      <w:numFmt w:val="lowerLetter"/>
      <w:suff w:val="tab"/>
      <w:lvlText w:val="%1."/>
      <w:rPr>
        <w:color w:val="3370ff"/>
      </w:rPr>
    </w:lvl>
  </w:abstractNum>
  <w:abstractNum w:abstractNumId="2904338">
    <w:lvl>
      <w:numFmt w:val="bullet"/>
      <w:suff w:val="tab"/>
      <w:lvlText w:val="•"/>
      <w:rPr>
        <w:color w:val="3370ff"/>
      </w:rPr>
    </w:lvl>
  </w:abstractNum>
  <w:abstractNum w:abstractNumId="2904339">
    <w:lvl>
      <w:numFmt w:val="bullet"/>
      <w:suff w:val="tab"/>
      <w:lvlText w:val="•"/>
      <w:rPr>
        <w:color w:val="3370ff"/>
      </w:rPr>
    </w:lvl>
  </w:abstractNum>
  <w:abstractNum w:abstractNumId="2904340">
    <w:lvl>
      <w:start w:val="1"/>
      <w:numFmt w:val="decimal"/>
      <w:suff w:val="tab"/>
      <w:lvlText w:val="%1."/>
      <w:rPr>
        <w:color w:val="3370ff"/>
      </w:rPr>
    </w:lvl>
  </w:abstractNum>
  <w:abstractNum w:abstractNumId="2904341">
    <w:lvl>
      <w:start w:val="2"/>
      <w:numFmt w:val="decimal"/>
      <w:suff w:val="tab"/>
      <w:lvlText w:val="%1."/>
      <w:rPr>
        <w:color w:val="3370ff"/>
      </w:rPr>
    </w:lvl>
  </w:abstractNum>
  <w:abstractNum w:abstractNumId="2904342">
    <w:lvl>
      <w:start w:val="3"/>
      <w:numFmt w:val="decimal"/>
      <w:suff w:val="tab"/>
      <w:lvlText w:val="%1."/>
      <w:rPr>
        <w:color w:val="3370ff"/>
      </w:rPr>
    </w:lvl>
  </w:abstractNum>
  <w:abstractNum w:abstractNumId="2904343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2904297"/>
  </w:num>
  <w:num w:numId="2">
    <w:abstractNumId w:val="2904298"/>
  </w:num>
  <w:num w:numId="3">
    <w:abstractNumId w:val="2904299"/>
  </w:num>
  <w:num w:numId="4">
    <w:abstractNumId w:val="2904300"/>
  </w:num>
  <w:num w:numId="5">
    <w:abstractNumId w:val="2904301"/>
  </w:num>
  <w:num w:numId="6">
    <w:abstractNumId w:val="2904302"/>
  </w:num>
  <w:num w:numId="7">
    <w:abstractNumId w:val="2904303"/>
  </w:num>
  <w:num w:numId="8">
    <w:abstractNumId w:val="2904304"/>
  </w:num>
  <w:num w:numId="9">
    <w:abstractNumId w:val="2904305"/>
  </w:num>
  <w:num w:numId="10">
    <w:abstractNumId w:val="2904306"/>
  </w:num>
  <w:num w:numId="11">
    <w:abstractNumId w:val="2904307"/>
  </w:num>
  <w:num w:numId="12">
    <w:abstractNumId w:val="2904308"/>
  </w:num>
  <w:num w:numId="13">
    <w:abstractNumId w:val="2904309"/>
  </w:num>
  <w:num w:numId="14">
    <w:abstractNumId w:val="2904310"/>
  </w:num>
  <w:num w:numId="15">
    <w:abstractNumId w:val="2904311"/>
  </w:num>
  <w:num w:numId="16">
    <w:abstractNumId w:val="2904312"/>
  </w:num>
  <w:num w:numId="17">
    <w:abstractNumId w:val="2904313"/>
  </w:num>
  <w:num w:numId="18">
    <w:abstractNumId w:val="2904314"/>
  </w:num>
  <w:num w:numId="19">
    <w:abstractNumId w:val="2904315"/>
  </w:num>
  <w:num w:numId="20">
    <w:abstractNumId w:val="2904316"/>
  </w:num>
  <w:num w:numId="21">
    <w:abstractNumId w:val="2904317"/>
  </w:num>
  <w:num w:numId="22">
    <w:abstractNumId w:val="2904318"/>
  </w:num>
  <w:num w:numId="23">
    <w:abstractNumId w:val="2904319"/>
  </w:num>
  <w:num w:numId="24">
    <w:abstractNumId w:val="2904320"/>
  </w:num>
  <w:num w:numId="25">
    <w:abstractNumId w:val="2904321"/>
  </w:num>
  <w:num w:numId="26">
    <w:abstractNumId w:val="2904322"/>
  </w:num>
  <w:num w:numId="27">
    <w:abstractNumId w:val="2904323"/>
  </w:num>
  <w:num w:numId="28">
    <w:abstractNumId w:val="2904324"/>
  </w:num>
  <w:num w:numId="29">
    <w:abstractNumId w:val="2904325"/>
  </w:num>
  <w:num w:numId="30">
    <w:abstractNumId w:val="2904326"/>
  </w:num>
  <w:num w:numId="31">
    <w:abstractNumId w:val="2904327"/>
  </w:num>
  <w:num w:numId="32">
    <w:abstractNumId w:val="2904328"/>
  </w:num>
  <w:num w:numId="33">
    <w:abstractNumId w:val="2904329"/>
  </w:num>
  <w:num w:numId="34">
    <w:abstractNumId w:val="2904330"/>
  </w:num>
  <w:num w:numId="35">
    <w:abstractNumId w:val="2904331"/>
  </w:num>
  <w:num w:numId="36">
    <w:abstractNumId w:val="2904332"/>
  </w:num>
  <w:num w:numId="37">
    <w:abstractNumId w:val="2904333"/>
  </w:num>
  <w:num w:numId="38">
    <w:abstractNumId w:val="2904334"/>
  </w:num>
  <w:num w:numId="39">
    <w:abstractNumId w:val="2904335"/>
  </w:num>
  <w:num w:numId="40">
    <w:abstractNumId w:val="2904336"/>
  </w:num>
  <w:num w:numId="41">
    <w:abstractNumId w:val="2904337"/>
  </w:num>
  <w:num w:numId="42">
    <w:abstractNumId w:val="2904338"/>
  </w:num>
  <w:num w:numId="43">
    <w:abstractNumId w:val="2904339"/>
  </w:num>
  <w:num w:numId="44">
    <w:abstractNumId w:val="2904340"/>
  </w:num>
  <w:num w:numId="45">
    <w:abstractNumId w:val="2904341"/>
  </w:num>
  <w:num w:numId="46">
    <w:abstractNumId w:val="2904342"/>
  </w:num>
  <w:num w:numId="47">
    <w:abstractNumId w:val="290434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my.feishu.cn/file/RK3NbLo7topEL0x3UBXcSH2anBh" TargetMode="External" Type="http://schemas.openxmlformats.org/officeDocument/2006/relationships/hyperlink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ttps://my.feishu.cn/file/RK3NbLo7topEL0x3UBXcSH2anBh" TargetMode="External" Type="http://schemas.openxmlformats.org/officeDocument/2006/relationships/hyperlink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2026-07-28T02:32:38Z</dcterms:created>
  <dc:creator>Apache POI</dc:creator>
</cp:coreProperties>
</file>