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39B1" w14:textId="77777777" w:rsidR="00142F43" w:rsidRDefault="00142F43"/>
    <w:p w14:paraId="42AC209B" w14:textId="77777777" w:rsidR="00142F43" w:rsidRDefault="00142F43"/>
    <w:p w14:paraId="606BA3F6" w14:textId="77777777" w:rsidR="00142F43" w:rsidRDefault="00142F43"/>
    <w:p w14:paraId="7595E3AD" w14:textId="77777777" w:rsidR="00AE573C" w:rsidRDefault="00000000" w:rsidP="00AE573C">
      <w:pPr>
        <w:ind w:firstLine="0"/>
        <w:rPr>
          <w:rFonts w:ascii="TNR" w:eastAsia="宋体" w:hAnsi="TNR" w:cs="TNR" w:hint="eastAsia"/>
          <w:b/>
          <w:sz w:val="32"/>
          <w:szCs w:val="32"/>
          <w:lang w:eastAsia="zh-CN"/>
        </w:rPr>
      </w:pPr>
      <w:r>
        <w:rPr>
          <w:rFonts w:ascii="TNR" w:eastAsia="SH" w:hAnsi="TNR" w:cs="TNR"/>
          <w:b/>
          <w:sz w:val="32"/>
          <w:szCs w:val="32"/>
          <w:lang w:eastAsia="zh-CN"/>
        </w:rPr>
        <w:t>国际冲突调停中的偏见有效性与附带支付机制</w:t>
      </w:r>
    </w:p>
    <w:p w14:paraId="1EF25E99" w14:textId="1B2BACEE" w:rsidR="00142F43" w:rsidRDefault="00AE573C" w:rsidP="00AE573C">
      <w:pPr>
        <w:ind w:firstLine="0"/>
        <w:jc w:val="right"/>
        <w:rPr>
          <w:lang w:eastAsia="zh-CN"/>
        </w:rPr>
      </w:pPr>
      <w:r>
        <w:rPr>
          <w:rFonts w:eastAsia="宋体" w:hint="eastAsia"/>
          <w:lang w:eastAsia="zh-CN"/>
        </w:rPr>
        <w:t>——</w:t>
      </w:r>
      <w:r>
        <w:rPr>
          <w:rFonts w:ascii="TNR" w:eastAsia="SH" w:hAnsi="TNR" w:cs="TNR"/>
          <w:b/>
          <w:sz w:val="32"/>
          <w:szCs w:val="32"/>
          <w:lang w:eastAsia="zh-CN"/>
        </w:rPr>
        <w:t>基于</w:t>
      </w:r>
      <w:r>
        <w:rPr>
          <w:rFonts w:ascii="TNR" w:eastAsia="SH" w:hAnsi="TNR" w:cs="TNR"/>
          <w:b/>
          <w:sz w:val="32"/>
          <w:szCs w:val="32"/>
          <w:lang w:eastAsia="zh-CN"/>
        </w:rPr>
        <w:t>LLM</w:t>
      </w:r>
      <w:r>
        <w:rPr>
          <w:rFonts w:ascii="TNR" w:eastAsia="SH" w:hAnsi="TNR" w:cs="TNR"/>
          <w:b/>
          <w:sz w:val="32"/>
          <w:szCs w:val="32"/>
          <w:lang w:eastAsia="zh-CN"/>
        </w:rPr>
        <w:t>多智能体系统的戴维营协议模拟</w:t>
      </w:r>
      <w:r>
        <w:rPr>
          <w:rFonts w:ascii="宋体" w:eastAsia="宋体" w:hAnsi="宋体" w:cs="宋体" w:hint="eastAsia"/>
          <w:b/>
          <w:sz w:val="32"/>
          <w:szCs w:val="32"/>
          <w:lang w:eastAsia="zh-CN"/>
        </w:rPr>
        <w:t>仿真实验</w:t>
      </w:r>
    </w:p>
    <w:p w14:paraId="5323C722" w14:textId="77777777" w:rsidR="00142F43" w:rsidRDefault="00142F43">
      <w:pPr>
        <w:rPr>
          <w:lang w:eastAsia="zh-CN"/>
        </w:rPr>
      </w:pPr>
    </w:p>
    <w:p w14:paraId="1E9B3BFE" w14:textId="77777777" w:rsidR="00142F43" w:rsidRDefault="00142F43">
      <w:pPr>
        <w:rPr>
          <w:lang w:eastAsia="zh-CN"/>
        </w:rPr>
      </w:pPr>
    </w:p>
    <w:p w14:paraId="4459548B" w14:textId="77777777" w:rsidR="00142F43" w:rsidRDefault="00000000">
      <w:pPr>
        <w:jc w:val="center"/>
        <w:rPr>
          <w:lang w:eastAsia="zh-CN"/>
        </w:rPr>
      </w:pPr>
      <w:r>
        <w:rPr>
          <w:rFonts w:ascii="TNR" w:eastAsia="SH" w:hAnsi="TNR" w:cs="TNR"/>
          <w:b/>
          <w:sz w:val="32"/>
          <w:szCs w:val="32"/>
          <w:lang w:eastAsia="zh-CN"/>
        </w:rPr>
        <w:t>摘</w:t>
      </w:r>
      <w:r>
        <w:rPr>
          <w:rFonts w:ascii="TNR" w:eastAsia="SH" w:hAnsi="TNR" w:cs="TNR"/>
          <w:b/>
          <w:sz w:val="32"/>
          <w:szCs w:val="32"/>
          <w:lang w:eastAsia="zh-CN"/>
        </w:rPr>
        <w:t xml:space="preserve">  </w:t>
      </w:r>
      <w:r>
        <w:rPr>
          <w:rFonts w:ascii="TNR" w:eastAsia="SH" w:hAnsi="TNR" w:cs="TNR"/>
          <w:b/>
          <w:sz w:val="32"/>
          <w:szCs w:val="32"/>
          <w:lang w:eastAsia="zh-CN"/>
        </w:rPr>
        <w:t>要</w:t>
      </w:r>
    </w:p>
    <w:p w14:paraId="320D2719" w14:textId="77777777" w:rsidR="00142F43" w:rsidRDefault="00000000">
      <w:pPr>
        <w:rPr>
          <w:lang w:eastAsia="zh-CN"/>
        </w:rPr>
      </w:pPr>
      <w:r>
        <w:rPr>
          <w:rFonts w:ascii="TNR" w:eastAsia="FS" w:hAnsi="TNR" w:cs="TNR"/>
          <w:sz w:val="24"/>
          <w:szCs w:val="24"/>
          <w:lang w:eastAsia="zh-CN"/>
        </w:rPr>
        <w:t>1978</w:t>
      </w:r>
      <w:r>
        <w:rPr>
          <w:rFonts w:ascii="TNR" w:eastAsia="FS" w:hAnsi="TNR" w:cs="TNR"/>
          <w:sz w:val="24"/>
          <w:szCs w:val="24"/>
          <w:lang w:eastAsia="zh-CN"/>
        </w:rPr>
        <w:t>年的戴维营协议呈现出一个经典调停理论难以解释的现象：美国以公认的亲以色列偏见立场出面调停，却成功促成了埃以和平条约的签署。</w:t>
      </w:r>
      <w:r>
        <w:rPr>
          <w:rFonts w:ascii="TNR" w:eastAsia="FS" w:hAnsi="TNR" w:cs="TNR"/>
          <w:sz w:val="24"/>
          <w:szCs w:val="24"/>
          <w:lang w:eastAsia="zh-CN"/>
        </w:rPr>
        <w:t>Kim</w:t>
      </w:r>
      <w:r>
        <w:rPr>
          <w:rFonts w:ascii="TNR" w:eastAsia="FS" w:hAnsi="TNR" w:cs="TNR"/>
          <w:sz w:val="24"/>
          <w:szCs w:val="24"/>
          <w:lang w:eastAsia="zh-CN"/>
        </w:rPr>
        <w:t>（</w:t>
      </w:r>
      <w:r>
        <w:rPr>
          <w:rFonts w:ascii="TNR" w:eastAsia="FS" w:hAnsi="TNR" w:cs="TNR"/>
          <w:sz w:val="24"/>
          <w:szCs w:val="24"/>
          <w:lang w:eastAsia="zh-CN"/>
        </w:rPr>
        <w:t>2025</w:t>
      </w:r>
      <w:r>
        <w:rPr>
          <w:rFonts w:ascii="TNR" w:eastAsia="FS" w:hAnsi="TNR" w:cs="TNR"/>
          <w:sz w:val="24"/>
          <w:szCs w:val="24"/>
          <w:lang w:eastAsia="zh-CN"/>
        </w:rPr>
        <w:t>）在博弈论框架下证明，偏见调停者可以通过附带支付机制弥补信任缺失，在特定条件下取得优于中立调停者的协议促成效率。但该假说目前仍以数学推导为主，缺乏系统性的实证检验。</w:t>
      </w:r>
    </w:p>
    <w:p w14:paraId="3DA1B250" w14:textId="24551B7F" w:rsidR="00142F43" w:rsidRDefault="00000000">
      <w:pPr>
        <w:rPr>
          <w:lang w:eastAsia="zh-CN"/>
        </w:rPr>
      </w:pPr>
      <w:r>
        <w:rPr>
          <w:rFonts w:ascii="TNR" w:eastAsia="FS" w:hAnsi="TNR" w:cs="TNR"/>
          <w:sz w:val="24"/>
          <w:szCs w:val="24"/>
          <w:lang w:eastAsia="zh-CN"/>
        </w:rPr>
        <w:t>本研究以戴维营协议为经验锚点，构建了基于大语言模型的多智能体模拟系统，通过纯提示工程控制强方、弱方、调停者和国内观众四类智能体的行为边界与效用函数。研究采用</w:t>
      </w:r>
      <w:r>
        <w:rPr>
          <w:rFonts w:ascii="TNR" w:eastAsia="FS" w:hAnsi="TNR" w:cs="TNR"/>
          <w:sz w:val="24"/>
          <w:szCs w:val="24"/>
          <w:lang w:eastAsia="zh-CN"/>
        </w:rPr>
        <w:t>2×3</w:t>
      </w:r>
      <w:r>
        <w:rPr>
          <w:rFonts w:ascii="TNR" w:eastAsia="FS" w:hAnsi="TNR" w:cs="TNR"/>
          <w:sz w:val="24"/>
          <w:szCs w:val="24"/>
          <w:lang w:eastAsia="zh-CN"/>
        </w:rPr>
        <w:t>全因子组间实验设计（实力不对称度：高</w:t>
      </w:r>
      <w:r>
        <w:rPr>
          <w:rFonts w:ascii="TNR" w:eastAsia="FS" w:hAnsi="TNR" w:cs="TNR"/>
          <w:sz w:val="24"/>
          <w:szCs w:val="24"/>
          <w:lang w:eastAsia="zh-CN"/>
        </w:rPr>
        <w:t>/</w:t>
      </w:r>
      <w:r>
        <w:rPr>
          <w:rFonts w:ascii="TNR" w:eastAsia="FS" w:hAnsi="TNR" w:cs="TNR"/>
          <w:sz w:val="24"/>
          <w:szCs w:val="24"/>
          <w:lang w:eastAsia="zh-CN"/>
        </w:rPr>
        <w:t>低；调停者类型：亲强</w:t>
      </w:r>
      <w:r>
        <w:rPr>
          <w:rFonts w:ascii="TNR" w:eastAsia="FS" w:hAnsi="TNR" w:cs="TNR"/>
          <w:sz w:val="24"/>
          <w:szCs w:val="24"/>
          <w:lang w:eastAsia="zh-CN"/>
        </w:rPr>
        <w:t>/</w:t>
      </w:r>
      <w:r>
        <w:rPr>
          <w:rFonts w:ascii="TNR" w:eastAsia="FS" w:hAnsi="TNR" w:cs="TNR"/>
          <w:sz w:val="24"/>
          <w:szCs w:val="24"/>
          <w:lang w:eastAsia="zh-CN"/>
        </w:rPr>
        <w:t>中立</w:t>
      </w:r>
      <w:r>
        <w:rPr>
          <w:rFonts w:ascii="TNR" w:eastAsia="FS" w:hAnsi="TNR" w:cs="TNR"/>
          <w:sz w:val="24"/>
          <w:szCs w:val="24"/>
          <w:lang w:eastAsia="zh-CN"/>
        </w:rPr>
        <w:t>/</w:t>
      </w:r>
      <w:r>
        <w:rPr>
          <w:rFonts w:ascii="TNR" w:eastAsia="FS" w:hAnsi="TNR" w:cs="TNR"/>
          <w:sz w:val="24"/>
          <w:szCs w:val="24"/>
          <w:lang w:eastAsia="zh-CN"/>
        </w:rPr>
        <w:t>亲弱），加一组戴维营参照组（</w:t>
      </w:r>
      <w:r>
        <w:rPr>
          <w:rFonts w:ascii="TNR" w:eastAsia="FS" w:hAnsi="TNR" w:cs="TNR"/>
          <w:sz w:val="24"/>
          <w:szCs w:val="24"/>
          <w:lang w:eastAsia="zh-CN"/>
        </w:rPr>
        <w:t>AR≈2:1</w:t>
      </w:r>
      <w:r>
        <w:rPr>
          <w:rFonts w:ascii="TNR" w:eastAsia="FS" w:hAnsi="TNR" w:cs="TNR"/>
          <w:sz w:val="24"/>
          <w:szCs w:val="24"/>
          <w:lang w:eastAsia="zh-CN"/>
        </w:rPr>
        <w:t>，</w:t>
      </w:r>
      <w:r>
        <w:rPr>
          <w:rFonts w:ascii="TNR" w:eastAsia="FS" w:hAnsi="TNR" w:cs="TNR"/>
          <w:sz w:val="24"/>
          <w:szCs w:val="24"/>
          <w:lang w:eastAsia="zh-CN"/>
        </w:rPr>
        <w:t>b≈+0.7</w:t>
      </w:r>
      <w:r>
        <w:rPr>
          <w:rFonts w:ascii="TNR" w:eastAsia="FS" w:hAnsi="TNR" w:cs="TNR"/>
          <w:sz w:val="24"/>
          <w:szCs w:val="24"/>
          <w:lang w:eastAsia="zh-CN"/>
        </w:rPr>
        <w:t>），共计</w:t>
      </w:r>
      <w:r>
        <w:rPr>
          <w:rFonts w:ascii="TNR" w:eastAsia="FS" w:hAnsi="TNR" w:cs="TNR"/>
          <w:sz w:val="24"/>
          <w:szCs w:val="24"/>
          <w:lang w:eastAsia="zh-CN"/>
        </w:rPr>
        <w:t>210</w:t>
      </w:r>
      <w:r>
        <w:rPr>
          <w:rFonts w:ascii="TNR" w:eastAsia="FS" w:hAnsi="TNR" w:cs="TNR"/>
          <w:sz w:val="24"/>
          <w:szCs w:val="24"/>
          <w:lang w:eastAsia="zh-CN"/>
        </w:rPr>
        <w:t>次独立谈判模拟。每轮谈判由标准化八步流程控制，调停者的附带支付决策遵循必要性</w:t>
      </w:r>
      <w:r>
        <w:rPr>
          <w:rFonts w:ascii="TNR" w:eastAsia="FS" w:hAnsi="TNR" w:cs="TNR"/>
          <w:sz w:val="24"/>
          <w:szCs w:val="24"/>
          <w:lang w:eastAsia="zh-CN"/>
        </w:rPr>
        <w:t>-</w:t>
      </w:r>
      <w:r>
        <w:rPr>
          <w:rFonts w:ascii="TNR" w:eastAsia="FS" w:hAnsi="TNR" w:cs="TNR"/>
          <w:sz w:val="24"/>
          <w:szCs w:val="24"/>
          <w:lang w:eastAsia="zh-CN"/>
        </w:rPr>
        <w:t>效用</w:t>
      </w:r>
      <w:r>
        <w:rPr>
          <w:rFonts w:ascii="TNR" w:eastAsia="FS" w:hAnsi="TNR" w:cs="TNR"/>
          <w:sz w:val="24"/>
          <w:szCs w:val="24"/>
          <w:lang w:eastAsia="zh-CN"/>
        </w:rPr>
        <w:t>-</w:t>
      </w:r>
      <w:r>
        <w:rPr>
          <w:rFonts w:ascii="TNR" w:eastAsia="FS" w:hAnsi="TNR" w:cs="TNR"/>
          <w:sz w:val="24"/>
          <w:szCs w:val="24"/>
          <w:lang w:eastAsia="zh-CN"/>
        </w:rPr>
        <w:t>可负担性的三层评估逻辑。独立的评估智能体从外部效度、内部一致性、行为合理性、策略多样性、随机充分性和操作检查六个维度监控实验质量并驱动参数迭代。四项假设分别通过独立样本</w:t>
      </w:r>
      <w:r>
        <w:rPr>
          <w:rFonts w:ascii="TNR" w:eastAsia="FS" w:hAnsi="TNR" w:cs="TNR"/>
          <w:sz w:val="24"/>
          <w:szCs w:val="24"/>
          <w:lang w:eastAsia="zh-CN"/>
        </w:rPr>
        <w:t>t</w:t>
      </w:r>
      <w:r>
        <w:rPr>
          <w:rFonts w:ascii="TNR" w:eastAsia="FS" w:hAnsi="TNR" w:cs="TNR"/>
          <w:sz w:val="24"/>
          <w:szCs w:val="24"/>
          <w:lang w:eastAsia="zh-CN"/>
        </w:rPr>
        <w:t>检验、</w:t>
      </w:r>
      <w:r>
        <w:rPr>
          <w:rFonts w:ascii="TNR" w:eastAsia="FS" w:hAnsi="TNR" w:cs="TNR"/>
          <w:sz w:val="24"/>
          <w:szCs w:val="24"/>
          <w:lang w:eastAsia="zh-CN"/>
        </w:rPr>
        <w:t>Logistic</w:t>
      </w:r>
      <w:r>
        <w:rPr>
          <w:rFonts w:ascii="TNR" w:eastAsia="FS" w:hAnsi="TNR" w:cs="TNR"/>
          <w:sz w:val="24"/>
          <w:szCs w:val="24"/>
          <w:lang w:eastAsia="zh-CN"/>
        </w:rPr>
        <w:t>回归、方差分析、</w:t>
      </w:r>
      <w:r>
        <w:rPr>
          <w:rFonts w:ascii="TNR" w:eastAsia="FS" w:hAnsi="TNR" w:cs="TNR"/>
          <w:sz w:val="24"/>
          <w:szCs w:val="24"/>
          <w:lang w:eastAsia="zh-CN"/>
        </w:rPr>
        <w:t>Kaplan-Meier</w:t>
      </w:r>
      <w:r>
        <w:rPr>
          <w:rFonts w:ascii="TNR" w:eastAsia="FS" w:hAnsi="TNR" w:cs="TNR"/>
          <w:sz w:val="24"/>
          <w:szCs w:val="24"/>
          <w:lang w:eastAsia="zh-CN"/>
        </w:rPr>
        <w:t>生存分析、</w:t>
      </w:r>
      <w:r>
        <w:rPr>
          <w:rFonts w:ascii="TNR" w:eastAsia="FS" w:hAnsi="TNR" w:cs="TNR"/>
          <w:sz w:val="24"/>
          <w:szCs w:val="24"/>
          <w:lang w:eastAsia="zh-CN"/>
        </w:rPr>
        <w:t>Cox</w:t>
      </w:r>
      <w:r>
        <w:rPr>
          <w:rFonts w:ascii="TNR" w:eastAsia="FS" w:hAnsi="TNR" w:cs="TNR"/>
          <w:sz w:val="24"/>
          <w:szCs w:val="24"/>
          <w:lang w:eastAsia="zh-CN"/>
        </w:rPr>
        <w:t>比例风险模型和</w:t>
      </w:r>
      <w:r>
        <w:rPr>
          <w:rFonts w:ascii="TNR" w:eastAsia="FS" w:hAnsi="TNR" w:cs="TNR"/>
          <w:sz w:val="24"/>
          <w:szCs w:val="24"/>
          <w:lang w:eastAsia="zh-CN"/>
        </w:rPr>
        <w:t>Bootstrap</w:t>
      </w:r>
      <w:r>
        <w:rPr>
          <w:rFonts w:ascii="TNR" w:eastAsia="FS" w:hAnsi="TNR" w:cs="TNR"/>
          <w:sz w:val="24"/>
          <w:szCs w:val="24"/>
          <w:lang w:eastAsia="zh-CN"/>
        </w:rPr>
        <w:t>中介效应检验进行验证。</w:t>
      </w:r>
    </w:p>
    <w:p w14:paraId="7F4284CB" w14:textId="77777777" w:rsidR="00142F43" w:rsidRDefault="00000000">
      <w:pPr>
        <w:rPr>
          <w:lang w:eastAsia="zh-CN"/>
        </w:rPr>
      </w:pPr>
      <w:r>
        <w:rPr>
          <w:rFonts w:ascii="TNR" w:eastAsia="FS" w:hAnsi="TNR" w:cs="TNR"/>
          <w:sz w:val="24"/>
          <w:szCs w:val="24"/>
          <w:lang w:eastAsia="zh-CN"/>
        </w:rPr>
        <w:t>本文的核心方法论策略是以真实历史案例的参数校准替代模型训练和因果推断架构</w:t>
      </w:r>
      <w:r>
        <w:rPr>
          <w:rFonts w:ascii="TNR" w:eastAsia="FS" w:hAnsi="TNR" w:cs="TNR"/>
          <w:sz w:val="24"/>
          <w:szCs w:val="24"/>
          <w:lang w:eastAsia="zh-CN"/>
        </w:rPr>
        <w:t>——</w:t>
      </w:r>
      <w:r>
        <w:rPr>
          <w:rFonts w:ascii="TNR" w:eastAsia="FS" w:hAnsi="TNR" w:cs="TNR"/>
          <w:sz w:val="24"/>
          <w:szCs w:val="24"/>
          <w:lang w:eastAsia="zh-CN"/>
        </w:rPr>
        <w:t>从戴维营案例中提取实力不对称度、偏见方向和附带支付比例等关键参数作为实验校准依据，在降低技术门槛的同时维持研究的外部效度。</w:t>
      </w:r>
    </w:p>
    <w:p w14:paraId="35ED68DE" w14:textId="77777777" w:rsidR="00142F43" w:rsidRDefault="00142F43">
      <w:pPr>
        <w:rPr>
          <w:lang w:eastAsia="zh-CN"/>
        </w:rPr>
      </w:pPr>
    </w:p>
    <w:p w14:paraId="6FDCCFB5" w14:textId="77777777" w:rsidR="00142F43" w:rsidRDefault="00000000">
      <w:pPr>
        <w:rPr>
          <w:lang w:eastAsia="zh-CN"/>
        </w:rPr>
      </w:pPr>
      <w:r>
        <w:rPr>
          <w:rFonts w:ascii="TNR" w:eastAsia="SH" w:hAnsi="TNR" w:cs="TNR"/>
          <w:b/>
          <w:sz w:val="24"/>
          <w:szCs w:val="24"/>
          <w:lang w:eastAsia="zh-CN"/>
        </w:rPr>
        <w:t>关键词：</w:t>
      </w:r>
      <w:r>
        <w:rPr>
          <w:rFonts w:ascii="TNR" w:eastAsia="FS" w:hAnsi="TNR" w:cs="TNR"/>
          <w:sz w:val="24"/>
          <w:szCs w:val="24"/>
          <w:lang w:eastAsia="zh-CN"/>
        </w:rPr>
        <w:t>偏见调停</w:t>
      </w:r>
      <w:r>
        <w:rPr>
          <w:rFonts w:ascii="TNR" w:eastAsia="FS" w:hAnsi="TNR" w:cs="TNR"/>
          <w:sz w:val="24"/>
          <w:szCs w:val="24"/>
          <w:lang w:eastAsia="zh-CN"/>
        </w:rPr>
        <w:t xml:space="preserve"> </w:t>
      </w:r>
      <w:r>
        <w:rPr>
          <w:rFonts w:ascii="TNR" w:eastAsia="FS" w:hAnsi="TNR" w:cs="TNR"/>
          <w:sz w:val="24"/>
          <w:szCs w:val="24"/>
          <w:lang w:eastAsia="zh-CN"/>
        </w:rPr>
        <w:t>多智能体模拟</w:t>
      </w:r>
      <w:r>
        <w:rPr>
          <w:rFonts w:ascii="TNR" w:eastAsia="FS" w:hAnsi="TNR" w:cs="TNR"/>
          <w:sz w:val="24"/>
          <w:szCs w:val="24"/>
          <w:lang w:eastAsia="zh-CN"/>
        </w:rPr>
        <w:t xml:space="preserve"> </w:t>
      </w:r>
      <w:r>
        <w:rPr>
          <w:rFonts w:ascii="TNR" w:eastAsia="FS" w:hAnsi="TNR" w:cs="TNR"/>
          <w:sz w:val="24"/>
          <w:szCs w:val="24"/>
          <w:lang w:eastAsia="zh-CN"/>
        </w:rPr>
        <w:t>附带支付</w:t>
      </w:r>
      <w:r>
        <w:rPr>
          <w:rFonts w:ascii="TNR" w:eastAsia="FS" w:hAnsi="TNR" w:cs="TNR"/>
          <w:sz w:val="24"/>
          <w:szCs w:val="24"/>
          <w:lang w:eastAsia="zh-CN"/>
        </w:rPr>
        <w:t xml:space="preserve"> </w:t>
      </w:r>
      <w:r>
        <w:rPr>
          <w:rFonts w:ascii="TNR" w:eastAsia="FS" w:hAnsi="TNR" w:cs="TNR"/>
          <w:sz w:val="24"/>
          <w:szCs w:val="24"/>
          <w:lang w:eastAsia="zh-CN"/>
        </w:rPr>
        <w:t>戴维营协议</w:t>
      </w:r>
      <w:r>
        <w:rPr>
          <w:rFonts w:ascii="TNR" w:eastAsia="FS" w:hAnsi="TNR" w:cs="TNR"/>
          <w:sz w:val="24"/>
          <w:szCs w:val="24"/>
          <w:lang w:eastAsia="zh-CN"/>
        </w:rPr>
        <w:t xml:space="preserve"> </w:t>
      </w:r>
      <w:r>
        <w:rPr>
          <w:rFonts w:ascii="TNR" w:eastAsia="FS" w:hAnsi="TNR" w:cs="TNR"/>
          <w:sz w:val="24"/>
          <w:szCs w:val="24"/>
          <w:lang w:eastAsia="zh-CN"/>
        </w:rPr>
        <w:t>提示工程</w:t>
      </w:r>
      <w:r>
        <w:rPr>
          <w:rFonts w:ascii="TNR" w:eastAsia="FS" w:hAnsi="TNR" w:cs="TNR"/>
          <w:sz w:val="24"/>
          <w:szCs w:val="24"/>
          <w:lang w:eastAsia="zh-CN"/>
        </w:rPr>
        <w:t xml:space="preserve"> </w:t>
      </w:r>
      <w:r>
        <w:rPr>
          <w:rFonts w:ascii="TNR" w:eastAsia="FS" w:hAnsi="TNR" w:cs="TNR"/>
          <w:sz w:val="24"/>
          <w:szCs w:val="24"/>
          <w:lang w:eastAsia="zh-CN"/>
        </w:rPr>
        <w:t>中介效应检验</w:t>
      </w:r>
    </w:p>
    <w:p w14:paraId="05194267" w14:textId="77777777" w:rsidR="00142F43" w:rsidRDefault="00000000">
      <w:pPr>
        <w:rPr>
          <w:lang w:eastAsia="zh-CN"/>
        </w:rPr>
      </w:pPr>
      <w:r>
        <w:rPr>
          <w:lang w:eastAsia="zh-CN"/>
        </w:rPr>
        <w:br w:type="page"/>
      </w:r>
    </w:p>
    <w:p w14:paraId="35150F68" w14:textId="77777777" w:rsidR="00142F43" w:rsidRDefault="00000000">
      <w:pPr>
        <w:jc w:val="center"/>
        <w:rPr>
          <w:lang w:eastAsia="zh-CN"/>
        </w:rPr>
      </w:pPr>
      <w:r>
        <w:rPr>
          <w:rFonts w:ascii="TNR" w:eastAsia="SH" w:hAnsi="TNR" w:cs="TNR"/>
          <w:b/>
          <w:sz w:val="32"/>
          <w:szCs w:val="32"/>
          <w:lang w:eastAsia="zh-CN"/>
        </w:rPr>
        <w:lastRenderedPageBreak/>
        <w:t>目</w:t>
      </w:r>
      <w:r>
        <w:rPr>
          <w:rFonts w:ascii="TNR" w:eastAsia="SH" w:hAnsi="TNR" w:cs="TNR"/>
          <w:b/>
          <w:sz w:val="32"/>
          <w:szCs w:val="32"/>
          <w:lang w:eastAsia="zh-CN"/>
        </w:rPr>
        <w:t xml:space="preserve">  </w:t>
      </w:r>
      <w:r>
        <w:rPr>
          <w:rFonts w:ascii="TNR" w:eastAsia="SH" w:hAnsi="TNR" w:cs="TNR"/>
          <w:b/>
          <w:sz w:val="32"/>
          <w:szCs w:val="32"/>
          <w:lang w:eastAsia="zh-CN"/>
        </w:rPr>
        <w:t>录</w:t>
      </w:r>
    </w:p>
    <w:p w14:paraId="03FCE625" w14:textId="77777777" w:rsidR="00142F43" w:rsidRDefault="00000000">
      <w:pPr>
        <w:spacing w:line="432" w:lineRule="auto"/>
        <w:rPr>
          <w:lang w:eastAsia="zh-CN"/>
        </w:rPr>
      </w:pPr>
      <w:r>
        <w:rPr>
          <w:rFonts w:ascii="TNR" w:eastAsia="SH" w:hAnsi="TNR" w:cs="TNR"/>
          <w:b/>
          <w:sz w:val="24"/>
          <w:szCs w:val="24"/>
          <w:lang w:eastAsia="zh-CN"/>
        </w:rPr>
        <w:t>一、引言</w:t>
      </w:r>
    </w:p>
    <w:p w14:paraId="1815D95C"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（一）研究背景与问题提出</w:t>
      </w:r>
    </w:p>
    <w:p w14:paraId="19404F94"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（二）核心研究假设</w:t>
      </w:r>
    </w:p>
    <w:p w14:paraId="53399A3C"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（三）研究方法与路径</w:t>
      </w:r>
    </w:p>
    <w:p w14:paraId="63DED5D9" w14:textId="77777777" w:rsidR="00142F43" w:rsidRDefault="00000000">
      <w:pPr>
        <w:spacing w:line="432" w:lineRule="auto"/>
        <w:rPr>
          <w:lang w:eastAsia="zh-CN"/>
        </w:rPr>
      </w:pPr>
      <w:r>
        <w:rPr>
          <w:rFonts w:ascii="TNR" w:eastAsia="SH" w:hAnsi="TNR" w:cs="TNR"/>
          <w:b/>
          <w:sz w:val="24"/>
          <w:szCs w:val="24"/>
          <w:lang w:eastAsia="zh-CN"/>
        </w:rPr>
        <w:t>二、理论基础与文献回顾</w:t>
      </w:r>
    </w:p>
    <w:p w14:paraId="76BECECE"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（一）调停理论：从经典中立范式到偏见有效性假说</w:t>
      </w:r>
    </w:p>
    <w:p w14:paraId="1110A109"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w:t>
      </w:r>
      <w:r>
        <w:rPr>
          <w:rFonts w:ascii="TNR" w:eastAsia="FS" w:hAnsi="TNR" w:cs="TNR"/>
          <w:sz w:val="24"/>
          <w:szCs w:val="24"/>
          <w:lang w:eastAsia="zh-CN"/>
        </w:rPr>
        <w:t>LLM</w:t>
      </w:r>
      <w:r>
        <w:rPr>
          <w:rFonts w:ascii="TNR" w:eastAsia="FS" w:hAnsi="TNR" w:cs="TNR"/>
          <w:sz w:val="24"/>
          <w:szCs w:val="24"/>
          <w:lang w:eastAsia="zh-CN"/>
        </w:rPr>
        <w:t>多智能体模拟的前沿进展</w:t>
      </w:r>
    </w:p>
    <w:p w14:paraId="45FE94D6"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（三）本研究的理论定位与方法论基础</w:t>
      </w:r>
    </w:p>
    <w:p w14:paraId="52A0A2EB" w14:textId="77777777" w:rsidR="00142F43" w:rsidRDefault="00000000">
      <w:pPr>
        <w:spacing w:line="432" w:lineRule="auto"/>
        <w:rPr>
          <w:lang w:eastAsia="zh-CN"/>
        </w:rPr>
      </w:pPr>
      <w:r>
        <w:rPr>
          <w:rFonts w:ascii="TNR" w:eastAsia="SH" w:hAnsi="TNR" w:cs="TNR"/>
          <w:b/>
          <w:sz w:val="24"/>
          <w:szCs w:val="24"/>
          <w:lang w:eastAsia="zh-CN"/>
        </w:rPr>
        <w:t>三、戴维营协议：案例分析与参数提取</w:t>
      </w:r>
    </w:p>
    <w:p w14:paraId="7796EEA7"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（一）案例背景与结构要素</w:t>
      </w:r>
    </w:p>
    <w:p w14:paraId="744E8256"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（二）四项假设的经验映射</w:t>
      </w:r>
    </w:p>
    <w:p w14:paraId="02EB1F3F"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（三）实验参数的系统提取</w:t>
      </w:r>
    </w:p>
    <w:p w14:paraId="111A6D0F" w14:textId="77777777" w:rsidR="00142F43" w:rsidRDefault="00000000">
      <w:pPr>
        <w:spacing w:line="432" w:lineRule="auto"/>
        <w:rPr>
          <w:lang w:eastAsia="zh-CN"/>
        </w:rPr>
      </w:pPr>
      <w:r>
        <w:rPr>
          <w:rFonts w:ascii="TNR" w:eastAsia="SH" w:hAnsi="TNR" w:cs="TNR"/>
          <w:b/>
          <w:sz w:val="24"/>
          <w:szCs w:val="24"/>
          <w:lang w:eastAsia="zh-CN"/>
        </w:rPr>
        <w:t>四、实验设计与智能体架构</w:t>
      </w:r>
    </w:p>
    <w:p w14:paraId="3DD6A2A2"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（一）智能体类型与效用函数设计</w:t>
      </w:r>
    </w:p>
    <w:p w14:paraId="6E29E496"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（二）实验条件与变量操作化</w:t>
      </w:r>
    </w:p>
    <w:p w14:paraId="5833301F"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（三）谈判流程与约束机制</w:t>
      </w:r>
    </w:p>
    <w:p w14:paraId="3ECA092D"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（四）数据收集方案</w:t>
      </w:r>
    </w:p>
    <w:p w14:paraId="67CEDD1C" w14:textId="77777777" w:rsidR="00142F43" w:rsidRDefault="00000000">
      <w:pPr>
        <w:spacing w:line="432" w:lineRule="auto"/>
        <w:rPr>
          <w:lang w:eastAsia="zh-CN"/>
        </w:rPr>
      </w:pPr>
      <w:r>
        <w:rPr>
          <w:rFonts w:ascii="TNR" w:eastAsia="SH" w:hAnsi="TNR" w:cs="TNR"/>
          <w:b/>
          <w:sz w:val="24"/>
          <w:szCs w:val="24"/>
          <w:lang w:eastAsia="zh-CN"/>
        </w:rPr>
        <w:t>五、多智能体评估框架与实验迭代优化</w:t>
      </w:r>
    </w:p>
    <w:p w14:paraId="06056C3E"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（一）评估智能体的功能架构</w:t>
      </w:r>
    </w:p>
    <w:p w14:paraId="19163DAC"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（二）六维评估指标体系</w:t>
      </w:r>
    </w:p>
    <w:p w14:paraId="0548BD57"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（三）参数迭代策略</w:t>
      </w:r>
    </w:p>
    <w:p w14:paraId="52945B84" w14:textId="77777777" w:rsidR="00142F43" w:rsidRDefault="00000000">
      <w:pPr>
        <w:spacing w:line="432" w:lineRule="auto"/>
        <w:rPr>
          <w:lang w:eastAsia="zh-CN"/>
        </w:rPr>
      </w:pPr>
      <w:r>
        <w:rPr>
          <w:rFonts w:ascii="TNR" w:eastAsia="SH" w:hAnsi="TNR" w:cs="TNR"/>
          <w:b/>
          <w:sz w:val="24"/>
          <w:szCs w:val="24"/>
          <w:lang w:eastAsia="zh-CN"/>
        </w:rPr>
        <w:t>六、假设检验策略与统计方案</w:t>
      </w:r>
    </w:p>
    <w:p w14:paraId="2087B78A"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（一）假设检验的整体框架</w:t>
      </w:r>
    </w:p>
    <w:p w14:paraId="1198E1C8"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（二）四项假设对应的具体检验方法</w:t>
      </w:r>
    </w:p>
    <w:p w14:paraId="311A756C" w14:textId="77777777" w:rsidR="00142F43" w:rsidRDefault="00000000">
      <w:pPr>
        <w:spacing w:line="432" w:lineRule="auto"/>
        <w:rPr>
          <w:lang w:eastAsia="zh-CN"/>
        </w:rPr>
      </w:pPr>
      <w:r>
        <w:rPr>
          <w:rFonts w:ascii="TNR" w:eastAsia="FS" w:hAnsi="TNR" w:cs="TNR"/>
          <w:sz w:val="24"/>
          <w:szCs w:val="24"/>
          <w:lang w:eastAsia="zh-CN"/>
        </w:rPr>
        <w:lastRenderedPageBreak/>
        <w:t xml:space="preserve">    </w:t>
      </w:r>
      <w:r>
        <w:rPr>
          <w:rFonts w:ascii="TNR" w:eastAsia="FS" w:hAnsi="TNR" w:cs="TNR"/>
          <w:sz w:val="24"/>
          <w:szCs w:val="24"/>
          <w:lang w:eastAsia="zh-CN"/>
        </w:rPr>
        <w:t>（三）样本量与统计功效分析</w:t>
      </w:r>
    </w:p>
    <w:p w14:paraId="5F1779D0" w14:textId="77777777" w:rsidR="00142F43" w:rsidRDefault="00000000">
      <w:pPr>
        <w:spacing w:line="432" w:lineRule="auto"/>
        <w:rPr>
          <w:lang w:eastAsia="zh-CN"/>
        </w:rPr>
      </w:pPr>
      <w:r>
        <w:rPr>
          <w:rFonts w:ascii="TNR" w:eastAsia="SH" w:hAnsi="TNR" w:cs="TNR"/>
          <w:b/>
          <w:sz w:val="24"/>
          <w:szCs w:val="24"/>
          <w:lang w:eastAsia="zh-CN"/>
        </w:rPr>
        <w:t>七、实验流程</w:t>
      </w:r>
    </w:p>
    <w:p w14:paraId="22A908A4"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w:t>
      </w:r>
      <w:r>
        <w:rPr>
          <w:rFonts w:ascii="TNR" w:eastAsia="FS" w:hAnsi="TNR" w:cs="TNR"/>
          <w:sz w:val="24"/>
          <w:szCs w:val="24"/>
          <w:lang w:eastAsia="zh-CN"/>
        </w:rPr>
        <w:t>Phase 1</w:t>
      </w:r>
      <w:r>
        <w:rPr>
          <w:rFonts w:ascii="TNR" w:eastAsia="FS" w:hAnsi="TNR" w:cs="TNR"/>
          <w:sz w:val="24"/>
          <w:szCs w:val="24"/>
          <w:lang w:eastAsia="zh-CN"/>
        </w:rPr>
        <w:t>：预实验与参数校准</w:t>
      </w:r>
    </w:p>
    <w:p w14:paraId="49BD3A85"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w:t>
      </w:r>
      <w:r>
        <w:rPr>
          <w:rFonts w:ascii="TNR" w:eastAsia="FS" w:hAnsi="TNR" w:cs="TNR"/>
          <w:sz w:val="24"/>
          <w:szCs w:val="24"/>
          <w:lang w:eastAsia="zh-CN"/>
        </w:rPr>
        <w:t>Phase 2</w:t>
      </w:r>
      <w:r>
        <w:rPr>
          <w:rFonts w:ascii="TNR" w:eastAsia="FS" w:hAnsi="TNR" w:cs="TNR"/>
          <w:sz w:val="24"/>
          <w:szCs w:val="24"/>
          <w:lang w:eastAsia="zh-CN"/>
        </w:rPr>
        <w:t>：主实验</w:t>
      </w:r>
      <w:r>
        <w:rPr>
          <w:rFonts w:ascii="TNR" w:eastAsia="FS" w:hAnsi="TNR" w:cs="TNR"/>
          <w:sz w:val="24"/>
          <w:szCs w:val="24"/>
          <w:lang w:eastAsia="zh-CN"/>
        </w:rPr>
        <w:t>——</w:t>
      </w:r>
      <w:r>
        <w:rPr>
          <w:rFonts w:ascii="TNR" w:eastAsia="FS" w:hAnsi="TNR" w:cs="TNR"/>
          <w:sz w:val="24"/>
          <w:szCs w:val="24"/>
          <w:lang w:eastAsia="zh-CN"/>
        </w:rPr>
        <w:t>偏见效应检验</w:t>
      </w:r>
    </w:p>
    <w:p w14:paraId="7B7AC9F8"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w:t>
      </w:r>
      <w:r>
        <w:rPr>
          <w:rFonts w:ascii="TNR" w:eastAsia="FS" w:hAnsi="TNR" w:cs="TNR"/>
          <w:sz w:val="24"/>
          <w:szCs w:val="24"/>
          <w:lang w:eastAsia="zh-CN"/>
        </w:rPr>
        <w:t>Phase 3</w:t>
      </w:r>
      <w:r>
        <w:rPr>
          <w:rFonts w:ascii="TNR" w:eastAsia="FS" w:hAnsi="TNR" w:cs="TNR"/>
          <w:sz w:val="24"/>
          <w:szCs w:val="24"/>
          <w:lang w:eastAsia="zh-CN"/>
        </w:rPr>
        <w:t>：附带支付中介效应检验</w:t>
      </w:r>
    </w:p>
    <w:p w14:paraId="30A31E24"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（四）</w:t>
      </w:r>
      <w:r>
        <w:rPr>
          <w:rFonts w:ascii="TNR" w:eastAsia="FS" w:hAnsi="TNR" w:cs="TNR"/>
          <w:sz w:val="24"/>
          <w:szCs w:val="24"/>
          <w:lang w:eastAsia="zh-CN"/>
        </w:rPr>
        <w:t>Phase 4</w:t>
      </w:r>
      <w:r>
        <w:rPr>
          <w:rFonts w:ascii="TNR" w:eastAsia="FS" w:hAnsi="TNR" w:cs="TNR"/>
          <w:sz w:val="24"/>
          <w:szCs w:val="24"/>
          <w:lang w:eastAsia="zh-CN"/>
        </w:rPr>
        <w:t>：协议持久性生存分析</w:t>
      </w:r>
    </w:p>
    <w:p w14:paraId="7CC8060B" w14:textId="77777777" w:rsidR="00142F43" w:rsidRDefault="00000000">
      <w:pPr>
        <w:spacing w:line="432" w:lineRule="auto"/>
        <w:rPr>
          <w:lang w:eastAsia="zh-CN"/>
        </w:rPr>
      </w:pPr>
      <w:r>
        <w:rPr>
          <w:rFonts w:ascii="TNR" w:eastAsia="SH" w:hAnsi="TNR" w:cs="TNR"/>
          <w:b/>
          <w:sz w:val="24"/>
          <w:szCs w:val="24"/>
          <w:lang w:eastAsia="zh-CN"/>
        </w:rPr>
        <w:t>八、预期结果与贡献</w:t>
      </w:r>
    </w:p>
    <w:p w14:paraId="209CD254"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（一）预期研究发现</w:t>
      </w:r>
    </w:p>
    <w:p w14:paraId="3B3D9D95"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（二）模拟</w:t>
      </w:r>
      <w:r>
        <w:rPr>
          <w:rFonts w:ascii="TNR" w:eastAsia="FS" w:hAnsi="TNR" w:cs="TNR"/>
          <w:sz w:val="24"/>
          <w:szCs w:val="24"/>
          <w:lang w:eastAsia="zh-CN"/>
        </w:rPr>
        <w:t>-</w:t>
      </w:r>
      <w:r>
        <w:rPr>
          <w:rFonts w:ascii="TNR" w:eastAsia="FS" w:hAnsi="TNR" w:cs="TNR"/>
          <w:sz w:val="24"/>
          <w:szCs w:val="24"/>
          <w:lang w:eastAsia="zh-CN"/>
        </w:rPr>
        <w:t>案例印证分析</w:t>
      </w:r>
    </w:p>
    <w:p w14:paraId="45D33864"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（三）理论贡献</w:t>
      </w:r>
    </w:p>
    <w:p w14:paraId="5327374F" w14:textId="77777777" w:rsidR="00142F43" w:rsidRDefault="00000000">
      <w:pPr>
        <w:spacing w:line="432" w:lineRule="auto"/>
        <w:rPr>
          <w:lang w:eastAsia="zh-CN"/>
        </w:rPr>
      </w:pPr>
      <w:r>
        <w:rPr>
          <w:rFonts w:ascii="TNR" w:eastAsia="FS" w:hAnsi="TNR" w:cs="TNR"/>
          <w:sz w:val="24"/>
          <w:szCs w:val="24"/>
          <w:lang w:eastAsia="zh-CN"/>
        </w:rPr>
        <w:t xml:space="preserve">    </w:t>
      </w:r>
      <w:r>
        <w:rPr>
          <w:rFonts w:ascii="TNR" w:eastAsia="FS" w:hAnsi="TNR" w:cs="TNR"/>
          <w:sz w:val="24"/>
          <w:szCs w:val="24"/>
          <w:lang w:eastAsia="zh-CN"/>
        </w:rPr>
        <w:t>（四）方法论贡献</w:t>
      </w:r>
    </w:p>
    <w:p w14:paraId="2281A984" w14:textId="77777777" w:rsidR="00142F43" w:rsidRDefault="00000000">
      <w:pPr>
        <w:spacing w:line="432" w:lineRule="auto"/>
        <w:rPr>
          <w:lang w:eastAsia="zh-CN"/>
        </w:rPr>
      </w:pPr>
      <w:r>
        <w:rPr>
          <w:rFonts w:ascii="TNR" w:eastAsia="SH" w:hAnsi="TNR" w:cs="TNR"/>
          <w:b/>
          <w:sz w:val="24"/>
          <w:szCs w:val="24"/>
          <w:lang w:eastAsia="zh-CN"/>
        </w:rPr>
        <w:t>九、研究计划</w:t>
      </w:r>
    </w:p>
    <w:p w14:paraId="6351024B" w14:textId="77777777" w:rsidR="00142F43" w:rsidRDefault="00000000">
      <w:pPr>
        <w:spacing w:line="432" w:lineRule="auto"/>
        <w:rPr>
          <w:lang w:eastAsia="zh-CN"/>
        </w:rPr>
      </w:pPr>
      <w:r>
        <w:rPr>
          <w:rFonts w:ascii="TNR" w:eastAsia="SH" w:hAnsi="TNR" w:cs="TNR"/>
          <w:b/>
          <w:sz w:val="24"/>
          <w:szCs w:val="24"/>
          <w:lang w:eastAsia="zh-CN"/>
        </w:rPr>
        <w:t>参考文献</w:t>
      </w:r>
    </w:p>
    <w:p w14:paraId="35D1F32E" w14:textId="77777777" w:rsidR="00142F43" w:rsidRDefault="00000000">
      <w:pPr>
        <w:rPr>
          <w:lang w:eastAsia="zh-CN"/>
        </w:rPr>
      </w:pPr>
      <w:r>
        <w:rPr>
          <w:lang w:eastAsia="zh-CN"/>
        </w:rPr>
        <w:br w:type="page"/>
      </w:r>
    </w:p>
    <w:p w14:paraId="526AEFD2" w14:textId="77777777" w:rsidR="00142F43" w:rsidRDefault="00000000">
      <w:pPr>
        <w:jc w:val="center"/>
        <w:rPr>
          <w:lang w:eastAsia="zh-CN"/>
        </w:rPr>
      </w:pPr>
      <w:r>
        <w:rPr>
          <w:rFonts w:ascii="TNR" w:eastAsia="SH" w:hAnsi="TNR" w:cs="TNR"/>
          <w:b/>
          <w:sz w:val="32"/>
          <w:szCs w:val="32"/>
          <w:lang w:eastAsia="zh-CN"/>
        </w:rPr>
        <w:lastRenderedPageBreak/>
        <w:t>一、引言</w:t>
      </w:r>
    </w:p>
    <w:p w14:paraId="6B7F2966" w14:textId="77777777" w:rsidR="00142F43" w:rsidRDefault="00000000">
      <w:pPr>
        <w:rPr>
          <w:lang w:eastAsia="zh-CN"/>
        </w:rPr>
      </w:pPr>
      <w:r>
        <w:rPr>
          <w:rFonts w:ascii="TNR" w:eastAsia="KT" w:hAnsi="TNR" w:cs="TNR"/>
          <w:sz w:val="28"/>
          <w:szCs w:val="28"/>
          <w:lang w:eastAsia="zh-CN"/>
        </w:rPr>
        <w:t>（一）研究背景与问题提出</w:t>
      </w:r>
    </w:p>
    <w:p w14:paraId="08640D4B" w14:textId="77777777" w:rsidR="00142F43" w:rsidRDefault="00000000">
      <w:pPr>
        <w:rPr>
          <w:lang w:eastAsia="zh-CN"/>
        </w:rPr>
      </w:pPr>
      <w:r>
        <w:rPr>
          <w:rFonts w:ascii="TNR" w:eastAsia="FS" w:hAnsi="TNR" w:cs="TNR"/>
          <w:sz w:val="24"/>
          <w:szCs w:val="24"/>
          <w:lang w:eastAsia="zh-CN"/>
        </w:rPr>
        <w:t>1978</w:t>
      </w:r>
      <w:r>
        <w:rPr>
          <w:rFonts w:ascii="TNR" w:eastAsia="FS" w:hAnsi="TNR" w:cs="TNR"/>
          <w:sz w:val="24"/>
          <w:szCs w:val="24"/>
          <w:lang w:eastAsia="zh-CN"/>
        </w:rPr>
        <w:t>年</w:t>
      </w:r>
      <w:r>
        <w:rPr>
          <w:rFonts w:ascii="TNR" w:eastAsia="FS" w:hAnsi="TNR" w:cs="TNR"/>
          <w:sz w:val="24"/>
          <w:szCs w:val="24"/>
          <w:lang w:eastAsia="zh-CN"/>
        </w:rPr>
        <w:t>9</w:t>
      </w:r>
      <w:r>
        <w:rPr>
          <w:rFonts w:ascii="TNR" w:eastAsia="FS" w:hAnsi="TNR" w:cs="TNR"/>
          <w:sz w:val="24"/>
          <w:szCs w:val="24"/>
          <w:lang w:eastAsia="zh-CN"/>
        </w:rPr>
        <w:t>月，埃及总统萨达特与以色列总理贝京在美国总统卡特的斡旋下，于戴维营经过十三天谈判签署了《中东和平框架协议》。这一结果在当时的学界和政策界引发广泛讨论：卡特并非中立的调停者</w:t>
      </w:r>
      <w:r>
        <w:rPr>
          <w:rFonts w:ascii="TNR" w:eastAsia="FS" w:hAnsi="TNR" w:cs="TNR"/>
          <w:sz w:val="24"/>
          <w:szCs w:val="24"/>
          <w:lang w:eastAsia="zh-CN"/>
        </w:rPr>
        <w:t>——</w:t>
      </w:r>
      <w:r>
        <w:rPr>
          <w:rFonts w:ascii="TNR" w:eastAsia="FS" w:hAnsi="TNR" w:cs="TNR"/>
          <w:sz w:val="24"/>
          <w:szCs w:val="24"/>
          <w:lang w:eastAsia="zh-CN"/>
        </w:rPr>
        <w:t>美国自</w:t>
      </w:r>
      <w:r>
        <w:rPr>
          <w:rFonts w:ascii="TNR" w:eastAsia="FS" w:hAnsi="TNR" w:cs="TNR"/>
          <w:sz w:val="24"/>
          <w:szCs w:val="24"/>
          <w:lang w:eastAsia="zh-CN"/>
        </w:rPr>
        <w:t>1948</w:t>
      </w:r>
      <w:r>
        <w:rPr>
          <w:rFonts w:ascii="TNR" w:eastAsia="FS" w:hAnsi="TNR" w:cs="TNR"/>
          <w:sz w:val="24"/>
          <w:szCs w:val="24"/>
          <w:lang w:eastAsia="zh-CN"/>
        </w:rPr>
        <w:t>年以来一直是以色列最坚定的军事和外交盟友</w:t>
      </w:r>
      <w:r>
        <w:rPr>
          <w:rFonts w:ascii="TNR" w:eastAsia="FS" w:hAnsi="TNR" w:cs="TNR"/>
          <w:sz w:val="24"/>
          <w:szCs w:val="24"/>
          <w:lang w:eastAsia="zh-CN"/>
        </w:rPr>
        <w:t>——</w:t>
      </w:r>
      <w:r>
        <w:rPr>
          <w:rFonts w:ascii="TNR" w:eastAsia="FS" w:hAnsi="TNR" w:cs="TNR"/>
          <w:sz w:val="24"/>
          <w:szCs w:val="24"/>
          <w:lang w:eastAsia="zh-CN"/>
        </w:rPr>
        <w:t>但正是这位明显偏袒一方的调停者，促成了此前联合国和欧洲外交官多年努力未能实现的突破。卡特的策略核心是大规模的附带支付：他向以色列承诺石油供应安全担保和额外军事援助（约</w:t>
      </w:r>
      <w:r>
        <w:rPr>
          <w:rFonts w:ascii="TNR" w:eastAsia="FS" w:hAnsi="TNR" w:cs="TNR"/>
          <w:sz w:val="24"/>
          <w:szCs w:val="24"/>
          <w:lang w:eastAsia="zh-CN"/>
        </w:rPr>
        <w:t>30</w:t>
      </w:r>
      <w:r>
        <w:rPr>
          <w:rFonts w:ascii="TNR" w:eastAsia="FS" w:hAnsi="TNR" w:cs="TNR"/>
          <w:sz w:val="24"/>
          <w:szCs w:val="24"/>
          <w:lang w:eastAsia="zh-CN"/>
        </w:rPr>
        <w:t>亿美元），向埃及承诺每年超过二十亿美元的经济援助。这些系统外资源的注入改变了冲突双方的效用函数，使原本不可接受的让步变得可以接受。</w:t>
      </w:r>
    </w:p>
    <w:p w14:paraId="015EA4A2" w14:textId="77777777" w:rsidR="00142F43" w:rsidRDefault="00000000">
      <w:pPr>
        <w:rPr>
          <w:lang w:eastAsia="zh-CN"/>
        </w:rPr>
      </w:pPr>
      <w:r>
        <w:rPr>
          <w:rFonts w:ascii="TNR" w:eastAsia="FS" w:hAnsi="TNR" w:cs="TNR"/>
          <w:sz w:val="24"/>
          <w:szCs w:val="24"/>
          <w:lang w:eastAsia="zh-CN"/>
        </w:rPr>
        <w:t>协议在法律层面存续至今，但其质量始终存在争议。两国关系被学界界定为</w:t>
      </w:r>
      <w:r>
        <w:rPr>
          <w:rFonts w:ascii="TNR" w:eastAsia="FS" w:hAnsi="TNR" w:cs="TNR"/>
          <w:sz w:val="24"/>
          <w:szCs w:val="24"/>
          <w:lang w:eastAsia="zh-CN"/>
        </w:rPr>
        <w:t>"</w:t>
      </w:r>
      <w:r>
        <w:rPr>
          <w:rFonts w:ascii="TNR" w:eastAsia="FS" w:hAnsi="TNR" w:cs="TNR"/>
          <w:sz w:val="24"/>
          <w:szCs w:val="24"/>
          <w:lang w:eastAsia="zh-CN"/>
        </w:rPr>
        <w:t>冷和平</w:t>
      </w:r>
      <w:r>
        <w:rPr>
          <w:rFonts w:ascii="TNR" w:eastAsia="FS" w:hAnsi="TNR" w:cs="TNR"/>
          <w:sz w:val="24"/>
          <w:szCs w:val="24"/>
          <w:lang w:eastAsia="zh-CN"/>
        </w:rPr>
        <w:t>"——</w:t>
      </w:r>
      <w:r>
        <w:rPr>
          <w:rFonts w:ascii="TNR" w:eastAsia="FS" w:hAnsi="TNR" w:cs="TNR"/>
          <w:sz w:val="24"/>
          <w:szCs w:val="24"/>
          <w:lang w:eastAsia="zh-CN"/>
        </w:rPr>
        <w:t>缺乏正常的民间往来和经济合作，安全共同体未能形成。签署协议的萨达特于</w:t>
      </w:r>
      <w:r>
        <w:rPr>
          <w:rFonts w:ascii="TNR" w:eastAsia="FS" w:hAnsi="TNR" w:cs="TNR"/>
          <w:sz w:val="24"/>
          <w:szCs w:val="24"/>
          <w:lang w:eastAsia="zh-CN"/>
        </w:rPr>
        <w:t>1981</w:t>
      </w:r>
      <w:r>
        <w:rPr>
          <w:rFonts w:ascii="TNR" w:eastAsia="FS" w:hAnsi="TNR" w:cs="TNR"/>
          <w:sz w:val="24"/>
          <w:szCs w:val="24"/>
          <w:lang w:eastAsia="zh-CN"/>
        </w:rPr>
        <w:t>年遭埃及极端分子刺杀，刺杀者将条约视为叛国行为。这揭示了一个更深刻的理论问题：偏见调停固然可能促成协议，但这种效率是否以协议质量和持久性为代价？</w:t>
      </w:r>
    </w:p>
    <w:p w14:paraId="26DE78AD" w14:textId="77777777" w:rsidR="00142F43" w:rsidRDefault="00000000">
      <w:pPr>
        <w:rPr>
          <w:lang w:eastAsia="zh-CN"/>
        </w:rPr>
      </w:pPr>
      <w:r>
        <w:rPr>
          <w:rFonts w:ascii="TNR" w:eastAsia="FS" w:hAnsi="TNR" w:cs="TNR"/>
          <w:sz w:val="24"/>
          <w:szCs w:val="24"/>
          <w:lang w:eastAsia="zh-CN"/>
        </w:rPr>
        <w:t>这一案例对经典调停理论构成了三重挑战。第一，调停者的偏见为何没有导致谈判破裂，反而成为协议达成的必要条件？第二，附带支付在这一过程中扮演了什么角色</w:t>
      </w:r>
      <w:r>
        <w:rPr>
          <w:rFonts w:ascii="TNR" w:eastAsia="FS" w:hAnsi="TNR" w:cs="TNR"/>
          <w:sz w:val="24"/>
          <w:szCs w:val="24"/>
          <w:lang w:eastAsia="zh-CN"/>
        </w:rPr>
        <w:t>——</w:t>
      </w:r>
      <w:r>
        <w:rPr>
          <w:rFonts w:ascii="TNR" w:eastAsia="FS" w:hAnsi="TNR" w:cs="TNR"/>
          <w:sz w:val="24"/>
          <w:szCs w:val="24"/>
          <w:lang w:eastAsia="zh-CN"/>
        </w:rPr>
        <w:t>是辅助性的润滑剂，还是不可替代的核心机制？第三，偏见调停的效率与协议脆弱性之间是否存在结构性关联？</w:t>
      </w:r>
    </w:p>
    <w:p w14:paraId="3FC84390" w14:textId="77777777" w:rsidR="00142F43" w:rsidRDefault="00000000">
      <w:pPr>
        <w:rPr>
          <w:lang w:eastAsia="zh-CN"/>
        </w:rPr>
      </w:pPr>
      <w:r>
        <w:rPr>
          <w:rFonts w:ascii="TNR" w:eastAsia="FS" w:hAnsi="TNR" w:cs="TNR"/>
          <w:sz w:val="24"/>
          <w:szCs w:val="24"/>
        </w:rPr>
        <w:t>Kim</w:t>
      </w:r>
      <w:r>
        <w:rPr>
          <w:rFonts w:ascii="TNR" w:eastAsia="FS" w:hAnsi="TNR" w:cs="TNR"/>
          <w:sz w:val="24"/>
          <w:szCs w:val="24"/>
        </w:rPr>
        <w:t>（</w:t>
      </w:r>
      <w:r>
        <w:rPr>
          <w:rFonts w:ascii="TNR" w:eastAsia="FS" w:hAnsi="TNR" w:cs="TNR"/>
          <w:sz w:val="24"/>
          <w:szCs w:val="24"/>
        </w:rPr>
        <w:t>2025</w:t>
      </w:r>
      <w:r>
        <w:rPr>
          <w:rFonts w:ascii="TNR" w:eastAsia="FS" w:hAnsi="TNR" w:cs="TNR"/>
          <w:sz w:val="24"/>
          <w:szCs w:val="24"/>
        </w:rPr>
        <w:t>）在《</w:t>
      </w:r>
      <w:r>
        <w:rPr>
          <w:rFonts w:ascii="TNR" w:eastAsia="FS" w:hAnsi="TNR" w:cs="TNR"/>
          <w:sz w:val="24"/>
          <w:szCs w:val="24"/>
        </w:rPr>
        <w:t>Journal of Economic Theory</w:t>
      </w:r>
      <w:r>
        <w:rPr>
          <w:rFonts w:ascii="TNR" w:eastAsia="FS" w:hAnsi="TNR" w:cs="TNR"/>
          <w:sz w:val="24"/>
          <w:szCs w:val="24"/>
        </w:rPr>
        <w:t>》上发表的博弈模型为上述问题提供了理论框架。该模型证明，在信息不对称条件下，偏见调停者可以通过非对称的推荐策略和信息传递实现与中立调停者同等甚至更高的协议促成效率。模型的核心机制在于附带支付（</w:t>
      </w:r>
      <w:r>
        <w:rPr>
          <w:rFonts w:ascii="TNR" w:eastAsia="FS" w:hAnsi="TNR" w:cs="TNR"/>
          <w:sz w:val="24"/>
          <w:szCs w:val="24"/>
        </w:rPr>
        <w:t>side payment</w:t>
      </w:r>
      <w:r>
        <w:rPr>
          <w:rFonts w:ascii="TNR" w:eastAsia="FS" w:hAnsi="TNR" w:cs="TNR"/>
          <w:sz w:val="24"/>
          <w:szCs w:val="24"/>
        </w:rPr>
        <w:t>）：调停者利用系统外资源填补其偏好一方的效用缺口，从而在不破坏谈判结构的前提下降低该方的让步成本。</w:t>
      </w:r>
      <w:r>
        <w:rPr>
          <w:rFonts w:ascii="TNR" w:eastAsia="FS" w:hAnsi="TNR" w:cs="TNR"/>
          <w:sz w:val="24"/>
          <w:szCs w:val="24"/>
          <w:lang w:eastAsia="zh-CN"/>
        </w:rPr>
        <w:t>该理论为理解戴维营案例提供了有力的解释工具，但其核心假说</w:t>
      </w:r>
      <w:r>
        <w:rPr>
          <w:rFonts w:ascii="TNR" w:eastAsia="FS" w:hAnsi="TNR" w:cs="TNR"/>
          <w:sz w:val="24"/>
          <w:szCs w:val="24"/>
          <w:lang w:eastAsia="zh-CN"/>
        </w:rPr>
        <w:t>——</w:t>
      </w:r>
      <w:r>
        <w:rPr>
          <w:rFonts w:ascii="TNR" w:eastAsia="FS" w:hAnsi="TNR" w:cs="TNR"/>
          <w:sz w:val="24"/>
          <w:szCs w:val="24"/>
          <w:lang w:eastAsia="zh-CN"/>
        </w:rPr>
        <w:t>特别是附带支付的完全中介作用</w:t>
      </w:r>
      <w:r>
        <w:rPr>
          <w:rFonts w:ascii="TNR" w:eastAsia="FS" w:hAnsi="TNR" w:cs="TNR"/>
          <w:sz w:val="24"/>
          <w:szCs w:val="24"/>
          <w:lang w:eastAsia="zh-CN"/>
        </w:rPr>
        <w:t>——</w:t>
      </w:r>
      <w:r>
        <w:rPr>
          <w:rFonts w:ascii="TNR" w:eastAsia="FS" w:hAnsi="TNR" w:cs="TNR"/>
          <w:sz w:val="24"/>
          <w:szCs w:val="24"/>
          <w:lang w:eastAsia="zh-CN"/>
        </w:rPr>
        <w:t>目前仍以数学推导为主，缺乏系统性的实证检验。</w:t>
      </w:r>
    </w:p>
    <w:p w14:paraId="00D4D1EE" w14:textId="77777777" w:rsidR="00142F43" w:rsidRDefault="00000000">
      <w:pPr>
        <w:rPr>
          <w:lang w:eastAsia="zh-CN"/>
        </w:rPr>
      </w:pPr>
      <w:r>
        <w:rPr>
          <w:rFonts w:ascii="TNR" w:eastAsia="FS" w:hAnsi="TNR" w:cs="TNR"/>
          <w:sz w:val="24"/>
          <w:szCs w:val="24"/>
          <w:lang w:eastAsia="zh-CN"/>
        </w:rPr>
        <w:t>大语言模型驱动的多智能体模拟为检验上述理论假说提供了新的方法论工具。</w:t>
      </w:r>
      <w:r>
        <w:rPr>
          <w:rFonts w:ascii="TNR" w:eastAsia="FS" w:hAnsi="TNR" w:cs="TNR"/>
          <w:sz w:val="24"/>
          <w:szCs w:val="24"/>
          <w:lang w:eastAsia="zh-CN"/>
        </w:rPr>
        <w:t>Park</w:t>
      </w:r>
      <w:r>
        <w:rPr>
          <w:rFonts w:ascii="TNR" w:eastAsia="FS" w:hAnsi="TNR" w:cs="TNR"/>
          <w:sz w:val="24"/>
          <w:szCs w:val="24"/>
          <w:lang w:eastAsia="zh-CN"/>
        </w:rPr>
        <w:t>等（</w:t>
      </w:r>
      <w:r>
        <w:rPr>
          <w:rFonts w:ascii="TNR" w:eastAsia="FS" w:hAnsi="TNR" w:cs="TNR"/>
          <w:sz w:val="24"/>
          <w:szCs w:val="24"/>
          <w:lang w:eastAsia="zh-CN"/>
        </w:rPr>
        <w:t>2023</w:t>
      </w:r>
      <w:r>
        <w:rPr>
          <w:rFonts w:ascii="TNR" w:eastAsia="FS" w:hAnsi="TNR" w:cs="TNR"/>
          <w:sz w:val="24"/>
          <w:szCs w:val="24"/>
          <w:lang w:eastAsia="zh-CN"/>
        </w:rPr>
        <w:t>）的生成式智能体研究、</w:t>
      </w:r>
      <w:r>
        <w:rPr>
          <w:rFonts w:ascii="TNR" w:eastAsia="FS" w:hAnsi="TNR" w:cs="TNR"/>
          <w:sz w:val="24"/>
          <w:szCs w:val="24"/>
          <w:lang w:eastAsia="zh-CN"/>
        </w:rPr>
        <w:t>Meta CICERO</w:t>
      </w:r>
      <w:r>
        <w:rPr>
          <w:rFonts w:ascii="TNR" w:eastAsia="FS" w:hAnsi="TNR" w:cs="TNR"/>
          <w:sz w:val="24"/>
          <w:szCs w:val="24"/>
          <w:lang w:eastAsia="zh-CN"/>
        </w:rPr>
        <w:t>在</w:t>
      </w:r>
      <w:r>
        <w:rPr>
          <w:rFonts w:ascii="TNR" w:eastAsia="FS" w:hAnsi="TNR" w:cs="TNR"/>
          <w:sz w:val="24"/>
          <w:szCs w:val="24"/>
          <w:lang w:eastAsia="zh-CN"/>
        </w:rPr>
        <w:t>Diplomacy</w:t>
      </w:r>
      <w:r>
        <w:rPr>
          <w:rFonts w:ascii="TNR" w:eastAsia="FS" w:hAnsi="TNR" w:cs="TNR"/>
          <w:sz w:val="24"/>
          <w:szCs w:val="24"/>
          <w:lang w:eastAsia="zh-CN"/>
        </w:rPr>
        <w:t>博弈中</w:t>
      </w:r>
      <w:r>
        <w:rPr>
          <w:rFonts w:ascii="TNR" w:eastAsia="FS" w:hAnsi="TNR" w:cs="TNR"/>
          <w:sz w:val="24"/>
          <w:szCs w:val="24"/>
          <w:lang w:eastAsia="zh-CN"/>
        </w:rPr>
        <w:lastRenderedPageBreak/>
        <w:t>的表现，以及</w:t>
      </w:r>
      <w:r>
        <w:rPr>
          <w:rFonts w:ascii="TNR" w:eastAsia="FS" w:hAnsi="TNR" w:cs="TNR"/>
          <w:sz w:val="24"/>
          <w:szCs w:val="24"/>
          <w:lang w:eastAsia="zh-CN"/>
        </w:rPr>
        <w:t>HARBORCO</w:t>
      </w:r>
      <w:r>
        <w:rPr>
          <w:rFonts w:ascii="TNR" w:eastAsia="FS" w:hAnsi="TNR" w:cs="TNR"/>
          <w:sz w:val="24"/>
          <w:szCs w:val="24"/>
          <w:lang w:eastAsia="zh-CN"/>
        </w:rPr>
        <w:t>实验（</w:t>
      </w:r>
      <w:r>
        <w:rPr>
          <w:rFonts w:ascii="TNR" w:eastAsia="FS" w:hAnsi="TNR" w:cs="TNR"/>
          <w:sz w:val="24"/>
          <w:szCs w:val="24"/>
          <w:lang w:eastAsia="zh-CN"/>
        </w:rPr>
        <w:t>ICWSM 2025</w:t>
      </w:r>
      <w:r>
        <w:rPr>
          <w:rFonts w:ascii="TNR" w:eastAsia="FS" w:hAnsi="TNR" w:cs="TNR"/>
          <w:sz w:val="24"/>
          <w:szCs w:val="24"/>
          <w:lang w:eastAsia="zh-CN"/>
        </w:rPr>
        <w:t>）对</w:t>
      </w:r>
      <w:r>
        <w:rPr>
          <w:rFonts w:ascii="TNR" w:eastAsia="FS" w:hAnsi="TNR" w:cs="TNR"/>
          <w:sz w:val="24"/>
          <w:szCs w:val="24"/>
          <w:lang w:eastAsia="zh-CN"/>
        </w:rPr>
        <w:t>LLM</w:t>
      </w:r>
      <w:r>
        <w:rPr>
          <w:rFonts w:ascii="TNR" w:eastAsia="FS" w:hAnsi="TNR" w:cs="TNR"/>
          <w:sz w:val="24"/>
          <w:szCs w:val="24"/>
          <w:lang w:eastAsia="zh-CN"/>
        </w:rPr>
        <w:t>谈判成功率的研究共同表明，通过提示词设计而非模型训练即可在</w:t>
      </w:r>
      <w:r>
        <w:rPr>
          <w:rFonts w:ascii="TNR" w:eastAsia="FS" w:hAnsi="TNR" w:cs="TNR"/>
          <w:sz w:val="24"/>
          <w:szCs w:val="24"/>
          <w:lang w:eastAsia="zh-CN"/>
        </w:rPr>
        <w:t>LLM</w:t>
      </w:r>
      <w:r>
        <w:rPr>
          <w:rFonts w:ascii="TNR" w:eastAsia="FS" w:hAnsi="TNR" w:cs="TNR"/>
          <w:sz w:val="24"/>
          <w:szCs w:val="24"/>
          <w:lang w:eastAsia="zh-CN"/>
        </w:rPr>
        <w:t>智能体中激发出接近人类水平的复杂谈判行为。本研究在此基础上，以戴维营协议为经验锚点，构建一个轻量化但内容完备的多智能体模拟系统，通过可控的对照实验检验偏见调停有效性假说。</w:t>
      </w:r>
    </w:p>
    <w:p w14:paraId="7F8654C0" w14:textId="77777777" w:rsidR="00142F43" w:rsidRDefault="00000000">
      <w:pPr>
        <w:rPr>
          <w:lang w:eastAsia="zh-CN"/>
        </w:rPr>
      </w:pPr>
      <w:r>
        <w:rPr>
          <w:rFonts w:ascii="TNR" w:eastAsia="KT" w:hAnsi="TNR" w:cs="TNR"/>
          <w:sz w:val="28"/>
          <w:szCs w:val="28"/>
          <w:lang w:eastAsia="zh-CN"/>
        </w:rPr>
        <w:t>（二）核心研究假设</w:t>
      </w:r>
    </w:p>
    <w:p w14:paraId="5F6E39EB" w14:textId="77777777" w:rsidR="00142F43" w:rsidRDefault="00000000">
      <w:pPr>
        <w:rPr>
          <w:lang w:eastAsia="zh-CN"/>
        </w:rPr>
      </w:pPr>
      <w:r>
        <w:rPr>
          <w:rFonts w:ascii="TNR" w:eastAsia="FS" w:hAnsi="TNR" w:cs="TNR"/>
          <w:sz w:val="24"/>
          <w:szCs w:val="24"/>
          <w:lang w:eastAsia="zh-CN"/>
        </w:rPr>
        <w:t>基于理论推导和案例观察，本研究提出四项假设：</w:t>
      </w:r>
    </w:p>
    <w:p w14:paraId="22B0CE9B"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H1</w:t>
      </w:r>
      <w:r>
        <w:rPr>
          <w:rFonts w:ascii="TNR" w:eastAsia="FS" w:hAnsi="TNR" w:cs="TNR"/>
          <w:sz w:val="24"/>
          <w:szCs w:val="24"/>
          <w:lang w:eastAsia="zh-CN"/>
        </w:rPr>
        <w:t>（偏见主效应）：在实力不对称程度较高的冲突中，亲强方的偏见调停者达成的初期协议率显著高于中立调停者。该效应的理论机制在于偏见调停者能够通过附带支付降低强方的让步成本</w:t>
      </w:r>
      <w:r>
        <w:rPr>
          <w:rFonts w:ascii="TNR" w:eastAsia="FS" w:hAnsi="TNR" w:cs="TNR"/>
          <w:sz w:val="24"/>
          <w:szCs w:val="24"/>
          <w:lang w:eastAsia="zh-CN"/>
        </w:rPr>
        <w:t>——</w:t>
      </w:r>
      <w:r>
        <w:rPr>
          <w:rFonts w:ascii="TNR" w:eastAsia="FS" w:hAnsi="TNR" w:cs="TNR"/>
          <w:sz w:val="24"/>
          <w:szCs w:val="24"/>
          <w:lang w:eastAsia="zh-CN"/>
        </w:rPr>
        <w:t>戴维营案例中，美国偏袒以色列的政策并未阻碍协议达成，反而创造了以色列让步的条件。</w:t>
      </w:r>
    </w:p>
    <w:p w14:paraId="73F2C8CD"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H2</w:t>
      </w:r>
      <w:r>
        <w:rPr>
          <w:rFonts w:ascii="TNR" w:eastAsia="FS" w:hAnsi="TNR" w:cs="TNR"/>
          <w:sz w:val="24"/>
          <w:szCs w:val="24"/>
          <w:lang w:eastAsia="zh-CN"/>
        </w:rPr>
        <w:t>（协议质量与持久性）：偏见调停所达成的协议在条款上更倾向于强方利益（以基尼系数衡量的资源分配更不均衡），且在后续执行期内的持久性低于中立调停所达成的协议。该假设涉及偏见调停的效率</w:t>
      </w:r>
      <w:r>
        <w:rPr>
          <w:rFonts w:ascii="TNR" w:eastAsia="FS" w:hAnsi="TNR" w:cs="TNR"/>
          <w:sz w:val="24"/>
          <w:szCs w:val="24"/>
          <w:lang w:eastAsia="zh-CN"/>
        </w:rPr>
        <w:t>-</w:t>
      </w:r>
      <w:r>
        <w:rPr>
          <w:rFonts w:ascii="TNR" w:eastAsia="FS" w:hAnsi="TNR" w:cs="TNR"/>
          <w:sz w:val="24"/>
          <w:szCs w:val="24"/>
          <w:lang w:eastAsia="zh-CN"/>
        </w:rPr>
        <w:t>质量权衡</w:t>
      </w:r>
      <w:r>
        <w:rPr>
          <w:rFonts w:ascii="TNR" w:eastAsia="FS" w:hAnsi="TNR" w:cs="TNR"/>
          <w:sz w:val="24"/>
          <w:szCs w:val="24"/>
          <w:lang w:eastAsia="zh-CN"/>
        </w:rPr>
        <w:t>——</w:t>
      </w:r>
      <w:r>
        <w:rPr>
          <w:rFonts w:ascii="TNR" w:eastAsia="FS" w:hAnsi="TNR" w:cs="TNR"/>
          <w:sz w:val="24"/>
          <w:szCs w:val="24"/>
          <w:lang w:eastAsia="zh-CN"/>
        </w:rPr>
        <w:t>戴维营的冷和平特征和萨达特遇刺为其提供了经验上的初步证据。</w:t>
      </w:r>
    </w:p>
    <w:p w14:paraId="440E5F07"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H3</w:t>
      </w:r>
      <w:r>
        <w:rPr>
          <w:rFonts w:ascii="TNR" w:eastAsia="FS" w:hAnsi="TNR" w:cs="TNR"/>
          <w:sz w:val="24"/>
          <w:szCs w:val="24"/>
          <w:lang w:eastAsia="zh-CN"/>
        </w:rPr>
        <w:t>（附带支付的中介效应）：附带支付在偏见调停与协议达成之间起中介作用。控制附带支付变量后，偏见调停对协议率的直接效应将大幅减弱或消失。卡特政府的外交档案（</w:t>
      </w:r>
      <w:r>
        <w:rPr>
          <w:rFonts w:ascii="TNR" w:eastAsia="FS" w:hAnsi="TNR" w:cs="TNR"/>
          <w:sz w:val="24"/>
          <w:szCs w:val="24"/>
          <w:lang w:eastAsia="zh-CN"/>
        </w:rPr>
        <w:t>Quandt, 1986</w:t>
      </w:r>
      <w:r>
        <w:rPr>
          <w:rFonts w:ascii="TNR" w:eastAsia="FS" w:hAnsi="TNR" w:cs="TNR"/>
          <w:sz w:val="24"/>
          <w:szCs w:val="24"/>
          <w:lang w:eastAsia="zh-CN"/>
        </w:rPr>
        <w:t>）表明，援助承诺是第十天谈判僵局中的直接突破因素。</w:t>
      </w:r>
    </w:p>
    <w:p w14:paraId="76606170"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H4</w:t>
      </w:r>
      <w:r>
        <w:rPr>
          <w:rFonts w:ascii="TNR" w:eastAsia="FS" w:hAnsi="TNR" w:cs="TNR"/>
          <w:sz w:val="24"/>
          <w:szCs w:val="24"/>
          <w:lang w:eastAsia="zh-CN"/>
        </w:rPr>
        <w:t>（不对称度的调节效应）：实力不对称度调节偏见调停的有效性。低不对称条件下，偏见调停的优势将减弱。埃以之间约</w:t>
      </w:r>
      <w:r>
        <w:rPr>
          <w:rFonts w:ascii="TNR" w:eastAsia="FS" w:hAnsi="TNR" w:cs="TNR"/>
          <w:sz w:val="24"/>
          <w:szCs w:val="24"/>
          <w:lang w:eastAsia="zh-CN"/>
        </w:rPr>
        <w:t>2:1</w:t>
      </w:r>
      <w:r>
        <w:rPr>
          <w:rFonts w:ascii="TNR" w:eastAsia="FS" w:hAnsi="TNR" w:cs="TNR"/>
          <w:sz w:val="24"/>
          <w:szCs w:val="24"/>
          <w:lang w:eastAsia="zh-CN"/>
        </w:rPr>
        <w:t>的实力比为这一边界条件的估计提供了参考基准。</w:t>
      </w:r>
    </w:p>
    <w:p w14:paraId="6A86F3FB" w14:textId="77777777" w:rsidR="00142F43" w:rsidRDefault="00000000">
      <w:pPr>
        <w:rPr>
          <w:lang w:eastAsia="zh-CN"/>
        </w:rPr>
      </w:pPr>
      <w:r>
        <w:rPr>
          <w:rFonts w:ascii="TNR" w:eastAsia="KT" w:hAnsi="TNR" w:cs="TNR"/>
          <w:sz w:val="28"/>
          <w:szCs w:val="28"/>
          <w:lang w:eastAsia="zh-CN"/>
        </w:rPr>
        <w:t>（三）研究方法与路径</w:t>
      </w:r>
    </w:p>
    <w:p w14:paraId="564ACC68" w14:textId="77777777" w:rsidR="00142F43" w:rsidRDefault="00000000">
      <w:pPr>
        <w:rPr>
          <w:lang w:eastAsia="zh-CN"/>
        </w:rPr>
      </w:pPr>
      <w:r>
        <w:rPr>
          <w:rFonts w:ascii="TNR" w:eastAsia="FS" w:hAnsi="TNR" w:cs="TNR"/>
          <w:sz w:val="24"/>
          <w:szCs w:val="24"/>
          <w:lang w:eastAsia="zh-CN"/>
        </w:rPr>
        <w:t>本研究的方法论框架由四个递进环节构成。第一，案例参数提取：从戴维营案例中提取实力不对称度、偏见方向和附带支付比例等关键参数，作为实验系统的外部校准依据。第二，多智能体系统构建：基于</w:t>
      </w:r>
      <w:r>
        <w:rPr>
          <w:rFonts w:ascii="TNR" w:eastAsia="FS" w:hAnsi="TNR" w:cs="TNR"/>
          <w:sz w:val="24"/>
          <w:szCs w:val="24"/>
          <w:lang w:eastAsia="zh-CN"/>
        </w:rPr>
        <w:t>LLM</w:t>
      </w:r>
      <w:r>
        <w:rPr>
          <w:rFonts w:ascii="TNR" w:eastAsia="FS" w:hAnsi="TNR" w:cs="TNR"/>
          <w:sz w:val="24"/>
          <w:szCs w:val="24"/>
          <w:lang w:eastAsia="zh-CN"/>
        </w:rPr>
        <w:t>的</w:t>
      </w:r>
      <w:r>
        <w:rPr>
          <w:rFonts w:ascii="TNR" w:eastAsia="FS" w:hAnsi="TNR" w:cs="TNR"/>
          <w:sz w:val="24"/>
          <w:szCs w:val="24"/>
          <w:lang w:eastAsia="zh-CN"/>
        </w:rPr>
        <w:t>API</w:t>
      </w:r>
      <w:r>
        <w:rPr>
          <w:rFonts w:ascii="TNR" w:eastAsia="FS" w:hAnsi="TNR" w:cs="TNR"/>
          <w:sz w:val="24"/>
          <w:szCs w:val="24"/>
          <w:lang w:eastAsia="zh-CN"/>
        </w:rPr>
        <w:t>接口构建五类智能体（强方、弱方、调停者、国内观众、评估智能体），每类智能体的效用函数和行为边界通过系统提示词定义。第三，评估驱动的迭代优化：独立的评估智能体在实验过程中持续监控模拟质量，从六个维度（外部效度、内部一</w:t>
      </w:r>
      <w:r>
        <w:rPr>
          <w:rFonts w:ascii="TNR" w:eastAsia="FS" w:hAnsi="TNR" w:cs="TNR"/>
          <w:sz w:val="24"/>
          <w:szCs w:val="24"/>
          <w:lang w:eastAsia="zh-CN"/>
        </w:rPr>
        <w:lastRenderedPageBreak/>
        <w:t>致性、行为合理性、策略多样性、随机充分性、操作检查）进行结构化评估，并根据评估结果驱动参数调整。第四，统计检验：运用独立样本</w:t>
      </w:r>
      <w:r>
        <w:rPr>
          <w:rFonts w:ascii="TNR" w:eastAsia="FS" w:hAnsi="TNR" w:cs="TNR"/>
          <w:sz w:val="24"/>
          <w:szCs w:val="24"/>
          <w:lang w:eastAsia="zh-CN"/>
        </w:rPr>
        <w:t>t</w:t>
      </w:r>
      <w:r>
        <w:rPr>
          <w:rFonts w:ascii="TNR" w:eastAsia="FS" w:hAnsi="TNR" w:cs="TNR"/>
          <w:sz w:val="24"/>
          <w:szCs w:val="24"/>
          <w:lang w:eastAsia="zh-CN"/>
        </w:rPr>
        <w:t>检验、</w:t>
      </w:r>
      <w:r>
        <w:rPr>
          <w:rFonts w:ascii="TNR" w:eastAsia="FS" w:hAnsi="TNR" w:cs="TNR"/>
          <w:sz w:val="24"/>
          <w:szCs w:val="24"/>
          <w:lang w:eastAsia="zh-CN"/>
        </w:rPr>
        <w:t>Logistic</w:t>
      </w:r>
      <w:r>
        <w:rPr>
          <w:rFonts w:ascii="TNR" w:eastAsia="FS" w:hAnsi="TNR" w:cs="TNR"/>
          <w:sz w:val="24"/>
          <w:szCs w:val="24"/>
          <w:lang w:eastAsia="zh-CN"/>
        </w:rPr>
        <w:t>回归、方差分析、</w:t>
      </w:r>
      <w:r>
        <w:rPr>
          <w:rFonts w:ascii="TNR" w:eastAsia="FS" w:hAnsi="TNR" w:cs="TNR"/>
          <w:sz w:val="24"/>
          <w:szCs w:val="24"/>
          <w:lang w:eastAsia="zh-CN"/>
        </w:rPr>
        <w:t>Kaplan-Meier</w:t>
      </w:r>
      <w:r>
        <w:rPr>
          <w:rFonts w:ascii="TNR" w:eastAsia="FS" w:hAnsi="TNR" w:cs="TNR"/>
          <w:sz w:val="24"/>
          <w:szCs w:val="24"/>
          <w:lang w:eastAsia="zh-CN"/>
        </w:rPr>
        <w:t>生存分析、</w:t>
      </w:r>
      <w:r>
        <w:rPr>
          <w:rFonts w:ascii="TNR" w:eastAsia="FS" w:hAnsi="TNR" w:cs="TNR"/>
          <w:sz w:val="24"/>
          <w:szCs w:val="24"/>
          <w:lang w:eastAsia="zh-CN"/>
        </w:rPr>
        <w:t>Cox</w:t>
      </w:r>
      <w:r>
        <w:rPr>
          <w:rFonts w:ascii="TNR" w:eastAsia="FS" w:hAnsi="TNR" w:cs="TNR"/>
          <w:sz w:val="24"/>
          <w:szCs w:val="24"/>
          <w:lang w:eastAsia="zh-CN"/>
        </w:rPr>
        <w:t>比例风险模型和</w:t>
      </w:r>
      <w:r>
        <w:rPr>
          <w:rFonts w:ascii="TNR" w:eastAsia="FS" w:hAnsi="TNR" w:cs="TNR"/>
          <w:sz w:val="24"/>
          <w:szCs w:val="24"/>
          <w:lang w:eastAsia="zh-CN"/>
        </w:rPr>
        <w:t>Bootstrap</w:t>
      </w:r>
      <w:r>
        <w:rPr>
          <w:rFonts w:ascii="TNR" w:eastAsia="FS" w:hAnsi="TNR" w:cs="TNR"/>
          <w:sz w:val="24"/>
          <w:szCs w:val="24"/>
          <w:lang w:eastAsia="zh-CN"/>
        </w:rPr>
        <w:t>中介效应检验等标准统计方法对四项假设进行验证。</w:t>
      </w:r>
    </w:p>
    <w:p w14:paraId="0E90A506" w14:textId="77777777" w:rsidR="00142F43" w:rsidRDefault="00000000">
      <w:pPr>
        <w:rPr>
          <w:lang w:eastAsia="zh-CN"/>
        </w:rPr>
      </w:pPr>
      <w:r>
        <w:rPr>
          <w:rFonts w:ascii="TNR" w:eastAsia="FS" w:hAnsi="TNR" w:cs="TNR"/>
          <w:sz w:val="24"/>
          <w:szCs w:val="24"/>
          <w:lang w:eastAsia="zh-CN"/>
        </w:rPr>
        <w:t>这一方案的技术原则是轻量化与可复现性。所有智能体行为通过提示词控制，不涉及模型微调或训练；评估体系嵌入独立的评估智能体；数据分析使用开源统计工具。代码将在实验完成后标准化公开。</w:t>
      </w:r>
    </w:p>
    <w:p w14:paraId="5E179897" w14:textId="77777777" w:rsidR="00142F43" w:rsidRDefault="00000000">
      <w:pPr>
        <w:rPr>
          <w:lang w:eastAsia="zh-CN"/>
        </w:rPr>
      </w:pPr>
      <w:r>
        <w:rPr>
          <w:lang w:eastAsia="zh-CN"/>
        </w:rPr>
        <w:br w:type="page"/>
      </w:r>
    </w:p>
    <w:p w14:paraId="4A45C8A6" w14:textId="77777777" w:rsidR="00142F43" w:rsidRDefault="00000000">
      <w:pPr>
        <w:jc w:val="center"/>
        <w:rPr>
          <w:lang w:eastAsia="zh-CN"/>
        </w:rPr>
      </w:pPr>
      <w:r>
        <w:rPr>
          <w:rFonts w:ascii="TNR" w:eastAsia="SH" w:hAnsi="TNR" w:cs="TNR"/>
          <w:b/>
          <w:sz w:val="32"/>
          <w:szCs w:val="32"/>
          <w:lang w:eastAsia="zh-CN"/>
        </w:rPr>
        <w:lastRenderedPageBreak/>
        <w:t>二、理论基础与文献回顾</w:t>
      </w:r>
    </w:p>
    <w:p w14:paraId="722F6271" w14:textId="77777777" w:rsidR="00142F43" w:rsidRDefault="00000000">
      <w:pPr>
        <w:rPr>
          <w:lang w:eastAsia="zh-CN"/>
        </w:rPr>
      </w:pPr>
      <w:r>
        <w:rPr>
          <w:rFonts w:ascii="TNR" w:eastAsia="KT" w:hAnsi="TNR" w:cs="TNR"/>
          <w:sz w:val="28"/>
          <w:szCs w:val="28"/>
          <w:lang w:eastAsia="zh-CN"/>
        </w:rPr>
        <w:t>（一）调停理论：从经典中立范式到偏见有效性假说</w:t>
      </w:r>
    </w:p>
    <w:p w14:paraId="1EE07699" w14:textId="77777777" w:rsidR="00142F43" w:rsidRDefault="00000000">
      <w:pPr>
        <w:rPr>
          <w:lang w:eastAsia="zh-CN"/>
        </w:rPr>
      </w:pPr>
      <w:r>
        <w:rPr>
          <w:rFonts w:ascii="TNR" w:eastAsia="FS" w:hAnsi="TNR" w:cs="TNR"/>
          <w:sz w:val="24"/>
          <w:szCs w:val="24"/>
          <w:lang w:eastAsia="zh-CN"/>
        </w:rPr>
        <w:t>经典调停理论长期将中立性视为调停有效性的核心前提。</w:t>
      </w:r>
      <w:r>
        <w:rPr>
          <w:rFonts w:ascii="TNR" w:eastAsia="FS" w:hAnsi="TNR" w:cs="TNR"/>
          <w:sz w:val="24"/>
          <w:szCs w:val="24"/>
          <w:lang w:eastAsia="zh-CN"/>
        </w:rPr>
        <w:t>Bercovitch</w:t>
      </w:r>
      <w:r>
        <w:rPr>
          <w:rFonts w:ascii="TNR" w:eastAsia="FS" w:hAnsi="TNR" w:cs="TNR"/>
          <w:sz w:val="24"/>
          <w:szCs w:val="24"/>
          <w:lang w:eastAsia="zh-CN"/>
        </w:rPr>
        <w:t>（</w:t>
      </w:r>
      <w:r>
        <w:rPr>
          <w:rFonts w:ascii="TNR" w:eastAsia="FS" w:hAnsi="TNR" w:cs="TNR"/>
          <w:sz w:val="24"/>
          <w:szCs w:val="24"/>
          <w:lang w:eastAsia="zh-CN"/>
        </w:rPr>
        <w:t>1997</w:t>
      </w:r>
      <w:r>
        <w:rPr>
          <w:rFonts w:ascii="TNR" w:eastAsia="FS" w:hAnsi="TNR" w:cs="TNR"/>
          <w:sz w:val="24"/>
          <w:szCs w:val="24"/>
          <w:lang w:eastAsia="zh-CN"/>
        </w:rPr>
        <w:t>）从制度主义视角论证了调停者中立性在建立冲突双方信任中的关键作用。</w:t>
      </w:r>
      <w:r>
        <w:rPr>
          <w:rFonts w:ascii="TNR" w:eastAsia="FS" w:hAnsi="TNR" w:cs="TNR"/>
          <w:sz w:val="24"/>
          <w:szCs w:val="24"/>
          <w:lang w:eastAsia="zh-CN"/>
        </w:rPr>
        <w:t>Beardsley</w:t>
      </w:r>
      <w:r>
        <w:rPr>
          <w:rFonts w:ascii="TNR" w:eastAsia="FS" w:hAnsi="TNR" w:cs="TNR"/>
          <w:sz w:val="24"/>
          <w:szCs w:val="24"/>
          <w:lang w:eastAsia="zh-CN"/>
        </w:rPr>
        <w:t>（</w:t>
      </w:r>
      <w:r>
        <w:rPr>
          <w:rFonts w:ascii="TNR" w:eastAsia="FS" w:hAnsi="TNR" w:cs="TNR"/>
          <w:sz w:val="24"/>
          <w:szCs w:val="24"/>
          <w:lang w:eastAsia="zh-CN"/>
        </w:rPr>
        <w:t>2010</w:t>
      </w:r>
      <w:r>
        <w:rPr>
          <w:rFonts w:ascii="TNR" w:eastAsia="FS" w:hAnsi="TNR" w:cs="TNR"/>
          <w:sz w:val="24"/>
          <w:szCs w:val="24"/>
          <w:lang w:eastAsia="zh-CN"/>
        </w:rPr>
        <w:t>）通过定量分析表明，中立调停者更可能促成协议并维持和平。在这一范式下，偏见被视为调停者的负债</w:t>
      </w:r>
      <w:r>
        <w:rPr>
          <w:rFonts w:ascii="TNR" w:eastAsia="FS" w:hAnsi="TNR" w:cs="TNR"/>
          <w:sz w:val="24"/>
          <w:szCs w:val="24"/>
          <w:lang w:eastAsia="zh-CN"/>
        </w:rPr>
        <w:t>——</w:t>
      </w:r>
      <w:r>
        <w:rPr>
          <w:rFonts w:ascii="TNR" w:eastAsia="FS" w:hAnsi="TNR" w:cs="TNR"/>
          <w:sz w:val="24"/>
          <w:szCs w:val="24"/>
          <w:lang w:eastAsia="zh-CN"/>
        </w:rPr>
        <w:t>有偏见的调停者会引起弱势方的戒备，降低信息共享意愿，从而削弱协议达成的可能性。</w:t>
      </w:r>
    </w:p>
    <w:p w14:paraId="243294A4" w14:textId="77777777" w:rsidR="00142F43" w:rsidRDefault="00000000">
      <w:pPr>
        <w:rPr>
          <w:lang w:eastAsia="zh-CN"/>
        </w:rPr>
      </w:pPr>
      <w:r>
        <w:rPr>
          <w:rFonts w:ascii="TNR" w:eastAsia="FS" w:hAnsi="TNR" w:cs="TNR"/>
          <w:sz w:val="24"/>
          <w:szCs w:val="24"/>
          <w:lang w:eastAsia="zh-CN"/>
        </w:rPr>
        <w:t>但近年来，理论和实证层面的挑战逐渐增多。</w:t>
      </w:r>
      <w:r>
        <w:rPr>
          <w:rFonts w:ascii="TNR" w:eastAsia="FS" w:hAnsi="TNR" w:cs="TNR"/>
          <w:sz w:val="24"/>
          <w:szCs w:val="24"/>
          <w:lang w:eastAsia="zh-CN"/>
        </w:rPr>
        <w:t>Savun</w:t>
      </w:r>
      <w:r>
        <w:rPr>
          <w:rFonts w:ascii="TNR" w:eastAsia="FS" w:hAnsi="TNR" w:cs="TNR"/>
          <w:sz w:val="24"/>
          <w:szCs w:val="24"/>
          <w:lang w:eastAsia="zh-CN"/>
        </w:rPr>
        <w:t>（</w:t>
      </w:r>
      <w:r>
        <w:rPr>
          <w:rFonts w:ascii="TNR" w:eastAsia="FS" w:hAnsi="TNR" w:cs="TNR"/>
          <w:sz w:val="24"/>
          <w:szCs w:val="24"/>
          <w:lang w:eastAsia="zh-CN"/>
        </w:rPr>
        <w:t>2008</w:t>
      </w:r>
      <w:r>
        <w:rPr>
          <w:rFonts w:ascii="TNR" w:eastAsia="FS" w:hAnsi="TNR" w:cs="TNR"/>
          <w:sz w:val="24"/>
          <w:szCs w:val="24"/>
          <w:lang w:eastAsia="zh-CN"/>
        </w:rPr>
        <w:t>）通过定量研究发现，有偏见的调停者在某些条件下反而更容易获得冲突双方的信赖</w:t>
      </w:r>
      <w:r>
        <w:rPr>
          <w:rFonts w:ascii="TNR" w:eastAsia="FS" w:hAnsi="TNR" w:cs="TNR"/>
          <w:sz w:val="24"/>
          <w:szCs w:val="24"/>
          <w:lang w:eastAsia="zh-CN"/>
        </w:rPr>
        <w:t>——</w:t>
      </w:r>
      <w:r>
        <w:rPr>
          <w:rFonts w:ascii="TNR" w:eastAsia="FS" w:hAnsi="TNR" w:cs="TNR"/>
          <w:sz w:val="24"/>
          <w:szCs w:val="24"/>
          <w:lang w:eastAsia="zh-CN"/>
        </w:rPr>
        <w:t>因为其偏好方向是可以预期的，从而减少了谈判中的策略不确定性。</w:t>
      </w:r>
      <w:r>
        <w:rPr>
          <w:rFonts w:ascii="TNR" w:eastAsia="FS" w:hAnsi="TNR" w:cs="TNR"/>
          <w:sz w:val="24"/>
          <w:szCs w:val="24"/>
          <w:lang w:eastAsia="zh-CN"/>
        </w:rPr>
        <w:t>Kim</w:t>
      </w:r>
      <w:r>
        <w:rPr>
          <w:rFonts w:ascii="TNR" w:eastAsia="FS" w:hAnsi="TNR" w:cs="TNR"/>
          <w:sz w:val="24"/>
          <w:szCs w:val="24"/>
          <w:lang w:eastAsia="zh-CN"/>
        </w:rPr>
        <w:t>（</w:t>
      </w:r>
      <w:r>
        <w:rPr>
          <w:rFonts w:ascii="TNR" w:eastAsia="FS" w:hAnsi="TNR" w:cs="TNR"/>
          <w:sz w:val="24"/>
          <w:szCs w:val="24"/>
          <w:lang w:eastAsia="zh-CN"/>
        </w:rPr>
        <w:t>2025</w:t>
      </w:r>
      <w:r>
        <w:rPr>
          <w:rFonts w:ascii="TNR" w:eastAsia="FS" w:hAnsi="TNR" w:cs="TNR"/>
          <w:sz w:val="24"/>
          <w:szCs w:val="24"/>
          <w:lang w:eastAsia="zh-CN"/>
        </w:rPr>
        <w:t>）则将这一直觉形式化为一个信息不对称条件下的博弈模型。在该模型中，偏见调停者采用非对称推荐策略：在资源分配上向其偏好方倾斜，同时向弱势方提供高于冲突延续回报的和平生存概率。模型的均衡结果表明，偏见调停者的协议促成效率可以等同于甚至超越中立调停者。附带支付是该模型的核心机制变量</w:t>
      </w:r>
      <w:r>
        <w:rPr>
          <w:rFonts w:ascii="TNR" w:eastAsia="FS" w:hAnsi="TNR" w:cs="TNR"/>
          <w:sz w:val="24"/>
          <w:szCs w:val="24"/>
          <w:lang w:eastAsia="zh-CN"/>
        </w:rPr>
        <w:t>——</w:t>
      </w:r>
      <w:r>
        <w:rPr>
          <w:rFonts w:ascii="TNR" w:eastAsia="FS" w:hAnsi="TNR" w:cs="TNR"/>
          <w:sz w:val="24"/>
          <w:szCs w:val="24"/>
          <w:lang w:eastAsia="zh-CN"/>
        </w:rPr>
        <w:t>调停者通过系统外资源注入改变博弈的效用结构，在不对称的信息环境中创造合作空间。</w:t>
      </w:r>
    </w:p>
    <w:p w14:paraId="437D0EE0" w14:textId="77777777" w:rsidR="00142F43" w:rsidRDefault="00000000">
      <w:pPr>
        <w:rPr>
          <w:lang w:eastAsia="zh-CN"/>
        </w:rPr>
      </w:pPr>
      <w:r>
        <w:rPr>
          <w:rFonts w:ascii="TNR" w:eastAsia="FS" w:hAnsi="TNR" w:cs="TNR"/>
          <w:sz w:val="24"/>
          <w:szCs w:val="24"/>
          <w:lang w:eastAsia="zh-CN"/>
        </w:rPr>
        <w:t>Kydd</w:t>
      </w:r>
      <w:r>
        <w:rPr>
          <w:rFonts w:ascii="TNR" w:eastAsia="FS" w:hAnsi="TNR" w:cs="TNR"/>
          <w:sz w:val="24"/>
          <w:szCs w:val="24"/>
          <w:lang w:eastAsia="zh-CN"/>
        </w:rPr>
        <w:t>（</w:t>
      </w:r>
      <w:r>
        <w:rPr>
          <w:rFonts w:ascii="TNR" w:eastAsia="FS" w:hAnsi="TNR" w:cs="TNR"/>
          <w:sz w:val="24"/>
          <w:szCs w:val="24"/>
          <w:lang w:eastAsia="zh-CN"/>
        </w:rPr>
        <w:t>2003</w:t>
      </w:r>
      <w:r>
        <w:rPr>
          <w:rFonts w:ascii="TNR" w:eastAsia="FS" w:hAnsi="TNR" w:cs="TNR"/>
          <w:sz w:val="24"/>
          <w:szCs w:val="24"/>
          <w:lang w:eastAsia="zh-CN"/>
        </w:rPr>
        <w:t>）的研究从另一个角度支持了这一结论：他认为冲突方更信任与自己立场相近的调停者，因为这种调停者不会恶意欺骗自己。这一</w:t>
      </w:r>
      <w:r>
        <w:rPr>
          <w:rFonts w:ascii="TNR" w:eastAsia="FS" w:hAnsi="TNR" w:cs="TNR"/>
          <w:sz w:val="24"/>
          <w:szCs w:val="24"/>
          <w:lang w:eastAsia="zh-CN"/>
        </w:rPr>
        <w:t>"</w:t>
      </w:r>
      <w:r>
        <w:rPr>
          <w:rFonts w:ascii="TNR" w:eastAsia="FS" w:hAnsi="TNR" w:cs="TNR"/>
          <w:sz w:val="24"/>
          <w:szCs w:val="24"/>
          <w:lang w:eastAsia="zh-CN"/>
        </w:rPr>
        <w:t>偏见作为可信度来源</w:t>
      </w:r>
      <w:r>
        <w:rPr>
          <w:rFonts w:ascii="TNR" w:eastAsia="FS" w:hAnsi="TNR" w:cs="TNR"/>
          <w:sz w:val="24"/>
          <w:szCs w:val="24"/>
          <w:lang w:eastAsia="zh-CN"/>
        </w:rPr>
        <w:t>"</w:t>
      </w:r>
      <w:r>
        <w:rPr>
          <w:rFonts w:ascii="TNR" w:eastAsia="FS" w:hAnsi="TNR" w:cs="TNR"/>
          <w:sz w:val="24"/>
          <w:szCs w:val="24"/>
          <w:lang w:eastAsia="zh-CN"/>
        </w:rPr>
        <w:t>的观点与</w:t>
      </w:r>
      <w:r>
        <w:rPr>
          <w:rFonts w:ascii="TNR" w:eastAsia="FS" w:hAnsi="TNR" w:cs="TNR"/>
          <w:sz w:val="24"/>
          <w:szCs w:val="24"/>
          <w:lang w:eastAsia="zh-CN"/>
        </w:rPr>
        <w:t>Kim</w:t>
      </w:r>
      <w:r>
        <w:rPr>
          <w:rFonts w:ascii="TNR" w:eastAsia="FS" w:hAnsi="TNR" w:cs="TNR"/>
          <w:sz w:val="24"/>
          <w:szCs w:val="24"/>
          <w:lang w:eastAsia="zh-CN"/>
        </w:rPr>
        <w:t>的博弈模型形成了理论互补。</w:t>
      </w:r>
    </w:p>
    <w:p w14:paraId="2FB0832A" w14:textId="77777777" w:rsidR="00142F43" w:rsidRDefault="00000000">
      <w:pPr>
        <w:rPr>
          <w:lang w:eastAsia="zh-CN"/>
        </w:rPr>
      </w:pPr>
      <w:r>
        <w:rPr>
          <w:rFonts w:ascii="TNR" w:eastAsia="KT" w:hAnsi="TNR" w:cs="TNR"/>
          <w:sz w:val="28"/>
          <w:szCs w:val="28"/>
          <w:lang w:eastAsia="zh-CN"/>
        </w:rPr>
        <w:t>（二）</w:t>
      </w:r>
      <w:r>
        <w:rPr>
          <w:rFonts w:ascii="TNR" w:eastAsia="KT" w:hAnsi="TNR" w:cs="TNR"/>
          <w:sz w:val="28"/>
          <w:szCs w:val="28"/>
          <w:lang w:eastAsia="zh-CN"/>
        </w:rPr>
        <w:t>LLM</w:t>
      </w:r>
      <w:r>
        <w:rPr>
          <w:rFonts w:ascii="TNR" w:eastAsia="KT" w:hAnsi="TNR" w:cs="TNR"/>
          <w:sz w:val="28"/>
          <w:szCs w:val="28"/>
          <w:lang w:eastAsia="zh-CN"/>
        </w:rPr>
        <w:t>多智能体模拟的前沿进展</w:t>
      </w:r>
    </w:p>
    <w:p w14:paraId="21A4A94B" w14:textId="77777777" w:rsidR="00142F43" w:rsidRDefault="00000000">
      <w:pPr>
        <w:rPr>
          <w:lang w:eastAsia="zh-CN"/>
        </w:rPr>
      </w:pPr>
      <w:r>
        <w:rPr>
          <w:rFonts w:ascii="TNR" w:eastAsia="FS" w:hAnsi="TNR" w:cs="TNR"/>
          <w:sz w:val="24"/>
          <w:szCs w:val="24"/>
          <w:lang w:eastAsia="zh-CN"/>
        </w:rPr>
        <w:t>大语言模型的出现为计算社会科学开辟了新的实验路径。</w:t>
      </w:r>
      <w:r>
        <w:rPr>
          <w:rFonts w:ascii="TNR" w:eastAsia="FS" w:hAnsi="TNR" w:cs="TNR"/>
          <w:sz w:val="24"/>
          <w:szCs w:val="24"/>
          <w:lang w:eastAsia="zh-CN"/>
        </w:rPr>
        <w:t>Meta</w:t>
      </w:r>
      <w:r>
        <w:rPr>
          <w:rFonts w:ascii="TNR" w:eastAsia="FS" w:hAnsi="TNR" w:cs="TNR"/>
          <w:sz w:val="24"/>
          <w:szCs w:val="24"/>
          <w:lang w:eastAsia="zh-CN"/>
        </w:rPr>
        <w:t>的</w:t>
      </w:r>
      <w:r>
        <w:rPr>
          <w:rFonts w:ascii="TNR" w:eastAsia="FS" w:hAnsi="TNR" w:cs="TNR"/>
          <w:sz w:val="24"/>
          <w:szCs w:val="24"/>
          <w:lang w:eastAsia="zh-CN"/>
        </w:rPr>
        <w:t>CICERO</w:t>
      </w:r>
      <w:r>
        <w:rPr>
          <w:rFonts w:ascii="TNR" w:eastAsia="FS" w:hAnsi="TNR" w:cs="TNR"/>
          <w:sz w:val="24"/>
          <w:szCs w:val="24"/>
          <w:lang w:eastAsia="zh-CN"/>
        </w:rPr>
        <w:t>系统（</w:t>
      </w:r>
      <w:r>
        <w:rPr>
          <w:rFonts w:ascii="TNR" w:eastAsia="FS" w:hAnsi="TNR" w:cs="TNR"/>
          <w:sz w:val="24"/>
          <w:szCs w:val="24"/>
          <w:lang w:eastAsia="zh-CN"/>
        </w:rPr>
        <w:t>FAIR, 2022</w:t>
      </w:r>
      <w:r>
        <w:rPr>
          <w:rFonts w:ascii="TNR" w:eastAsia="FS" w:hAnsi="TNR" w:cs="TNR"/>
          <w:sz w:val="24"/>
          <w:szCs w:val="24"/>
          <w:lang w:eastAsia="zh-CN"/>
        </w:rPr>
        <w:t>）在复杂七人博弈</w:t>
      </w:r>
      <w:r>
        <w:rPr>
          <w:rFonts w:ascii="TNR" w:eastAsia="FS" w:hAnsi="TNR" w:cs="TNR"/>
          <w:sz w:val="24"/>
          <w:szCs w:val="24"/>
          <w:lang w:eastAsia="zh-CN"/>
        </w:rPr>
        <w:t>Diplomacy</w:t>
      </w:r>
      <w:r>
        <w:rPr>
          <w:rFonts w:ascii="TNR" w:eastAsia="FS" w:hAnsi="TNR" w:cs="TNR"/>
          <w:sz w:val="24"/>
          <w:szCs w:val="24"/>
          <w:lang w:eastAsia="zh-CN"/>
        </w:rPr>
        <w:t>中展示了</w:t>
      </w:r>
      <w:r>
        <w:rPr>
          <w:rFonts w:ascii="TNR" w:eastAsia="FS" w:hAnsi="TNR" w:cs="TNR"/>
          <w:sz w:val="24"/>
          <w:szCs w:val="24"/>
          <w:lang w:eastAsia="zh-CN"/>
        </w:rPr>
        <w:t>LLM</w:t>
      </w:r>
      <w:r>
        <w:rPr>
          <w:rFonts w:ascii="TNR" w:eastAsia="FS" w:hAnsi="TNR" w:cs="TNR"/>
          <w:sz w:val="24"/>
          <w:szCs w:val="24"/>
          <w:lang w:eastAsia="zh-CN"/>
        </w:rPr>
        <w:t>在战略谈判、信息隐藏和多方协调方面的能力。</w:t>
      </w:r>
      <w:r>
        <w:rPr>
          <w:rFonts w:ascii="TNR" w:eastAsia="FS" w:hAnsi="TNR" w:cs="TNR"/>
          <w:sz w:val="24"/>
          <w:szCs w:val="24"/>
          <w:lang w:eastAsia="zh-CN"/>
        </w:rPr>
        <w:t>CICERO</w:t>
      </w:r>
      <w:r>
        <w:rPr>
          <w:rFonts w:ascii="TNR" w:eastAsia="FS" w:hAnsi="TNR" w:cs="TNR"/>
          <w:sz w:val="24"/>
          <w:szCs w:val="24"/>
          <w:lang w:eastAsia="zh-CN"/>
        </w:rPr>
        <w:t>的核心贡献在于证明了大语言模型可以通过策略推理和自然语言生成的结合，在复杂社会互动中达到接近人类水平的绩效。</w:t>
      </w:r>
    </w:p>
    <w:p w14:paraId="44FF5D37" w14:textId="77777777" w:rsidR="00142F43" w:rsidRDefault="00000000">
      <w:pPr>
        <w:rPr>
          <w:lang w:eastAsia="zh-CN"/>
        </w:rPr>
      </w:pPr>
      <w:r>
        <w:rPr>
          <w:rFonts w:ascii="TNR" w:eastAsia="FS" w:hAnsi="TNR" w:cs="TNR"/>
          <w:sz w:val="24"/>
          <w:szCs w:val="24"/>
          <w:lang w:eastAsia="zh-CN"/>
        </w:rPr>
        <w:t>HARBORCO</w:t>
      </w:r>
      <w:r>
        <w:rPr>
          <w:rFonts w:ascii="TNR" w:eastAsia="FS" w:hAnsi="TNR" w:cs="TNR"/>
          <w:sz w:val="24"/>
          <w:szCs w:val="24"/>
          <w:lang w:eastAsia="zh-CN"/>
        </w:rPr>
        <w:t>实验（</w:t>
      </w:r>
      <w:r>
        <w:rPr>
          <w:rFonts w:ascii="TNR" w:eastAsia="FS" w:hAnsi="TNR" w:cs="TNR"/>
          <w:sz w:val="24"/>
          <w:szCs w:val="24"/>
          <w:lang w:eastAsia="zh-CN"/>
        </w:rPr>
        <w:t>Chawla</w:t>
      </w:r>
      <w:r>
        <w:rPr>
          <w:rFonts w:ascii="TNR" w:eastAsia="FS" w:hAnsi="TNR" w:cs="TNR"/>
          <w:sz w:val="24"/>
          <w:szCs w:val="24"/>
          <w:lang w:eastAsia="zh-CN"/>
        </w:rPr>
        <w:t>等，</w:t>
      </w:r>
      <w:r>
        <w:rPr>
          <w:rFonts w:ascii="TNR" w:eastAsia="FS" w:hAnsi="TNR" w:cs="TNR"/>
          <w:sz w:val="24"/>
          <w:szCs w:val="24"/>
          <w:lang w:eastAsia="zh-CN"/>
        </w:rPr>
        <w:t>2025</w:t>
      </w:r>
      <w:r>
        <w:rPr>
          <w:rFonts w:ascii="TNR" w:eastAsia="FS" w:hAnsi="TNR" w:cs="TNR"/>
          <w:sz w:val="24"/>
          <w:szCs w:val="24"/>
          <w:lang w:eastAsia="zh-CN"/>
        </w:rPr>
        <w:t>，</w:t>
      </w:r>
      <w:r>
        <w:rPr>
          <w:rFonts w:ascii="TNR" w:eastAsia="FS" w:hAnsi="TNR" w:cs="TNR"/>
          <w:sz w:val="24"/>
          <w:szCs w:val="24"/>
          <w:lang w:eastAsia="zh-CN"/>
        </w:rPr>
        <w:t>ICWSM</w:t>
      </w:r>
      <w:r>
        <w:rPr>
          <w:rFonts w:ascii="TNR" w:eastAsia="FS" w:hAnsi="TNR" w:cs="TNR"/>
          <w:sz w:val="24"/>
          <w:szCs w:val="24"/>
          <w:lang w:eastAsia="zh-CN"/>
        </w:rPr>
        <w:t>）进一步揭示了合作指令对</w:t>
      </w:r>
      <w:r>
        <w:rPr>
          <w:rFonts w:ascii="TNR" w:eastAsia="FS" w:hAnsi="TNR" w:cs="TNR"/>
          <w:sz w:val="24"/>
          <w:szCs w:val="24"/>
          <w:lang w:eastAsia="zh-CN"/>
        </w:rPr>
        <w:t>LLM</w:t>
      </w:r>
      <w:r>
        <w:rPr>
          <w:rFonts w:ascii="TNR" w:eastAsia="FS" w:hAnsi="TNR" w:cs="TNR"/>
          <w:sz w:val="24"/>
          <w:szCs w:val="24"/>
          <w:lang w:eastAsia="zh-CN"/>
        </w:rPr>
        <w:t>谈判行为的显著影响：当去除提示词中的合作指引后，</w:t>
      </w:r>
      <w:r>
        <w:rPr>
          <w:rFonts w:ascii="TNR" w:eastAsia="FS" w:hAnsi="TNR" w:cs="TNR"/>
          <w:sz w:val="24"/>
          <w:szCs w:val="24"/>
          <w:lang w:eastAsia="zh-CN"/>
        </w:rPr>
        <w:t>LLM</w:t>
      </w:r>
      <w:r>
        <w:rPr>
          <w:rFonts w:ascii="TNR" w:eastAsia="FS" w:hAnsi="TNR" w:cs="TNR"/>
          <w:sz w:val="24"/>
          <w:szCs w:val="24"/>
          <w:lang w:eastAsia="zh-CN"/>
        </w:rPr>
        <w:t>达成协议的频率下降了</w:t>
      </w:r>
      <w:r>
        <w:rPr>
          <w:rFonts w:ascii="TNR" w:eastAsia="FS" w:hAnsi="TNR" w:cs="TNR"/>
          <w:sz w:val="24"/>
          <w:szCs w:val="24"/>
          <w:lang w:eastAsia="zh-CN"/>
        </w:rPr>
        <w:t>50%</w:t>
      </w:r>
      <w:r>
        <w:rPr>
          <w:rFonts w:ascii="TNR" w:eastAsia="FS" w:hAnsi="TNR" w:cs="TNR"/>
          <w:sz w:val="24"/>
          <w:szCs w:val="24"/>
          <w:lang w:eastAsia="zh-CN"/>
        </w:rPr>
        <w:t>至</w:t>
      </w:r>
      <w:r>
        <w:rPr>
          <w:rFonts w:ascii="TNR" w:eastAsia="FS" w:hAnsi="TNR" w:cs="TNR"/>
          <w:sz w:val="24"/>
          <w:szCs w:val="24"/>
          <w:lang w:eastAsia="zh-CN"/>
        </w:rPr>
        <w:t>90%</w:t>
      </w:r>
      <w:r>
        <w:rPr>
          <w:rFonts w:ascii="TNR" w:eastAsia="FS" w:hAnsi="TNR" w:cs="TNR"/>
          <w:sz w:val="24"/>
          <w:szCs w:val="24"/>
          <w:lang w:eastAsia="zh-CN"/>
        </w:rPr>
        <w:t>，甚至远低于人类谈判的基准水平。这一发现对模拟实验</w:t>
      </w:r>
      <w:r>
        <w:rPr>
          <w:rFonts w:ascii="TNR" w:eastAsia="FS" w:hAnsi="TNR" w:cs="TNR"/>
          <w:sz w:val="24"/>
          <w:szCs w:val="24"/>
          <w:lang w:eastAsia="zh-CN"/>
        </w:rPr>
        <w:lastRenderedPageBreak/>
        <w:t>的提示词设计具有直接指导意义</w:t>
      </w:r>
      <w:r>
        <w:rPr>
          <w:rFonts w:ascii="TNR" w:eastAsia="FS" w:hAnsi="TNR" w:cs="TNR"/>
          <w:sz w:val="24"/>
          <w:szCs w:val="24"/>
          <w:lang w:eastAsia="zh-CN"/>
        </w:rPr>
        <w:t>——</w:t>
      </w:r>
      <w:r>
        <w:rPr>
          <w:rFonts w:ascii="TNR" w:eastAsia="FS" w:hAnsi="TNR" w:cs="TNR"/>
          <w:sz w:val="24"/>
          <w:szCs w:val="24"/>
          <w:lang w:eastAsia="zh-CN"/>
        </w:rPr>
        <w:t>提示词的结构和内容直接影响智能体的行为模式和数据质量。</w:t>
      </w:r>
    </w:p>
    <w:p w14:paraId="13A7DEF3" w14:textId="77777777" w:rsidR="00142F43" w:rsidRDefault="00000000">
      <w:pPr>
        <w:rPr>
          <w:lang w:eastAsia="zh-CN"/>
        </w:rPr>
      </w:pPr>
      <w:r>
        <w:rPr>
          <w:rFonts w:ascii="TNR" w:eastAsia="FS" w:hAnsi="TNR" w:cs="TNR"/>
          <w:sz w:val="24"/>
          <w:szCs w:val="24"/>
          <w:lang w:eastAsia="zh-CN"/>
        </w:rPr>
        <w:t>Raman</w:t>
      </w:r>
      <w:r>
        <w:rPr>
          <w:rFonts w:ascii="TNR" w:eastAsia="FS" w:hAnsi="TNR" w:cs="TNR"/>
          <w:sz w:val="24"/>
          <w:szCs w:val="24"/>
          <w:lang w:eastAsia="zh-CN"/>
        </w:rPr>
        <w:t>等（</w:t>
      </w:r>
      <w:r>
        <w:rPr>
          <w:rFonts w:ascii="TNR" w:eastAsia="FS" w:hAnsi="TNR" w:cs="TNR"/>
          <w:sz w:val="24"/>
          <w:szCs w:val="24"/>
          <w:lang w:eastAsia="zh-CN"/>
        </w:rPr>
        <w:t>2025</w:t>
      </w:r>
      <w:r>
        <w:rPr>
          <w:rFonts w:ascii="TNR" w:eastAsia="FS" w:hAnsi="TNR" w:cs="TNR"/>
          <w:sz w:val="24"/>
          <w:szCs w:val="24"/>
          <w:lang w:eastAsia="zh-CN"/>
        </w:rPr>
        <w:t>）提出的</w:t>
      </w:r>
      <w:r>
        <w:rPr>
          <w:rFonts w:ascii="TNR" w:eastAsia="FS" w:hAnsi="TNR" w:cs="TNR"/>
          <w:sz w:val="24"/>
          <w:szCs w:val="24"/>
          <w:lang w:eastAsia="zh-CN"/>
        </w:rPr>
        <w:t>KODIS</w:t>
      </w:r>
      <w:r>
        <w:rPr>
          <w:rFonts w:ascii="TNR" w:eastAsia="FS" w:hAnsi="TNR" w:cs="TNR"/>
          <w:sz w:val="24"/>
          <w:szCs w:val="24"/>
          <w:lang w:eastAsia="zh-CN"/>
        </w:rPr>
        <w:t>框架（</w:t>
      </w:r>
      <w:r>
        <w:rPr>
          <w:rFonts w:ascii="TNR" w:eastAsia="FS" w:hAnsi="TNR" w:cs="TNR"/>
          <w:sz w:val="24"/>
          <w:szCs w:val="24"/>
          <w:lang w:eastAsia="zh-CN"/>
        </w:rPr>
        <w:t>EMNLP 2025</w:t>
      </w:r>
      <w:r>
        <w:rPr>
          <w:rFonts w:ascii="TNR" w:eastAsia="FS" w:hAnsi="TNR" w:cs="TNR"/>
          <w:sz w:val="24"/>
          <w:szCs w:val="24"/>
          <w:lang w:eastAsia="zh-CN"/>
        </w:rPr>
        <w:t>）为评估</w:t>
      </w:r>
      <w:r>
        <w:rPr>
          <w:rFonts w:ascii="TNR" w:eastAsia="FS" w:hAnsi="TNR" w:cs="TNR"/>
          <w:sz w:val="24"/>
          <w:szCs w:val="24"/>
          <w:lang w:eastAsia="zh-CN"/>
        </w:rPr>
        <w:t>LLM</w:t>
      </w:r>
      <w:r>
        <w:rPr>
          <w:rFonts w:ascii="TNR" w:eastAsia="FS" w:hAnsi="TNR" w:cs="TNR"/>
          <w:sz w:val="24"/>
          <w:szCs w:val="24"/>
          <w:lang w:eastAsia="zh-CN"/>
        </w:rPr>
        <w:t>在对抗性谈判中的行为对齐提供了系统化指标，包括愤怒轨迹曲线下面积（用于量化情绪动态）和基于利益</w:t>
      </w:r>
      <w:r>
        <w:rPr>
          <w:rFonts w:ascii="TNR" w:eastAsia="FS" w:hAnsi="TNR" w:cs="TNR"/>
          <w:sz w:val="24"/>
          <w:szCs w:val="24"/>
          <w:lang w:eastAsia="zh-CN"/>
        </w:rPr>
        <w:t>-</w:t>
      </w:r>
      <w:r>
        <w:rPr>
          <w:rFonts w:ascii="TNR" w:eastAsia="FS" w:hAnsi="TNR" w:cs="TNR"/>
          <w:sz w:val="24"/>
          <w:szCs w:val="24"/>
          <w:lang w:eastAsia="zh-CN"/>
        </w:rPr>
        <w:t>权利</w:t>
      </w:r>
      <w:r>
        <w:rPr>
          <w:rFonts w:ascii="TNR" w:eastAsia="FS" w:hAnsi="TNR" w:cs="TNR"/>
          <w:sz w:val="24"/>
          <w:szCs w:val="24"/>
          <w:lang w:eastAsia="zh-CN"/>
        </w:rPr>
        <w:t>-</w:t>
      </w:r>
      <w:r>
        <w:rPr>
          <w:rFonts w:ascii="TNR" w:eastAsia="FS" w:hAnsi="TNR" w:cs="TNR"/>
          <w:sz w:val="24"/>
          <w:szCs w:val="24"/>
          <w:lang w:eastAsia="zh-CN"/>
        </w:rPr>
        <w:t>权力（</w:t>
      </w:r>
      <w:r>
        <w:rPr>
          <w:rFonts w:ascii="TNR" w:eastAsia="FS" w:hAnsi="TNR" w:cs="TNR"/>
          <w:sz w:val="24"/>
          <w:szCs w:val="24"/>
          <w:lang w:eastAsia="zh-CN"/>
        </w:rPr>
        <w:t>IRP</w:t>
      </w:r>
      <w:r>
        <w:rPr>
          <w:rFonts w:ascii="TNR" w:eastAsia="FS" w:hAnsi="TNR" w:cs="TNR"/>
          <w:sz w:val="24"/>
          <w:szCs w:val="24"/>
          <w:lang w:eastAsia="zh-CN"/>
        </w:rPr>
        <w:t>）编码的策略行为差距分析。这些指标为本研究评估智能体谈判行为的真实性提供了方法论参考。</w:t>
      </w:r>
      <w:r>
        <w:rPr>
          <w:rFonts w:ascii="TNR" w:eastAsia="FS" w:hAnsi="TNR" w:cs="TNR"/>
          <w:sz w:val="24"/>
          <w:szCs w:val="24"/>
          <w:lang w:eastAsia="zh-CN"/>
        </w:rPr>
        <w:t>Zheng</w:t>
      </w:r>
      <w:r>
        <w:rPr>
          <w:rFonts w:ascii="TNR" w:eastAsia="FS" w:hAnsi="TNR" w:cs="TNR"/>
          <w:sz w:val="24"/>
          <w:szCs w:val="24"/>
          <w:lang w:eastAsia="zh-CN"/>
        </w:rPr>
        <w:t>等（</w:t>
      </w:r>
      <w:r>
        <w:rPr>
          <w:rFonts w:ascii="TNR" w:eastAsia="FS" w:hAnsi="TNR" w:cs="TNR"/>
          <w:sz w:val="24"/>
          <w:szCs w:val="24"/>
          <w:lang w:eastAsia="zh-CN"/>
        </w:rPr>
        <w:t>2025</w:t>
      </w:r>
      <w:r>
        <w:rPr>
          <w:rFonts w:ascii="TNR" w:eastAsia="FS" w:hAnsi="TNR" w:cs="TNR"/>
          <w:sz w:val="24"/>
          <w:szCs w:val="24"/>
          <w:lang w:eastAsia="zh-CN"/>
        </w:rPr>
        <w:t>）提出的辩论一致性框架则提供了量化</w:t>
      </w:r>
      <w:r>
        <w:rPr>
          <w:rFonts w:ascii="TNR" w:eastAsia="FS" w:hAnsi="TNR" w:cs="TNR"/>
          <w:sz w:val="24"/>
          <w:szCs w:val="24"/>
          <w:lang w:eastAsia="zh-CN"/>
        </w:rPr>
        <w:t>LLM</w:t>
      </w:r>
      <w:r>
        <w:rPr>
          <w:rFonts w:ascii="TNR" w:eastAsia="FS" w:hAnsi="TNR" w:cs="TNR"/>
          <w:sz w:val="24"/>
          <w:szCs w:val="24"/>
          <w:lang w:eastAsia="zh-CN"/>
        </w:rPr>
        <w:t>政治立场稳定性的方法，可用于验证弱方智能体在谈判中是否表现出非合理性的让步。</w:t>
      </w:r>
    </w:p>
    <w:p w14:paraId="2A20CD32" w14:textId="77777777" w:rsidR="00142F43" w:rsidRDefault="00000000">
      <w:pPr>
        <w:rPr>
          <w:lang w:eastAsia="zh-CN"/>
        </w:rPr>
      </w:pPr>
      <w:r>
        <w:rPr>
          <w:rFonts w:ascii="TNR" w:eastAsia="FS" w:hAnsi="TNR" w:cs="TNR"/>
          <w:sz w:val="24"/>
          <w:szCs w:val="24"/>
          <w:lang w:eastAsia="zh-CN"/>
        </w:rPr>
        <w:t>本研究从上述研究中吸取了三个核心结论：第一，提示词设计而非模型训练是控制</w:t>
      </w:r>
      <w:r>
        <w:rPr>
          <w:rFonts w:ascii="TNR" w:eastAsia="FS" w:hAnsi="TNR" w:cs="TNR"/>
          <w:sz w:val="24"/>
          <w:szCs w:val="24"/>
          <w:lang w:eastAsia="zh-CN"/>
        </w:rPr>
        <w:t>LLM</w:t>
      </w:r>
      <w:r>
        <w:rPr>
          <w:rFonts w:ascii="TNR" w:eastAsia="FS" w:hAnsi="TNR" w:cs="TNR"/>
          <w:sz w:val="24"/>
          <w:szCs w:val="24"/>
          <w:lang w:eastAsia="zh-CN"/>
        </w:rPr>
        <w:t>智能体行为的主要手段；第二，</w:t>
      </w:r>
      <w:r>
        <w:rPr>
          <w:rFonts w:ascii="TNR" w:eastAsia="FS" w:hAnsi="TNR" w:cs="TNR"/>
          <w:sz w:val="24"/>
          <w:szCs w:val="24"/>
          <w:lang w:eastAsia="zh-CN"/>
        </w:rPr>
        <w:t>LLM</w:t>
      </w:r>
      <w:r>
        <w:rPr>
          <w:rFonts w:ascii="TNR" w:eastAsia="FS" w:hAnsi="TNR" w:cs="TNR"/>
          <w:sz w:val="24"/>
          <w:szCs w:val="24"/>
          <w:lang w:eastAsia="zh-CN"/>
        </w:rPr>
        <w:t>在谈判模拟中可以表现出高度接近人类水平的策略行为；第三，存在成熟的量化指标体系可用于评估和校准</w:t>
      </w:r>
      <w:r>
        <w:rPr>
          <w:rFonts w:ascii="TNR" w:eastAsia="FS" w:hAnsi="TNR" w:cs="TNR"/>
          <w:sz w:val="24"/>
          <w:szCs w:val="24"/>
          <w:lang w:eastAsia="zh-CN"/>
        </w:rPr>
        <w:t>LLM</w:t>
      </w:r>
      <w:r>
        <w:rPr>
          <w:rFonts w:ascii="TNR" w:eastAsia="FS" w:hAnsi="TNR" w:cs="TNR"/>
          <w:sz w:val="24"/>
          <w:szCs w:val="24"/>
          <w:lang w:eastAsia="zh-CN"/>
        </w:rPr>
        <w:t>的谈判行为。</w:t>
      </w:r>
    </w:p>
    <w:p w14:paraId="476CC47D" w14:textId="77777777" w:rsidR="00142F43" w:rsidRDefault="00000000">
      <w:pPr>
        <w:rPr>
          <w:lang w:eastAsia="zh-CN"/>
        </w:rPr>
      </w:pPr>
      <w:r>
        <w:rPr>
          <w:rFonts w:ascii="TNR" w:eastAsia="KT" w:hAnsi="TNR" w:cs="TNR"/>
          <w:sz w:val="28"/>
          <w:szCs w:val="28"/>
          <w:lang w:eastAsia="zh-CN"/>
        </w:rPr>
        <w:t>（三）本研究的理论定位与方法论基础</w:t>
      </w:r>
    </w:p>
    <w:p w14:paraId="32BADAA2" w14:textId="77777777" w:rsidR="00142F43" w:rsidRDefault="00000000">
      <w:pPr>
        <w:rPr>
          <w:lang w:eastAsia="zh-CN"/>
        </w:rPr>
      </w:pPr>
      <w:r>
        <w:rPr>
          <w:rFonts w:ascii="TNR" w:eastAsia="FS" w:hAnsi="TNR" w:cs="TNR"/>
          <w:sz w:val="24"/>
          <w:szCs w:val="24"/>
          <w:lang w:eastAsia="zh-CN"/>
        </w:rPr>
        <w:t>本研究定位于计算社会科学范式下的理论检验研究。与纯博弈论模型相比，多智能体模拟能够捕捉谈判过程中的语言互动和动态策略调整；与单案例研究相比，可控的实验环境允许研究者系统性地操控关键变量并建立因果关系；与实证回归分析相比，模拟实验不受限于观测数据的稀缺性和内生性问题。</w:t>
      </w:r>
    </w:p>
    <w:p w14:paraId="45624FEB" w14:textId="77777777" w:rsidR="00142F43" w:rsidRDefault="00000000">
      <w:pPr>
        <w:rPr>
          <w:lang w:eastAsia="zh-CN"/>
        </w:rPr>
      </w:pPr>
      <w:r>
        <w:rPr>
          <w:rFonts w:ascii="TNR" w:eastAsia="FS" w:hAnsi="TNR" w:cs="TNR"/>
          <w:sz w:val="24"/>
          <w:szCs w:val="24"/>
          <w:lang w:eastAsia="zh-CN"/>
        </w:rPr>
        <w:t>本研究在既有</w:t>
      </w:r>
      <w:r>
        <w:rPr>
          <w:rFonts w:ascii="TNR" w:eastAsia="FS" w:hAnsi="TNR" w:cs="TNR"/>
          <w:sz w:val="24"/>
          <w:szCs w:val="24"/>
          <w:lang w:eastAsia="zh-CN"/>
        </w:rPr>
        <w:t>LLM</w:t>
      </w:r>
      <w:r>
        <w:rPr>
          <w:rFonts w:ascii="TNR" w:eastAsia="FS" w:hAnsi="TNR" w:cs="TNR"/>
          <w:sz w:val="24"/>
          <w:szCs w:val="24"/>
          <w:lang w:eastAsia="zh-CN"/>
        </w:rPr>
        <w:t>多智能体模拟研究的基础上在两个维度上有所推进。一是在校准维度上，以真实历史案例（戴维营协议）的参数而非纯理论假设作为实验校准依据，增强了模拟的外部效度基础。二是在质量控制维度上，引入独立的评估智能体对实验过程进行结构化监控和迭代优化，建立了实验质量管理的系统化流程。</w:t>
      </w:r>
    </w:p>
    <w:p w14:paraId="67A0C6C1" w14:textId="77777777" w:rsidR="00142F43" w:rsidRDefault="00000000">
      <w:pPr>
        <w:rPr>
          <w:lang w:eastAsia="zh-CN"/>
        </w:rPr>
      </w:pPr>
      <w:r>
        <w:rPr>
          <w:lang w:eastAsia="zh-CN"/>
        </w:rPr>
        <w:br w:type="page"/>
      </w:r>
    </w:p>
    <w:p w14:paraId="1DF5D8E5" w14:textId="77777777" w:rsidR="00142F43" w:rsidRDefault="00000000">
      <w:pPr>
        <w:jc w:val="center"/>
        <w:rPr>
          <w:lang w:eastAsia="zh-CN"/>
        </w:rPr>
      </w:pPr>
      <w:r>
        <w:rPr>
          <w:rFonts w:ascii="TNR" w:eastAsia="SH" w:hAnsi="TNR" w:cs="TNR"/>
          <w:b/>
          <w:sz w:val="32"/>
          <w:szCs w:val="32"/>
          <w:lang w:eastAsia="zh-CN"/>
        </w:rPr>
        <w:lastRenderedPageBreak/>
        <w:t>三、戴维营协议：案例分析与参数提取</w:t>
      </w:r>
    </w:p>
    <w:p w14:paraId="7B8E898D" w14:textId="77777777" w:rsidR="00142F43" w:rsidRDefault="00000000">
      <w:pPr>
        <w:rPr>
          <w:lang w:eastAsia="zh-CN"/>
        </w:rPr>
      </w:pPr>
      <w:r>
        <w:rPr>
          <w:rFonts w:ascii="TNR" w:eastAsia="KT" w:hAnsi="TNR" w:cs="TNR"/>
          <w:sz w:val="28"/>
          <w:szCs w:val="28"/>
          <w:lang w:eastAsia="zh-CN"/>
        </w:rPr>
        <w:t>（一）案例背景与结构要素</w:t>
      </w:r>
    </w:p>
    <w:p w14:paraId="263FE78D" w14:textId="77777777" w:rsidR="00142F43" w:rsidRDefault="00000000">
      <w:pPr>
        <w:rPr>
          <w:lang w:eastAsia="zh-CN"/>
        </w:rPr>
      </w:pPr>
      <w:r>
        <w:rPr>
          <w:rFonts w:ascii="TNR" w:eastAsia="FS" w:hAnsi="TNR" w:cs="TNR"/>
          <w:sz w:val="24"/>
          <w:szCs w:val="24"/>
          <w:lang w:eastAsia="zh-CN"/>
        </w:rPr>
        <w:t>戴维营协议（</w:t>
      </w:r>
      <w:r>
        <w:rPr>
          <w:rFonts w:ascii="TNR" w:eastAsia="FS" w:hAnsi="TNR" w:cs="TNR"/>
          <w:sz w:val="24"/>
          <w:szCs w:val="24"/>
          <w:lang w:eastAsia="zh-CN"/>
        </w:rPr>
        <w:t>Camp David Accords, 1978</w:t>
      </w:r>
      <w:r>
        <w:rPr>
          <w:rFonts w:ascii="TNR" w:eastAsia="FS" w:hAnsi="TNR" w:cs="TNR"/>
          <w:sz w:val="24"/>
          <w:szCs w:val="24"/>
          <w:lang w:eastAsia="zh-CN"/>
        </w:rPr>
        <w:t>）是国际调停史上文献最为完备的案例之一（</w:t>
      </w:r>
      <w:r>
        <w:rPr>
          <w:rFonts w:ascii="TNR" w:eastAsia="FS" w:hAnsi="TNR" w:cs="TNR"/>
          <w:sz w:val="24"/>
          <w:szCs w:val="24"/>
          <w:lang w:eastAsia="zh-CN"/>
        </w:rPr>
        <w:t>Quandt, 1986, 2005; Telhami, 1990; Stein, 1999</w:t>
      </w:r>
      <w:r>
        <w:rPr>
          <w:rFonts w:ascii="TNR" w:eastAsia="FS" w:hAnsi="TNR" w:cs="TNR"/>
          <w:sz w:val="24"/>
          <w:szCs w:val="24"/>
          <w:lang w:eastAsia="zh-CN"/>
        </w:rPr>
        <w:t>），为检验偏见调停理论提供了结构完整、参数可及的分析样本。从调停理论的视角审视，该案例包含以下五项结构要素。</w:t>
      </w:r>
    </w:p>
    <w:p w14:paraId="7CA2D37A" w14:textId="77777777" w:rsidR="00142F43" w:rsidRDefault="00000000">
      <w:pPr>
        <w:pStyle w:val="a0"/>
        <w:ind w:firstLine="480"/>
        <w:rPr>
          <w:lang w:eastAsia="zh-CN"/>
        </w:rPr>
      </w:pPr>
      <w:r>
        <w:rPr>
          <w:rFonts w:ascii="TNR" w:eastAsia="FS" w:hAnsi="TNR" w:cs="TNR"/>
          <w:sz w:val="24"/>
          <w:szCs w:val="24"/>
          <w:lang w:eastAsia="zh-CN"/>
        </w:rPr>
        <w:t>实力不对称度（</w:t>
      </w:r>
      <w:r>
        <w:rPr>
          <w:rFonts w:ascii="TNR" w:eastAsia="FS" w:hAnsi="TNR" w:cs="TNR"/>
          <w:sz w:val="24"/>
          <w:szCs w:val="24"/>
          <w:lang w:eastAsia="zh-CN"/>
        </w:rPr>
        <w:t>AR</w:t>
      </w:r>
      <w:r>
        <w:rPr>
          <w:rFonts w:ascii="TNR" w:eastAsia="FS" w:hAnsi="TNR" w:cs="TNR"/>
          <w:sz w:val="24"/>
          <w:szCs w:val="24"/>
          <w:lang w:eastAsia="zh-CN"/>
        </w:rPr>
        <w:t>）：以色列在军事领域对埃及具有显著优势，但埃及作为阿拉伯国家联盟的领袖，拥有不可忽视的政治和外交分量。综合</w:t>
      </w:r>
      <w:r>
        <w:rPr>
          <w:rFonts w:ascii="TNR" w:eastAsia="FS" w:hAnsi="TNR" w:cs="TNR"/>
          <w:sz w:val="24"/>
          <w:szCs w:val="24"/>
          <w:lang w:eastAsia="zh-CN"/>
        </w:rPr>
        <w:t>CINC</w:t>
      </w:r>
      <w:r>
        <w:rPr>
          <w:rFonts w:ascii="TNR" w:eastAsia="FS" w:hAnsi="TNR" w:cs="TNR"/>
          <w:sz w:val="24"/>
          <w:szCs w:val="24"/>
          <w:lang w:eastAsia="zh-CN"/>
        </w:rPr>
        <w:t>指数和外交影响力评估，双方综合实力比约为</w:t>
      </w:r>
      <w:r>
        <w:rPr>
          <w:rFonts w:ascii="TNR" w:eastAsia="FS" w:hAnsi="TNR" w:cs="TNR"/>
          <w:sz w:val="24"/>
          <w:szCs w:val="24"/>
          <w:lang w:eastAsia="zh-CN"/>
        </w:rPr>
        <w:t>2:1</w:t>
      </w:r>
      <w:r>
        <w:rPr>
          <w:rFonts w:ascii="TNR" w:eastAsia="FS" w:hAnsi="TNR" w:cs="TNR"/>
          <w:sz w:val="24"/>
          <w:szCs w:val="24"/>
          <w:lang w:eastAsia="zh-CN"/>
        </w:rPr>
        <w:t>，属于中等程度的不对称。这一参数位于高不对称（</w:t>
      </w:r>
      <w:r>
        <w:rPr>
          <w:rFonts w:ascii="TNR" w:eastAsia="FS" w:hAnsi="TNR" w:cs="TNR"/>
          <w:sz w:val="24"/>
          <w:szCs w:val="24"/>
          <w:lang w:eastAsia="zh-CN"/>
        </w:rPr>
        <w:t>3:1</w:t>
      </w:r>
      <w:r>
        <w:rPr>
          <w:rFonts w:ascii="TNR" w:eastAsia="FS" w:hAnsi="TNR" w:cs="TNR"/>
          <w:sz w:val="24"/>
          <w:szCs w:val="24"/>
          <w:lang w:eastAsia="zh-CN"/>
        </w:rPr>
        <w:t>）和低不对称（</w:t>
      </w:r>
      <w:r>
        <w:rPr>
          <w:rFonts w:ascii="TNR" w:eastAsia="FS" w:hAnsi="TNR" w:cs="TNR"/>
          <w:sz w:val="24"/>
          <w:szCs w:val="24"/>
          <w:lang w:eastAsia="zh-CN"/>
        </w:rPr>
        <w:t>1.5:1</w:t>
      </w:r>
      <w:r>
        <w:rPr>
          <w:rFonts w:ascii="TNR" w:eastAsia="FS" w:hAnsi="TNR" w:cs="TNR"/>
          <w:sz w:val="24"/>
          <w:szCs w:val="24"/>
          <w:lang w:eastAsia="zh-CN"/>
        </w:rPr>
        <w:t>）的中间区间。</w:t>
      </w:r>
    </w:p>
    <w:p w14:paraId="0D97E590" w14:textId="77777777" w:rsidR="00142F43" w:rsidRDefault="00000000">
      <w:pPr>
        <w:pStyle w:val="a0"/>
        <w:ind w:firstLine="480"/>
        <w:rPr>
          <w:lang w:eastAsia="zh-CN"/>
        </w:rPr>
      </w:pPr>
      <w:r>
        <w:rPr>
          <w:rFonts w:ascii="TNR" w:eastAsia="FS" w:hAnsi="TNR" w:cs="TNR"/>
          <w:sz w:val="24"/>
          <w:szCs w:val="24"/>
          <w:lang w:eastAsia="zh-CN"/>
        </w:rPr>
        <w:t>调停者偏见（</w:t>
      </w:r>
      <w:r>
        <w:rPr>
          <w:rFonts w:ascii="TNR" w:eastAsia="FS" w:hAnsi="TNR" w:cs="TNR"/>
          <w:sz w:val="24"/>
          <w:szCs w:val="24"/>
          <w:lang w:eastAsia="zh-CN"/>
        </w:rPr>
        <w:t>b</w:t>
      </w:r>
      <w:r>
        <w:rPr>
          <w:rFonts w:ascii="TNR" w:eastAsia="FS" w:hAnsi="TNR" w:cs="TNR"/>
          <w:sz w:val="24"/>
          <w:szCs w:val="24"/>
          <w:lang w:eastAsia="zh-CN"/>
        </w:rPr>
        <w:t>）：美国在历次中东战争中均明确支持以色列，卡特的亲以立场在谈判各方之间不存在争议。根据卡特政府公开政策文件和谈判记录分析，偏见参数估计在</w:t>
      </w:r>
      <w:r>
        <w:rPr>
          <w:rFonts w:ascii="TNR" w:eastAsia="FS" w:hAnsi="TNR" w:cs="TNR"/>
          <w:sz w:val="24"/>
          <w:szCs w:val="24"/>
          <w:lang w:eastAsia="zh-CN"/>
        </w:rPr>
        <w:t>b=+0.6</w:t>
      </w:r>
      <w:r>
        <w:rPr>
          <w:rFonts w:ascii="TNR" w:eastAsia="FS" w:hAnsi="TNR" w:cs="TNR"/>
          <w:sz w:val="24"/>
          <w:szCs w:val="24"/>
          <w:lang w:eastAsia="zh-CN"/>
        </w:rPr>
        <w:t>至</w:t>
      </w:r>
      <w:r>
        <w:rPr>
          <w:rFonts w:ascii="TNR" w:eastAsia="FS" w:hAnsi="TNR" w:cs="TNR"/>
          <w:sz w:val="24"/>
          <w:szCs w:val="24"/>
          <w:lang w:eastAsia="zh-CN"/>
        </w:rPr>
        <w:t>+0.8</w:t>
      </w:r>
      <w:r>
        <w:rPr>
          <w:rFonts w:ascii="TNR" w:eastAsia="FS" w:hAnsi="TNR" w:cs="TNR"/>
          <w:sz w:val="24"/>
          <w:szCs w:val="24"/>
          <w:lang w:eastAsia="zh-CN"/>
        </w:rPr>
        <w:t>的范围内。</w:t>
      </w:r>
    </w:p>
    <w:p w14:paraId="174E6AB4" w14:textId="77777777" w:rsidR="00142F43" w:rsidRDefault="00000000">
      <w:pPr>
        <w:pStyle w:val="a0"/>
        <w:ind w:firstLine="480"/>
        <w:rPr>
          <w:lang w:eastAsia="zh-CN"/>
        </w:rPr>
      </w:pPr>
      <w:r>
        <w:rPr>
          <w:rFonts w:ascii="TNR" w:eastAsia="FS" w:hAnsi="TNR" w:cs="TNR"/>
          <w:sz w:val="24"/>
          <w:szCs w:val="24"/>
          <w:lang w:eastAsia="zh-CN"/>
        </w:rPr>
        <w:t>附带支付的规模与结构：卡特政府向双方提供了大规模的附带支付。对以色列的承诺包括石油供应安全担保、替代性空军基地建设（约</w:t>
      </w:r>
      <w:r>
        <w:rPr>
          <w:rFonts w:ascii="TNR" w:eastAsia="FS" w:hAnsi="TNR" w:cs="TNR"/>
          <w:sz w:val="24"/>
          <w:szCs w:val="24"/>
          <w:lang w:eastAsia="zh-CN"/>
        </w:rPr>
        <w:t>30</w:t>
      </w:r>
      <w:r>
        <w:rPr>
          <w:rFonts w:ascii="TNR" w:eastAsia="FS" w:hAnsi="TNR" w:cs="TNR"/>
          <w:sz w:val="24"/>
          <w:szCs w:val="24"/>
          <w:lang w:eastAsia="zh-CN"/>
        </w:rPr>
        <w:t>亿美元）和长期军事援助；对埃及的承诺包括每年超过</w:t>
      </w:r>
      <w:r>
        <w:rPr>
          <w:rFonts w:ascii="TNR" w:eastAsia="FS" w:hAnsi="TNR" w:cs="TNR"/>
          <w:sz w:val="24"/>
          <w:szCs w:val="24"/>
          <w:lang w:eastAsia="zh-CN"/>
        </w:rPr>
        <w:t>20</w:t>
      </w:r>
      <w:r>
        <w:rPr>
          <w:rFonts w:ascii="TNR" w:eastAsia="FS" w:hAnsi="TNR" w:cs="TNR"/>
          <w:sz w:val="24"/>
          <w:szCs w:val="24"/>
          <w:lang w:eastAsia="zh-CN"/>
        </w:rPr>
        <w:t>亿美元的援助（累计至今超过</w:t>
      </w:r>
      <w:r>
        <w:rPr>
          <w:rFonts w:ascii="TNR" w:eastAsia="FS" w:hAnsi="TNR" w:cs="TNR"/>
          <w:sz w:val="24"/>
          <w:szCs w:val="24"/>
          <w:lang w:eastAsia="zh-CN"/>
        </w:rPr>
        <w:t>800</w:t>
      </w:r>
      <w:r>
        <w:rPr>
          <w:rFonts w:ascii="TNR" w:eastAsia="FS" w:hAnsi="TNR" w:cs="TNR"/>
          <w:sz w:val="24"/>
          <w:szCs w:val="24"/>
          <w:lang w:eastAsia="zh-CN"/>
        </w:rPr>
        <w:t>亿美元）。这些附带支付的总额约占当时美国</w:t>
      </w:r>
      <w:r>
        <w:rPr>
          <w:rFonts w:ascii="TNR" w:eastAsia="FS" w:hAnsi="TNR" w:cs="TNR"/>
          <w:sz w:val="24"/>
          <w:szCs w:val="24"/>
          <w:lang w:eastAsia="zh-CN"/>
        </w:rPr>
        <w:t>GDP</w:t>
      </w:r>
      <w:r>
        <w:rPr>
          <w:rFonts w:ascii="TNR" w:eastAsia="FS" w:hAnsi="TNR" w:cs="TNR"/>
          <w:sz w:val="24"/>
          <w:szCs w:val="24"/>
          <w:lang w:eastAsia="zh-CN"/>
        </w:rPr>
        <w:t>的</w:t>
      </w:r>
      <w:r>
        <w:rPr>
          <w:rFonts w:ascii="TNR" w:eastAsia="FS" w:hAnsi="TNR" w:cs="TNR"/>
          <w:sz w:val="24"/>
          <w:szCs w:val="24"/>
          <w:lang w:eastAsia="zh-CN"/>
        </w:rPr>
        <w:t>0.5%</w:t>
      </w:r>
      <w:r>
        <w:rPr>
          <w:rFonts w:ascii="TNR" w:eastAsia="FS" w:hAnsi="TNR" w:cs="TNR"/>
          <w:sz w:val="24"/>
          <w:szCs w:val="24"/>
          <w:lang w:eastAsia="zh-CN"/>
        </w:rPr>
        <w:t>，在谈判中发挥了打破僵局的关键作用。</w:t>
      </w:r>
    </w:p>
    <w:p w14:paraId="3660475E" w14:textId="77777777" w:rsidR="00142F43" w:rsidRDefault="00000000">
      <w:pPr>
        <w:pStyle w:val="a0"/>
        <w:ind w:firstLine="480"/>
        <w:rPr>
          <w:lang w:eastAsia="zh-CN"/>
        </w:rPr>
      </w:pPr>
      <w:r>
        <w:rPr>
          <w:rFonts w:ascii="TNR" w:eastAsia="FS" w:hAnsi="TNR" w:cs="TNR"/>
          <w:sz w:val="24"/>
          <w:szCs w:val="24"/>
          <w:lang w:eastAsia="zh-CN"/>
        </w:rPr>
        <w:t>协议条款的不对称性：西奈半岛归还埃及是以色列的重大让步，但协议同时附加了多项限制条件</w:t>
      </w:r>
      <w:r>
        <w:rPr>
          <w:rFonts w:ascii="TNR" w:eastAsia="FS" w:hAnsi="TNR" w:cs="TNR"/>
          <w:sz w:val="24"/>
          <w:szCs w:val="24"/>
          <w:lang w:eastAsia="zh-CN"/>
        </w:rPr>
        <w:t>——</w:t>
      </w:r>
      <w:r>
        <w:rPr>
          <w:rFonts w:ascii="TNR" w:eastAsia="FS" w:hAnsi="TNR" w:cs="TNR"/>
          <w:sz w:val="24"/>
          <w:szCs w:val="24"/>
          <w:lang w:eastAsia="zh-CN"/>
        </w:rPr>
        <w:t>埃及在西奈半岛的驻军上限、多国部队和国际观察员的部署、以色列船舶在苏伊士运河和苏伊士湾的自由通行权。这些条款使协议具有明显的强方权益保留特征。根据条款内容估算，协议的基尼系数在</w:t>
      </w:r>
      <w:r>
        <w:rPr>
          <w:rFonts w:ascii="TNR" w:eastAsia="FS" w:hAnsi="TNR" w:cs="TNR"/>
          <w:sz w:val="24"/>
          <w:szCs w:val="24"/>
          <w:lang w:eastAsia="zh-CN"/>
        </w:rPr>
        <w:t>0.55</w:t>
      </w:r>
      <w:r>
        <w:rPr>
          <w:rFonts w:ascii="TNR" w:eastAsia="FS" w:hAnsi="TNR" w:cs="TNR"/>
          <w:sz w:val="24"/>
          <w:szCs w:val="24"/>
          <w:lang w:eastAsia="zh-CN"/>
        </w:rPr>
        <w:t>至</w:t>
      </w:r>
      <w:r>
        <w:rPr>
          <w:rFonts w:ascii="TNR" w:eastAsia="FS" w:hAnsi="TNR" w:cs="TNR"/>
          <w:sz w:val="24"/>
          <w:szCs w:val="24"/>
          <w:lang w:eastAsia="zh-CN"/>
        </w:rPr>
        <w:t>0.65</w:t>
      </w:r>
      <w:r>
        <w:rPr>
          <w:rFonts w:ascii="TNR" w:eastAsia="FS" w:hAnsi="TNR" w:cs="TNR"/>
          <w:sz w:val="24"/>
          <w:szCs w:val="24"/>
          <w:lang w:eastAsia="zh-CN"/>
        </w:rPr>
        <w:t>之间。</w:t>
      </w:r>
    </w:p>
    <w:p w14:paraId="269EC208" w14:textId="77777777" w:rsidR="00142F43" w:rsidRDefault="00000000">
      <w:pPr>
        <w:pStyle w:val="a0"/>
        <w:ind w:firstLine="480"/>
      </w:pPr>
      <w:r>
        <w:rPr>
          <w:rFonts w:ascii="TNR" w:eastAsia="FS" w:hAnsi="TNR" w:cs="TNR"/>
          <w:sz w:val="24"/>
          <w:szCs w:val="24"/>
          <w:lang w:eastAsia="zh-CN"/>
        </w:rPr>
        <w:t>协议的脆弱性：和平条约在法律层面存续超过四十五年，但社会层面始终未能实现正常化。萨达特于</w:t>
      </w:r>
      <w:r>
        <w:rPr>
          <w:rFonts w:ascii="TNR" w:eastAsia="FS" w:hAnsi="TNR" w:cs="TNR"/>
          <w:sz w:val="24"/>
          <w:szCs w:val="24"/>
          <w:lang w:eastAsia="zh-CN"/>
        </w:rPr>
        <w:t>1981</w:t>
      </w:r>
      <w:r>
        <w:rPr>
          <w:rFonts w:ascii="TNR" w:eastAsia="FS" w:hAnsi="TNR" w:cs="TNR"/>
          <w:sz w:val="24"/>
          <w:szCs w:val="24"/>
          <w:lang w:eastAsia="zh-CN"/>
        </w:rPr>
        <w:t>年遭刺杀，刺杀者将条约视为叛国行为。</w:t>
      </w:r>
      <w:r>
        <w:rPr>
          <w:rFonts w:ascii="TNR" w:eastAsia="FS" w:hAnsi="TNR" w:cs="TNR"/>
          <w:sz w:val="24"/>
          <w:szCs w:val="24"/>
        </w:rPr>
        <w:t>学界普遍以</w:t>
      </w:r>
      <w:r>
        <w:rPr>
          <w:rFonts w:ascii="TNR" w:eastAsia="FS" w:hAnsi="TNR" w:cs="TNR"/>
          <w:sz w:val="24"/>
          <w:szCs w:val="24"/>
        </w:rPr>
        <w:t>"</w:t>
      </w:r>
      <w:r>
        <w:rPr>
          <w:rFonts w:ascii="TNR" w:eastAsia="FS" w:hAnsi="TNR" w:cs="TNR"/>
          <w:sz w:val="24"/>
          <w:szCs w:val="24"/>
        </w:rPr>
        <w:t>冷和平</w:t>
      </w:r>
      <w:r>
        <w:rPr>
          <w:rFonts w:ascii="TNR" w:eastAsia="FS" w:hAnsi="TNR" w:cs="TNR"/>
          <w:sz w:val="24"/>
          <w:szCs w:val="24"/>
        </w:rPr>
        <w:t>"</w:t>
      </w:r>
      <w:r>
        <w:rPr>
          <w:rFonts w:ascii="TNR" w:eastAsia="FS" w:hAnsi="TNR" w:cs="TNR"/>
          <w:sz w:val="24"/>
          <w:szCs w:val="24"/>
        </w:rPr>
        <w:t>描述这一状态。</w:t>
      </w:r>
    </w:p>
    <w:p w14:paraId="3386816D" w14:textId="77777777" w:rsidR="00142F43" w:rsidRDefault="00000000">
      <w:pPr>
        <w:rPr>
          <w:lang w:eastAsia="zh-CN"/>
        </w:rPr>
      </w:pPr>
      <w:r>
        <w:rPr>
          <w:rFonts w:ascii="TNR" w:eastAsia="KT" w:hAnsi="TNR" w:cs="TNR"/>
          <w:sz w:val="28"/>
          <w:szCs w:val="28"/>
          <w:lang w:eastAsia="zh-CN"/>
        </w:rPr>
        <w:t>（二）四项假设的经验映射</w:t>
      </w:r>
    </w:p>
    <w:p w14:paraId="4A20083E" w14:textId="77777777" w:rsidR="00142F43" w:rsidRDefault="00000000">
      <w:pPr>
        <w:rPr>
          <w:lang w:eastAsia="zh-CN"/>
        </w:rPr>
      </w:pPr>
      <w:r>
        <w:rPr>
          <w:rFonts w:ascii="TNR" w:eastAsia="FS" w:hAnsi="TNR" w:cs="TNR"/>
          <w:sz w:val="24"/>
          <w:szCs w:val="24"/>
          <w:lang w:eastAsia="zh-CN"/>
        </w:rPr>
        <w:t>戴维营案例为本研究的四项假设提供了来自真实世界的初步检验。</w:t>
      </w:r>
    </w:p>
    <w:p w14:paraId="49E8FD9A" w14:textId="77777777" w:rsidR="00142F43" w:rsidRDefault="00000000">
      <w:pPr>
        <w:rPr>
          <w:lang w:eastAsia="zh-CN"/>
        </w:rPr>
      </w:pPr>
      <w:r>
        <w:rPr>
          <w:rFonts w:ascii="TNR" w:eastAsia="FS" w:hAnsi="TNR" w:cs="TNR"/>
          <w:sz w:val="24"/>
          <w:szCs w:val="24"/>
          <w:lang w:eastAsia="zh-CN"/>
        </w:rPr>
        <w:lastRenderedPageBreak/>
        <w:t>假设</w:t>
      </w:r>
      <w:r>
        <w:rPr>
          <w:rFonts w:ascii="TNR" w:eastAsia="FS" w:hAnsi="TNR" w:cs="TNR"/>
          <w:sz w:val="24"/>
          <w:szCs w:val="24"/>
          <w:lang w:eastAsia="zh-CN"/>
        </w:rPr>
        <w:t>H1</w:t>
      </w:r>
      <w:r>
        <w:rPr>
          <w:rFonts w:ascii="TNR" w:eastAsia="FS" w:hAnsi="TNR" w:cs="TNR"/>
          <w:sz w:val="24"/>
          <w:szCs w:val="24"/>
          <w:lang w:eastAsia="zh-CN"/>
        </w:rPr>
        <w:t>的对应：卡特（</w:t>
      </w:r>
      <w:r>
        <w:rPr>
          <w:rFonts w:ascii="TNR" w:eastAsia="FS" w:hAnsi="TNR" w:cs="TNR"/>
          <w:sz w:val="24"/>
          <w:szCs w:val="24"/>
          <w:lang w:eastAsia="zh-CN"/>
        </w:rPr>
        <w:t>b≈+0.7</w:t>
      </w:r>
      <w:r>
        <w:rPr>
          <w:rFonts w:ascii="TNR" w:eastAsia="FS" w:hAnsi="TNR" w:cs="TNR"/>
          <w:sz w:val="24"/>
          <w:szCs w:val="24"/>
          <w:lang w:eastAsia="zh-CN"/>
        </w:rPr>
        <w:t>）以明确的亲以偏见立场，通过大规模的附带支付，促成了以色列从西奈半岛撤军</w:t>
      </w:r>
      <w:r>
        <w:rPr>
          <w:rFonts w:ascii="TNR" w:eastAsia="FS" w:hAnsi="TNR" w:cs="TNR"/>
          <w:sz w:val="24"/>
          <w:szCs w:val="24"/>
          <w:lang w:eastAsia="zh-CN"/>
        </w:rPr>
        <w:t>——</w:t>
      </w:r>
      <w:r>
        <w:rPr>
          <w:rFonts w:ascii="TNR" w:eastAsia="FS" w:hAnsi="TNR" w:cs="TNR"/>
          <w:sz w:val="24"/>
          <w:szCs w:val="24"/>
          <w:lang w:eastAsia="zh-CN"/>
        </w:rPr>
        <w:t>一项中立调停者多年来未能实现的结果。协议的成功达成与</w:t>
      </w:r>
      <w:r>
        <w:rPr>
          <w:rFonts w:ascii="TNR" w:eastAsia="FS" w:hAnsi="TNR" w:cs="TNR"/>
          <w:sz w:val="24"/>
          <w:szCs w:val="24"/>
          <w:lang w:eastAsia="zh-CN"/>
        </w:rPr>
        <w:t>H1</w:t>
      </w:r>
      <w:r>
        <w:rPr>
          <w:rFonts w:ascii="TNR" w:eastAsia="FS" w:hAnsi="TNR" w:cs="TNR"/>
          <w:sz w:val="24"/>
          <w:szCs w:val="24"/>
          <w:lang w:eastAsia="zh-CN"/>
        </w:rPr>
        <w:t>的理论预测方向一致。</w:t>
      </w:r>
    </w:p>
    <w:p w14:paraId="0A55D6F0"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H2</w:t>
      </w:r>
      <w:r>
        <w:rPr>
          <w:rFonts w:ascii="TNR" w:eastAsia="FS" w:hAnsi="TNR" w:cs="TNR"/>
          <w:sz w:val="24"/>
          <w:szCs w:val="24"/>
          <w:lang w:eastAsia="zh-CN"/>
        </w:rPr>
        <w:t>的对应：协议条款保留了以色列的安全特权，公平性有限。冷和平的存续状态和萨达特的遇刺表明，偏见调停所达成的协议在长期稳定性和社会接受度上面临系统性的挑战。</w:t>
      </w:r>
    </w:p>
    <w:p w14:paraId="1A236E6F"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H3</w:t>
      </w:r>
      <w:r>
        <w:rPr>
          <w:rFonts w:ascii="TNR" w:eastAsia="FS" w:hAnsi="TNR" w:cs="TNR"/>
          <w:sz w:val="24"/>
          <w:szCs w:val="24"/>
          <w:lang w:eastAsia="zh-CN"/>
        </w:rPr>
        <w:t>的对应：根据卡特政府的外交档案（</w:t>
      </w:r>
      <w:r>
        <w:rPr>
          <w:rFonts w:ascii="TNR" w:eastAsia="FS" w:hAnsi="TNR" w:cs="TNR"/>
          <w:sz w:val="24"/>
          <w:szCs w:val="24"/>
          <w:lang w:eastAsia="zh-CN"/>
        </w:rPr>
        <w:t>Quandt, 1986</w:t>
      </w:r>
      <w:r>
        <w:rPr>
          <w:rFonts w:ascii="TNR" w:eastAsia="FS" w:hAnsi="TNR" w:cs="TNR"/>
          <w:sz w:val="24"/>
          <w:szCs w:val="24"/>
          <w:lang w:eastAsia="zh-CN"/>
        </w:rPr>
        <w:t>），援助承诺是第十天谈判僵局中的直接突破因素。如果去除这一附带支付变量，协议的达成前景极为悲观。这一历史反事实推断为</w:t>
      </w:r>
      <w:r>
        <w:rPr>
          <w:rFonts w:ascii="TNR" w:eastAsia="FS" w:hAnsi="TNR" w:cs="TNR"/>
          <w:sz w:val="24"/>
          <w:szCs w:val="24"/>
          <w:lang w:eastAsia="zh-CN"/>
        </w:rPr>
        <w:t>H3</w:t>
      </w:r>
      <w:r>
        <w:rPr>
          <w:rFonts w:ascii="TNR" w:eastAsia="FS" w:hAnsi="TNR" w:cs="TNR"/>
          <w:sz w:val="24"/>
          <w:szCs w:val="24"/>
          <w:lang w:eastAsia="zh-CN"/>
        </w:rPr>
        <w:t>提供了直接的经验支持。</w:t>
      </w:r>
    </w:p>
    <w:p w14:paraId="5C506978"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H4</w:t>
      </w:r>
      <w:r>
        <w:rPr>
          <w:rFonts w:ascii="TNR" w:eastAsia="FS" w:hAnsi="TNR" w:cs="TNR"/>
          <w:sz w:val="24"/>
          <w:szCs w:val="24"/>
          <w:lang w:eastAsia="zh-CN"/>
        </w:rPr>
        <w:t>的对应：埃以之间约</w:t>
      </w:r>
      <w:r>
        <w:rPr>
          <w:rFonts w:ascii="TNR" w:eastAsia="FS" w:hAnsi="TNR" w:cs="TNR"/>
          <w:sz w:val="24"/>
          <w:szCs w:val="24"/>
          <w:lang w:eastAsia="zh-CN"/>
        </w:rPr>
        <w:t>2:1</w:t>
      </w:r>
      <w:r>
        <w:rPr>
          <w:rFonts w:ascii="TNR" w:eastAsia="FS" w:hAnsi="TNR" w:cs="TNR"/>
          <w:sz w:val="24"/>
          <w:szCs w:val="24"/>
          <w:lang w:eastAsia="zh-CN"/>
        </w:rPr>
        <w:t>的实力比恰好处于一个适中的不对称区间</w:t>
      </w:r>
      <w:r>
        <w:rPr>
          <w:rFonts w:ascii="TNR" w:eastAsia="FS" w:hAnsi="TNR" w:cs="TNR"/>
          <w:sz w:val="24"/>
          <w:szCs w:val="24"/>
          <w:lang w:eastAsia="zh-CN"/>
        </w:rPr>
        <w:t>——</w:t>
      </w:r>
      <w:r>
        <w:rPr>
          <w:rFonts w:ascii="TNR" w:eastAsia="FS" w:hAnsi="TNR" w:cs="TNR"/>
          <w:sz w:val="24"/>
          <w:szCs w:val="24"/>
          <w:lang w:eastAsia="zh-CN"/>
        </w:rPr>
        <w:t>埃及有足够的政治分量参与实质性谈判，但不足以凭自身力量实现领土诉求。这一边界条件为理解偏见调停有效性的适用区间提供了参考基准。</w:t>
      </w:r>
    </w:p>
    <w:p w14:paraId="13EB15EF" w14:textId="77777777" w:rsidR="00142F43" w:rsidRDefault="00000000">
      <w:pPr>
        <w:rPr>
          <w:lang w:eastAsia="zh-CN"/>
        </w:rPr>
      </w:pPr>
      <w:r>
        <w:rPr>
          <w:rFonts w:ascii="TNR" w:eastAsia="KT" w:hAnsi="TNR" w:cs="TNR"/>
          <w:sz w:val="28"/>
          <w:szCs w:val="28"/>
          <w:lang w:eastAsia="zh-CN"/>
        </w:rPr>
        <w:t>（三）实验参数的系统提取</w:t>
      </w:r>
    </w:p>
    <w:p w14:paraId="3CB53689" w14:textId="77777777" w:rsidR="00142F43" w:rsidRDefault="00000000">
      <w:pPr>
        <w:rPr>
          <w:lang w:eastAsia="zh-CN"/>
        </w:rPr>
      </w:pPr>
      <w:r>
        <w:rPr>
          <w:rFonts w:ascii="TNR" w:eastAsia="FS" w:hAnsi="TNR" w:cs="TNR"/>
          <w:sz w:val="24"/>
          <w:szCs w:val="24"/>
          <w:lang w:eastAsia="zh-CN"/>
        </w:rPr>
        <w:t>戴维营案例为本模拟实验提供了三个层面的参数校准线索。</w:t>
      </w:r>
    </w:p>
    <w:p w14:paraId="0EF9EEE7" w14:textId="77777777" w:rsidR="00142F43" w:rsidRDefault="00000000">
      <w:pPr>
        <w:pStyle w:val="a0"/>
        <w:ind w:firstLine="480"/>
        <w:rPr>
          <w:lang w:eastAsia="zh-CN"/>
        </w:rPr>
      </w:pPr>
      <w:r>
        <w:rPr>
          <w:rFonts w:ascii="TNR" w:eastAsia="FS" w:hAnsi="TNR" w:cs="TNR"/>
          <w:sz w:val="24"/>
          <w:szCs w:val="24"/>
          <w:lang w:eastAsia="zh-CN"/>
        </w:rPr>
        <w:t>基准参数组：将实力不对称比约</w:t>
      </w:r>
      <w:r>
        <w:rPr>
          <w:rFonts w:ascii="TNR" w:eastAsia="FS" w:hAnsi="TNR" w:cs="TNR"/>
          <w:sz w:val="24"/>
          <w:szCs w:val="24"/>
          <w:lang w:eastAsia="zh-CN"/>
        </w:rPr>
        <w:t>2:1</w:t>
      </w:r>
      <w:r>
        <w:rPr>
          <w:rFonts w:ascii="TNR" w:eastAsia="FS" w:hAnsi="TNR" w:cs="TNR"/>
          <w:sz w:val="24"/>
          <w:szCs w:val="24"/>
          <w:lang w:eastAsia="zh-CN"/>
        </w:rPr>
        <w:t>、调停者偏见</w:t>
      </w:r>
      <w:r>
        <w:rPr>
          <w:rFonts w:ascii="TNR" w:eastAsia="FS" w:hAnsi="TNR" w:cs="TNR"/>
          <w:sz w:val="24"/>
          <w:szCs w:val="24"/>
          <w:lang w:eastAsia="zh-CN"/>
        </w:rPr>
        <w:t>b≈+0.7</w:t>
      </w:r>
      <w:r>
        <w:rPr>
          <w:rFonts w:ascii="TNR" w:eastAsia="FS" w:hAnsi="TNR" w:cs="TNR"/>
          <w:sz w:val="24"/>
          <w:szCs w:val="24"/>
          <w:lang w:eastAsia="zh-CN"/>
        </w:rPr>
        <w:t>、附带支付额约占调停者</w:t>
      </w:r>
      <w:r>
        <w:rPr>
          <w:rFonts w:ascii="TNR" w:eastAsia="FS" w:hAnsi="TNR" w:cs="TNR"/>
          <w:sz w:val="24"/>
          <w:szCs w:val="24"/>
          <w:lang w:eastAsia="zh-CN"/>
        </w:rPr>
        <w:t>GDP</w:t>
      </w:r>
      <w:r>
        <w:rPr>
          <w:rFonts w:ascii="TNR" w:eastAsia="FS" w:hAnsi="TNR" w:cs="TNR"/>
          <w:sz w:val="24"/>
          <w:szCs w:val="24"/>
          <w:lang w:eastAsia="zh-CN"/>
        </w:rPr>
        <w:t>的</w:t>
      </w:r>
      <w:r>
        <w:rPr>
          <w:rFonts w:ascii="TNR" w:eastAsia="FS" w:hAnsi="TNR" w:cs="TNR"/>
          <w:sz w:val="24"/>
          <w:szCs w:val="24"/>
          <w:lang w:eastAsia="zh-CN"/>
        </w:rPr>
        <w:t>0.5%</w:t>
      </w:r>
      <w:r>
        <w:rPr>
          <w:rFonts w:ascii="TNR" w:eastAsia="FS" w:hAnsi="TNR" w:cs="TNR"/>
          <w:sz w:val="24"/>
          <w:szCs w:val="24"/>
          <w:lang w:eastAsia="zh-CN"/>
        </w:rPr>
        <w:t>设定为一组戴维营参照条件。该组参数在实验中构成一个独立的条件组，用于检验模拟结果与真实历史之间的吻合度。</w:t>
      </w:r>
    </w:p>
    <w:p w14:paraId="254ED22F" w14:textId="77777777" w:rsidR="00142F43" w:rsidRDefault="00000000">
      <w:pPr>
        <w:pStyle w:val="a0"/>
        <w:ind w:firstLine="480"/>
        <w:rPr>
          <w:lang w:eastAsia="zh-CN"/>
        </w:rPr>
      </w:pPr>
      <w:r>
        <w:rPr>
          <w:rFonts w:ascii="TNR" w:eastAsia="FS" w:hAnsi="TNR" w:cs="TNR"/>
          <w:sz w:val="24"/>
          <w:szCs w:val="24"/>
          <w:lang w:eastAsia="zh-CN"/>
        </w:rPr>
        <w:t>参数范围锚定：在全因子设计中，高不对称条件设定为强方资源为弱方的</w:t>
      </w:r>
      <w:r>
        <w:rPr>
          <w:rFonts w:ascii="TNR" w:eastAsia="FS" w:hAnsi="TNR" w:cs="TNR"/>
          <w:sz w:val="24"/>
          <w:szCs w:val="24"/>
          <w:lang w:eastAsia="zh-CN"/>
        </w:rPr>
        <w:t>3</w:t>
      </w:r>
      <w:r>
        <w:rPr>
          <w:rFonts w:ascii="TNR" w:eastAsia="FS" w:hAnsi="TNR" w:cs="TNR"/>
          <w:sz w:val="24"/>
          <w:szCs w:val="24"/>
          <w:lang w:eastAsia="zh-CN"/>
        </w:rPr>
        <w:t>倍，低不对称条件设定为</w:t>
      </w:r>
      <w:r>
        <w:rPr>
          <w:rFonts w:ascii="TNR" w:eastAsia="FS" w:hAnsi="TNR" w:cs="TNR"/>
          <w:sz w:val="24"/>
          <w:szCs w:val="24"/>
          <w:lang w:eastAsia="zh-CN"/>
        </w:rPr>
        <w:t>1.5</w:t>
      </w:r>
      <w:r>
        <w:rPr>
          <w:rFonts w:ascii="TNR" w:eastAsia="FS" w:hAnsi="TNR" w:cs="TNR"/>
          <w:sz w:val="24"/>
          <w:szCs w:val="24"/>
          <w:lang w:eastAsia="zh-CN"/>
        </w:rPr>
        <w:t>倍。戴维营的实际值（</w:t>
      </w:r>
      <w:r>
        <w:rPr>
          <w:rFonts w:ascii="TNR" w:eastAsia="FS" w:hAnsi="TNR" w:cs="TNR"/>
          <w:sz w:val="24"/>
          <w:szCs w:val="24"/>
          <w:lang w:eastAsia="zh-CN"/>
        </w:rPr>
        <w:t>2</w:t>
      </w:r>
      <w:r>
        <w:rPr>
          <w:rFonts w:ascii="TNR" w:eastAsia="FS" w:hAnsi="TNR" w:cs="TNR"/>
          <w:sz w:val="24"/>
          <w:szCs w:val="24"/>
          <w:lang w:eastAsia="zh-CN"/>
        </w:rPr>
        <w:t>倍）恰好位于两档之间，使实验参数覆盖了真实案例的取值区间，便于检验不对称度的调节效应（</w:t>
      </w:r>
      <w:r>
        <w:rPr>
          <w:rFonts w:ascii="TNR" w:eastAsia="FS" w:hAnsi="TNR" w:cs="TNR"/>
          <w:sz w:val="24"/>
          <w:szCs w:val="24"/>
          <w:lang w:eastAsia="zh-CN"/>
        </w:rPr>
        <w:t>H4</w:t>
      </w:r>
      <w:r>
        <w:rPr>
          <w:rFonts w:ascii="TNR" w:eastAsia="FS" w:hAnsi="TNR" w:cs="TNR"/>
          <w:sz w:val="24"/>
          <w:szCs w:val="24"/>
          <w:lang w:eastAsia="zh-CN"/>
        </w:rPr>
        <w:t>）。</w:t>
      </w:r>
    </w:p>
    <w:p w14:paraId="5BE22CBD" w14:textId="77777777" w:rsidR="00142F43" w:rsidRDefault="00000000">
      <w:pPr>
        <w:pStyle w:val="a0"/>
        <w:ind w:firstLine="480"/>
        <w:rPr>
          <w:lang w:eastAsia="zh-CN"/>
        </w:rPr>
      </w:pPr>
      <w:r>
        <w:rPr>
          <w:rFonts w:ascii="TNR" w:eastAsia="FS" w:hAnsi="TNR" w:cs="TNR"/>
          <w:sz w:val="24"/>
          <w:szCs w:val="24"/>
          <w:lang w:eastAsia="zh-CN"/>
        </w:rPr>
        <w:t>机制检验条件：基于戴维营的反事实推断，在检验</w:t>
      </w:r>
      <w:r>
        <w:rPr>
          <w:rFonts w:ascii="TNR" w:eastAsia="FS" w:hAnsi="TNR" w:cs="TNR"/>
          <w:sz w:val="24"/>
          <w:szCs w:val="24"/>
          <w:lang w:eastAsia="zh-CN"/>
        </w:rPr>
        <w:t>H3</w:t>
      </w:r>
      <w:r>
        <w:rPr>
          <w:rFonts w:ascii="TNR" w:eastAsia="FS" w:hAnsi="TNR" w:cs="TNR"/>
          <w:sz w:val="24"/>
          <w:szCs w:val="24"/>
          <w:lang w:eastAsia="zh-CN"/>
        </w:rPr>
        <w:t>时增设完全禁用附带支付的对照实验组。该条件下的预期协议率应显著低于基准条件</w:t>
      </w:r>
      <w:r>
        <w:rPr>
          <w:rFonts w:ascii="TNR" w:eastAsia="FS" w:hAnsi="TNR" w:cs="TNR"/>
          <w:sz w:val="24"/>
          <w:szCs w:val="24"/>
          <w:lang w:eastAsia="zh-CN"/>
        </w:rPr>
        <w:t>——</w:t>
      </w:r>
      <w:r>
        <w:rPr>
          <w:rFonts w:ascii="TNR" w:eastAsia="FS" w:hAnsi="TNR" w:cs="TNR"/>
          <w:sz w:val="24"/>
          <w:szCs w:val="24"/>
          <w:lang w:eastAsia="zh-CN"/>
        </w:rPr>
        <w:t>这一定性预测直接来自戴维营案例的历史反事实分析。</w:t>
      </w:r>
    </w:p>
    <w:p w14:paraId="0EDB3C6F" w14:textId="77777777" w:rsidR="00142F43" w:rsidRDefault="00000000">
      <w:pPr>
        <w:rPr>
          <w:lang w:eastAsia="zh-CN"/>
        </w:rPr>
      </w:pPr>
      <w:r>
        <w:rPr>
          <w:lang w:eastAsia="zh-CN"/>
        </w:rPr>
        <w:br w:type="page"/>
      </w:r>
    </w:p>
    <w:p w14:paraId="0BAA25C6" w14:textId="77777777" w:rsidR="00142F43" w:rsidRDefault="00000000">
      <w:pPr>
        <w:jc w:val="center"/>
        <w:rPr>
          <w:lang w:eastAsia="zh-CN"/>
        </w:rPr>
      </w:pPr>
      <w:r>
        <w:rPr>
          <w:rFonts w:ascii="TNR" w:eastAsia="SH" w:hAnsi="TNR" w:cs="TNR"/>
          <w:b/>
          <w:sz w:val="32"/>
          <w:szCs w:val="32"/>
          <w:lang w:eastAsia="zh-CN"/>
        </w:rPr>
        <w:lastRenderedPageBreak/>
        <w:t>四、实验设计与智能体架构</w:t>
      </w:r>
    </w:p>
    <w:p w14:paraId="1977E04B" w14:textId="77777777" w:rsidR="00142F43" w:rsidRDefault="00000000">
      <w:pPr>
        <w:rPr>
          <w:lang w:eastAsia="zh-CN"/>
        </w:rPr>
      </w:pPr>
      <w:r>
        <w:rPr>
          <w:rFonts w:ascii="TNR" w:eastAsia="KT" w:hAnsi="TNR" w:cs="TNR"/>
          <w:sz w:val="28"/>
          <w:szCs w:val="28"/>
          <w:lang w:eastAsia="zh-CN"/>
        </w:rPr>
        <w:t>（一）智能体类型与效用函数设计</w:t>
      </w:r>
    </w:p>
    <w:p w14:paraId="26E45C0A" w14:textId="77777777" w:rsidR="00142F43" w:rsidRDefault="00000000">
      <w:pPr>
        <w:rPr>
          <w:lang w:eastAsia="zh-CN"/>
        </w:rPr>
      </w:pPr>
      <w:r>
        <w:rPr>
          <w:rFonts w:ascii="TNR" w:eastAsia="FS" w:hAnsi="TNR" w:cs="TNR"/>
          <w:sz w:val="24"/>
          <w:szCs w:val="24"/>
          <w:lang w:eastAsia="zh-CN"/>
        </w:rPr>
        <w:t>系统构建了五类智能体实体，每类的角色特征、行为目标和效用结构通过系统提示词和结构化输出约束进行定义。</w:t>
      </w:r>
    </w:p>
    <w:p w14:paraId="21ABA75A" w14:textId="77777777" w:rsidR="00142F43" w:rsidRDefault="00000000">
      <w:pPr>
        <w:rPr>
          <w:lang w:eastAsia="zh-CN"/>
        </w:rPr>
      </w:pPr>
      <w:r>
        <w:rPr>
          <w:rFonts w:ascii="TNR" w:eastAsia="FS" w:hAnsi="TNR" w:cs="TNR"/>
          <w:sz w:val="24"/>
          <w:szCs w:val="24"/>
          <w:lang w:eastAsia="zh-CN"/>
        </w:rPr>
        <w:t>强方智能体（</w:t>
      </w:r>
      <w:r>
        <w:rPr>
          <w:rFonts w:ascii="TNR" w:eastAsia="FS" w:hAnsi="TNR" w:cs="TNR"/>
          <w:sz w:val="24"/>
          <w:szCs w:val="24"/>
          <w:lang w:eastAsia="zh-CN"/>
        </w:rPr>
        <w:t>Agent S</w:t>
      </w:r>
      <w:r>
        <w:rPr>
          <w:rFonts w:ascii="TNR" w:eastAsia="FS" w:hAnsi="TNR" w:cs="TNR"/>
          <w:sz w:val="24"/>
          <w:szCs w:val="24"/>
          <w:lang w:eastAsia="zh-CN"/>
        </w:rPr>
        <w:t>）的立场参照以色列的谈判特征进行设计。其利益函数以领土控制和安全缓冲为核心目标，附带支付作为系统外收益进入其效用函数，可以降低其在对价领土上的让步阈值。提示词中注入了对其国内鹰派政治压力的敏感性参数，模拟以色列内阁和民众对领土让步的政治约束。</w:t>
      </w:r>
    </w:p>
    <w:p w14:paraId="513FF89E" w14:textId="77777777" w:rsidR="00142F43" w:rsidRDefault="00000000">
      <w:pPr>
        <w:rPr>
          <w:lang w:eastAsia="zh-CN"/>
        </w:rPr>
      </w:pPr>
      <w:r>
        <w:rPr>
          <w:rFonts w:ascii="TNR" w:eastAsia="FS" w:hAnsi="TNR" w:cs="TNR"/>
          <w:sz w:val="24"/>
          <w:szCs w:val="24"/>
          <w:lang w:eastAsia="zh-CN"/>
        </w:rPr>
        <w:t>弱方智能体（</w:t>
      </w:r>
      <w:r>
        <w:rPr>
          <w:rFonts w:ascii="TNR" w:eastAsia="FS" w:hAnsi="TNR" w:cs="TNR"/>
          <w:sz w:val="24"/>
          <w:szCs w:val="24"/>
          <w:lang w:eastAsia="zh-CN"/>
        </w:rPr>
        <w:t>Agent W</w:t>
      </w:r>
      <w:r>
        <w:rPr>
          <w:rFonts w:ascii="TNR" w:eastAsia="FS" w:hAnsi="TNR" w:cs="TNR"/>
          <w:sz w:val="24"/>
          <w:szCs w:val="24"/>
          <w:lang w:eastAsia="zh-CN"/>
        </w:rPr>
        <w:t>）的立场参照埃及的谈判特征进行设计。其利益函数以领土收复、主权恢复和国际尊严为主要目标。权利话语在其谈判策略中占主导地位。提示词中设定了对不平等条款的高敏感性阈值</w:t>
      </w:r>
      <w:r>
        <w:rPr>
          <w:rFonts w:ascii="TNR" w:eastAsia="FS" w:hAnsi="TNR" w:cs="TNR"/>
          <w:sz w:val="24"/>
          <w:szCs w:val="24"/>
          <w:lang w:eastAsia="zh-CN"/>
        </w:rPr>
        <w:t>——</w:t>
      </w:r>
      <w:r>
        <w:rPr>
          <w:rFonts w:ascii="TNR" w:eastAsia="FS" w:hAnsi="TNR" w:cs="TNR"/>
          <w:sz w:val="24"/>
          <w:szCs w:val="24"/>
          <w:lang w:eastAsia="zh-CN"/>
        </w:rPr>
        <w:t>当协议条款的基尼系数超过</w:t>
      </w:r>
      <w:r>
        <w:rPr>
          <w:rFonts w:ascii="TNR" w:eastAsia="FS" w:hAnsi="TNR" w:cs="TNR"/>
          <w:sz w:val="24"/>
          <w:szCs w:val="24"/>
          <w:lang w:eastAsia="zh-CN"/>
        </w:rPr>
        <w:t>0.65</w:t>
      </w:r>
      <w:r>
        <w:rPr>
          <w:rFonts w:ascii="TNR" w:eastAsia="FS" w:hAnsi="TNR" w:cs="TNR"/>
          <w:sz w:val="24"/>
          <w:szCs w:val="24"/>
          <w:lang w:eastAsia="zh-CN"/>
        </w:rPr>
        <w:t>时，国内政治压力模块自动触发，增强其拒绝倾向。该参数参照萨达特签署条约后遭遇的政治后果进行校准。</w:t>
      </w:r>
    </w:p>
    <w:p w14:paraId="1E31A5D5" w14:textId="77777777" w:rsidR="00142F43" w:rsidRDefault="00000000">
      <w:pPr>
        <w:rPr>
          <w:lang w:eastAsia="zh-CN"/>
        </w:rPr>
      </w:pPr>
      <w:r>
        <w:rPr>
          <w:rFonts w:ascii="TNR" w:eastAsia="FS" w:hAnsi="TNR" w:cs="TNR"/>
          <w:sz w:val="24"/>
          <w:szCs w:val="24"/>
          <w:lang w:eastAsia="zh-CN"/>
        </w:rPr>
        <w:t>调停者智能体（</w:t>
      </w:r>
      <w:r>
        <w:rPr>
          <w:rFonts w:ascii="TNR" w:eastAsia="FS" w:hAnsi="TNR" w:cs="TNR"/>
          <w:sz w:val="24"/>
          <w:szCs w:val="24"/>
          <w:lang w:eastAsia="zh-CN"/>
        </w:rPr>
        <w:t>Agent M</w:t>
      </w:r>
      <w:r>
        <w:rPr>
          <w:rFonts w:ascii="TNR" w:eastAsia="FS" w:hAnsi="TNR" w:cs="TNR"/>
          <w:sz w:val="24"/>
          <w:szCs w:val="24"/>
          <w:lang w:eastAsia="zh-CN"/>
        </w:rPr>
        <w:t>）根据实验条件分为三种类型：亲强型（</w:t>
      </w:r>
      <w:r>
        <w:rPr>
          <w:rFonts w:ascii="TNR" w:eastAsia="FS" w:hAnsi="TNR" w:cs="TNR"/>
          <w:sz w:val="24"/>
          <w:szCs w:val="24"/>
          <w:lang w:eastAsia="zh-CN"/>
        </w:rPr>
        <w:t>b=+0.7</w:t>
      </w:r>
      <w:r>
        <w:rPr>
          <w:rFonts w:ascii="TNR" w:eastAsia="FS" w:hAnsi="TNR" w:cs="TNR"/>
          <w:sz w:val="24"/>
          <w:szCs w:val="24"/>
          <w:lang w:eastAsia="zh-CN"/>
        </w:rPr>
        <w:t>，参照卡特的调停模式）、中立型（</w:t>
      </w:r>
      <w:r>
        <w:rPr>
          <w:rFonts w:ascii="TNR" w:eastAsia="FS" w:hAnsi="TNR" w:cs="TNR"/>
          <w:sz w:val="24"/>
          <w:szCs w:val="24"/>
          <w:lang w:eastAsia="zh-CN"/>
        </w:rPr>
        <w:t>b=0.0</w:t>
      </w:r>
      <w:r>
        <w:rPr>
          <w:rFonts w:ascii="TNR" w:eastAsia="FS" w:hAnsi="TNR" w:cs="TNR"/>
          <w:sz w:val="24"/>
          <w:szCs w:val="24"/>
          <w:lang w:eastAsia="zh-CN"/>
        </w:rPr>
        <w:t>，参照严格学术定义的中立调停者）和亲弱型（</w:t>
      </w:r>
      <w:r>
        <w:rPr>
          <w:rFonts w:ascii="TNR" w:eastAsia="FS" w:hAnsi="TNR" w:cs="TNR"/>
          <w:sz w:val="24"/>
          <w:szCs w:val="24"/>
          <w:lang w:eastAsia="zh-CN"/>
        </w:rPr>
        <w:t>b=-0.7</w:t>
      </w:r>
      <w:r>
        <w:rPr>
          <w:rFonts w:ascii="TNR" w:eastAsia="FS" w:hAnsi="TNR" w:cs="TNR"/>
          <w:sz w:val="24"/>
          <w:szCs w:val="24"/>
          <w:lang w:eastAsia="zh-CN"/>
        </w:rPr>
        <w:t>）。调停者的提案策略受其偏见方向和可用资源集的共同约束。附带支付能力仅配置于亲强型调停者，其资源上限参照美国对戴维营的投入比例设定。附带支付的决策逻辑遵循三层评估框架：必要性强方当前效用是否低于其保留效用阈值、效用</w:t>
      </w:r>
      <w:r>
        <w:rPr>
          <w:rFonts w:ascii="TNR" w:eastAsia="FS" w:hAnsi="TNR" w:cs="TNR"/>
          <w:sz w:val="24"/>
          <w:szCs w:val="24"/>
          <w:lang w:eastAsia="zh-CN"/>
        </w:rPr>
        <w:t>——</w:t>
      </w:r>
      <w:r>
        <w:rPr>
          <w:rFonts w:ascii="TNR" w:eastAsia="FS" w:hAnsi="TNR" w:cs="TNR"/>
          <w:sz w:val="24"/>
          <w:szCs w:val="24"/>
          <w:lang w:eastAsia="zh-CN"/>
        </w:rPr>
        <w:t>附带支付能在多大程度上弥合效用缺口、可负担性</w:t>
      </w:r>
      <w:r>
        <w:rPr>
          <w:rFonts w:ascii="TNR" w:eastAsia="FS" w:hAnsi="TNR" w:cs="TNR"/>
          <w:sz w:val="24"/>
          <w:szCs w:val="24"/>
          <w:lang w:eastAsia="zh-CN"/>
        </w:rPr>
        <w:t>——</w:t>
      </w:r>
      <w:r>
        <w:rPr>
          <w:rFonts w:ascii="TNR" w:eastAsia="FS" w:hAnsi="TNR" w:cs="TNR"/>
          <w:sz w:val="24"/>
          <w:szCs w:val="24"/>
          <w:lang w:eastAsia="zh-CN"/>
        </w:rPr>
        <w:t>所需支付是否在调停者的资源预算范围内。</w:t>
      </w:r>
    </w:p>
    <w:p w14:paraId="71B3AD73" w14:textId="77777777" w:rsidR="00142F43" w:rsidRDefault="00000000">
      <w:pPr>
        <w:rPr>
          <w:lang w:eastAsia="zh-CN"/>
        </w:rPr>
      </w:pPr>
      <w:r>
        <w:rPr>
          <w:rFonts w:ascii="TNR" w:eastAsia="FS" w:hAnsi="TNR" w:cs="TNR"/>
          <w:sz w:val="24"/>
          <w:szCs w:val="24"/>
          <w:lang w:eastAsia="zh-CN"/>
        </w:rPr>
        <w:t>国内观众智能体（</w:t>
      </w:r>
      <w:r>
        <w:rPr>
          <w:rFonts w:ascii="TNR" w:eastAsia="FS" w:hAnsi="TNR" w:cs="TNR"/>
          <w:sz w:val="24"/>
          <w:szCs w:val="24"/>
          <w:lang w:eastAsia="zh-CN"/>
        </w:rPr>
        <w:t>Agent D</w:t>
      </w:r>
      <w:r>
        <w:rPr>
          <w:rFonts w:ascii="TNR" w:eastAsia="FS" w:hAnsi="TNR" w:cs="TNR"/>
          <w:sz w:val="24"/>
          <w:szCs w:val="24"/>
          <w:lang w:eastAsia="zh-CN"/>
        </w:rPr>
        <w:t>）在每轮谈判后对当前协议草案进行政治可接受性评估，输出量化的政治压力信号。强方观众对领土让步的敏感度高于对经济利益的敏感度；弱方观众对公平性损失高度敏感，当协议的不对称程度超出阈值时，将显著增强弱方的不妥协倾向。</w:t>
      </w:r>
    </w:p>
    <w:p w14:paraId="15120326" w14:textId="77777777" w:rsidR="00142F43" w:rsidRDefault="00000000">
      <w:pPr>
        <w:rPr>
          <w:lang w:eastAsia="zh-CN"/>
        </w:rPr>
      </w:pPr>
      <w:r>
        <w:rPr>
          <w:rFonts w:ascii="TNR" w:eastAsia="FS" w:hAnsi="TNR" w:cs="TNR"/>
          <w:sz w:val="24"/>
          <w:szCs w:val="24"/>
          <w:lang w:eastAsia="zh-CN"/>
        </w:rPr>
        <w:t>评估智能体（</w:t>
      </w:r>
      <w:r>
        <w:rPr>
          <w:rFonts w:ascii="TNR" w:eastAsia="FS" w:hAnsi="TNR" w:cs="TNR"/>
          <w:sz w:val="24"/>
          <w:szCs w:val="24"/>
          <w:lang w:eastAsia="zh-CN"/>
        </w:rPr>
        <w:t>Agent E</w:t>
      </w:r>
      <w:r>
        <w:rPr>
          <w:rFonts w:ascii="TNR" w:eastAsia="FS" w:hAnsi="TNR" w:cs="TNR"/>
          <w:sz w:val="24"/>
          <w:szCs w:val="24"/>
          <w:lang w:eastAsia="zh-CN"/>
        </w:rPr>
        <w:t>）不参与谈判进程，其功能设计详见第五章。</w:t>
      </w:r>
    </w:p>
    <w:p w14:paraId="6F0F91B5" w14:textId="77777777" w:rsidR="00142F43" w:rsidRDefault="00000000">
      <w:pPr>
        <w:rPr>
          <w:lang w:eastAsia="zh-CN"/>
        </w:rPr>
      </w:pPr>
      <w:r>
        <w:rPr>
          <w:rFonts w:ascii="TNR" w:eastAsia="KT" w:hAnsi="TNR" w:cs="TNR"/>
          <w:sz w:val="28"/>
          <w:szCs w:val="28"/>
          <w:lang w:eastAsia="zh-CN"/>
        </w:rPr>
        <w:t>（二）实验条件与变量操作化</w:t>
      </w:r>
    </w:p>
    <w:p w14:paraId="4355C2D7" w14:textId="77777777" w:rsidR="00142F43" w:rsidRDefault="00000000">
      <w:pPr>
        <w:rPr>
          <w:lang w:eastAsia="zh-CN"/>
        </w:rPr>
      </w:pPr>
      <w:r>
        <w:rPr>
          <w:rFonts w:ascii="TNR" w:eastAsia="FS" w:hAnsi="TNR" w:cs="TNR"/>
          <w:sz w:val="24"/>
          <w:szCs w:val="24"/>
          <w:lang w:eastAsia="zh-CN"/>
        </w:rPr>
        <w:t>本研究采用</w:t>
      </w:r>
      <w:r>
        <w:rPr>
          <w:rFonts w:ascii="TNR" w:eastAsia="FS" w:hAnsi="TNR" w:cs="TNR"/>
          <w:sz w:val="24"/>
          <w:szCs w:val="24"/>
          <w:lang w:eastAsia="zh-CN"/>
        </w:rPr>
        <w:t>2×3</w:t>
      </w:r>
      <w:r>
        <w:rPr>
          <w:rFonts w:ascii="TNR" w:eastAsia="FS" w:hAnsi="TNR" w:cs="TNR"/>
          <w:sz w:val="24"/>
          <w:szCs w:val="24"/>
          <w:lang w:eastAsia="zh-CN"/>
        </w:rPr>
        <w:t>全因子组间设计</w:t>
      </w:r>
      <w:r>
        <w:rPr>
          <w:rFonts w:ascii="TNR" w:eastAsia="FS" w:hAnsi="TNR" w:cs="TNR"/>
          <w:sz w:val="24"/>
          <w:szCs w:val="24"/>
          <w:lang w:eastAsia="zh-CN"/>
        </w:rPr>
        <w:t>——</w:t>
      </w:r>
      <w:r>
        <w:rPr>
          <w:rFonts w:ascii="TNR" w:eastAsia="FS" w:hAnsi="TNR" w:cs="TNR"/>
          <w:sz w:val="24"/>
          <w:szCs w:val="24"/>
          <w:lang w:eastAsia="zh-CN"/>
        </w:rPr>
        <w:t>两个自变量分别为实力不对称度（高：强方资源为弱方的</w:t>
      </w:r>
      <w:r>
        <w:rPr>
          <w:rFonts w:ascii="TNR" w:eastAsia="FS" w:hAnsi="TNR" w:cs="TNR"/>
          <w:sz w:val="24"/>
          <w:szCs w:val="24"/>
          <w:lang w:eastAsia="zh-CN"/>
        </w:rPr>
        <w:t>3</w:t>
      </w:r>
      <w:r>
        <w:rPr>
          <w:rFonts w:ascii="TNR" w:eastAsia="FS" w:hAnsi="TNR" w:cs="TNR"/>
          <w:sz w:val="24"/>
          <w:szCs w:val="24"/>
          <w:lang w:eastAsia="zh-CN"/>
        </w:rPr>
        <w:t>倍；低：</w:t>
      </w:r>
      <w:r>
        <w:rPr>
          <w:rFonts w:ascii="TNR" w:eastAsia="FS" w:hAnsi="TNR" w:cs="TNR"/>
          <w:sz w:val="24"/>
          <w:szCs w:val="24"/>
          <w:lang w:eastAsia="zh-CN"/>
        </w:rPr>
        <w:t>1.5</w:t>
      </w:r>
      <w:r>
        <w:rPr>
          <w:rFonts w:ascii="TNR" w:eastAsia="FS" w:hAnsi="TNR" w:cs="TNR"/>
          <w:sz w:val="24"/>
          <w:szCs w:val="24"/>
          <w:lang w:eastAsia="zh-CN"/>
        </w:rPr>
        <w:t>倍）和调停者类型（亲强：</w:t>
      </w:r>
      <w:r>
        <w:rPr>
          <w:rFonts w:ascii="TNR" w:eastAsia="FS" w:hAnsi="TNR" w:cs="TNR"/>
          <w:sz w:val="24"/>
          <w:szCs w:val="24"/>
          <w:lang w:eastAsia="zh-CN"/>
        </w:rPr>
        <w:t>b=+0.7</w:t>
      </w:r>
      <w:r>
        <w:rPr>
          <w:rFonts w:ascii="TNR" w:eastAsia="FS" w:hAnsi="TNR" w:cs="TNR"/>
          <w:sz w:val="24"/>
          <w:szCs w:val="24"/>
          <w:lang w:eastAsia="zh-CN"/>
        </w:rPr>
        <w:t>；中立：</w:t>
      </w:r>
      <w:r>
        <w:rPr>
          <w:rFonts w:ascii="TNR" w:eastAsia="FS" w:hAnsi="TNR" w:cs="TNR"/>
          <w:sz w:val="24"/>
          <w:szCs w:val="24"/>
          <w:lang w:eastAsia="zh-CN"/>
        </w:rPr>
        <w:lastRenderedPageBreak/>
        <w:t>b=0.0</w:t>
      </w:r>
      <w:r>
        <w:rPr>
          <w:rFonts w:ascii="TNR" w:eastAsia="FS" w:hAnsi="TNR" w:cs="TNR"/>
          <w:sz w:val="24"/>
          <w:szCs w:val="24"/>
          <w:lang w:eastAsia="zh-CN"/>
        </w:rPr>
        <w:t>；亲弱：</w:t>
      </w:r>
      <w:r>
        <w:rPr>
          <w:rFonts w:ascii="TNR" w:eastAsia="FS" w:hAnsi="TNR" w:cs="TNR"/>
          <w:sz w:val="24"/>
          <w:szCs w:val="24"/>
          <w:lang w:eastAsia="zh-CN"/>
        </w:rPr>
        <w:t>b=-0.7</w:t>
      </w:r>
      <w:r>
        <w:rPr>
          <w:rFonts w:ascii="TNR" w:eastAsia="FS" w:hAnsi="TNR" w:cs="TNR"/>
          <w:sz w:val="24"/>
          <w:szCs w:val="24"/>
          <w:lang w:eastAsia="zh-CN"/>
        </w:rPr>
        <w:t>）。另设一组戴维营参照条件（</w:t>
      </w:r>
      <w:r>
        <w:rPr>
          <w:rFonts w:ascii="TNR" w:eastAsia="FS" w:hAnsi="TNR" w:cs="TNR"/>
          <w:sz w:val="24"/>
          <w:szCs w:val="24"/>
          <w:lang w:eastAsia="zh-CN"/>
        </w:rPr>
        <w:t>AR≈2:1</w:t>
      </w:r>
      <w:r>
        <w:rPr>
          <w:rFonts w:ascii="TNR" w:eastAsia="FS" w:hAnsi="TNR" w:cs="TNR"/>
          <w:sz w:val="24"/>
          <w:szCs w:val="24"/>
          <w:lang w:eastAsia="zh-CN"/>
        </w:rPr>
        <w:t>，</w:t>
      </w:r>
      <w:r>
        <w:rPr>
          <w:rFonts w:ascii="TNR" w:eastAsia="FS" w:hAnsi="TNR" w:cs="TNR"/>
          <w:sz w:val="24"/>
          <w:szCs w:val="24"/>
          <w:lang w:eastAsia="zh-CN"/>
        </w:rPr>
        <w:t>b≈+0.7</w:t>
      </w:r>
      <w:r>
        <w:rPr>
          <w:rFonts w:ascii="TNR" w:eastAsia="FS" w:hAnsi="TNR" w:cs="TNR"/>
          <w:sz w:val="24"/>
          <w:szCs w:val="24"/>
          <w:lang w:eastAsia="zh-CN"/>
        </w:rPr>
        <w:t>），共计</w:t>
      </w:r>
      <w:r>
        <w:rPr>
          <w:rFonts w:ascii="TNR" w:eastAsia="FS" w:hAnsi="TNR" w:cs="TNR"/>
          <w:sz w:val="24"/>
          <w:szCs w:val="24"/>
          <w:lang w:eastAsia="zh-CN"/>
        </w:rPr>
        <w:t>7</w:t>
      </w:r>
      <w:r>
        <w:rPr>
          <w:rFonts w:ascii="TNR" w:eastAsia="FS" w:hAnsi="TNR" w:cs="TNR"/>
          <w:sz w:val="24"/>
          <w:szCs w:val="24"/>
          <w:lang w:eastAsia="zh-CN"/>
        </w:rPr>
        <w:t>个实验条件组。</w:t>
      </w:r>
    </w:p>
    <w:p w14:paraId="4C209622" w14:textId="77777777" w:rsidR="00142F43" w:rsidRDefault="00000000">
      <w:pPr>
        <w:rPr>
          <w:lang w:eastAsia="zh-CN"/>
        </w:rPr>
      </w:pPr>
      <w:r>
        <w:rPr>
          <w:rFonts w:ascii="TNR" w:eastAsia="FS" w:hAnsi="TNR" w:cs="TNR"/>
          <w:sz w:val="24"/>
          <w:szCs w:val="24"/>
          <w:lang w:eastAsia="zh-CN"/>
        </w:rPr>
        <w:t>因变量的操作化定义如下。协议达成为二元变量</w:t>
      </w:r>
      <w:r>
        <w:rPr>
          <w:rFonts w:ascii="TNR" w:eastAsia="FS" w:hAnsi="TNR" w:cs="TNR"/>
          <w:sz w:val="24"/>
          <w:szCs w:val="24"/>
          <w:lang w:eastAsia="zh-CN"/>
        </w:rPr>
        <w:t>——</w:t>
      </w:r>
      <w:r>
        <w:rPr>
          <w:rFonts w:ascii="TNR" w:eastAsia="FS" w:hAnsi="TNR" w:cs="TNR"/>
          <w:sz w:val="24"/>
          <w:szCs w:val="24"/>
          <w:lang w:eastAsia="zh-CN"/>
        </w:rPr>
        <w:t>在最多</w:t>
      </w:r>
      <w:r>
        <w:rPr>
          <w:rFonts w:ascii="TNR" w:eastAsia="FS" w:hAnsi="TNR" w:cs="TNR"/>
          <w:sz w:val="24"/>
          <w:szCs w:val="24"/>
          <w:lang w:eastAsia="zh-CN"/>
        </w:rPr>
        <w:t>10</w:t>
      </w:r>
      <w:r>
        <w:rPr>
          <w:rFonts w:ascii="TNR" w:eastAsia="FS" w:hAnsi="TNR" w:cs="TNR"/>
          <w:sz w:val="24"/>
          <w:szCs w:val="24"/>
          <w:lang w:eastAsia="zh-CN"/>
        </w:rPr>
        <w:t>轮谈判内，双方是否签署了结构化的资源分配协议。协议质量通过协议条款的基尼系数量化</w:t>
      </w:r>
      <w:r>
        <w:rPr>
          <w:rFonts w:ascii="TNR" w:eastAsia="FS" w:hAnsi="TNR" w:cs="TNR"/>
          <w:sz w:val="24"/>
          <w:szCs w:val="24"/>
          <w:lang w:eastAsia="zh-CN"/>
        </w:rPr>
        <w:t>——</w:t>
      </w:r>
      <w:r>
        <w:rPr>
          <w:rFonts w:ascii="TNR" w:eastAsia="FS" w:hAnsi="TNR" w:cs="TNR"/>
          <w:sz w:val="24"/>
          <w:szCs w:val="24"/>
          <w:lang w:eastAsia="zh-CN"/>
        </w:rPr>
        <w:t>涵盖领土划分、资源分配和安全条款等维度。协议持久性通过协议生效后至任意一方首次违约所经历的模拟轮次衡量</w:t>
      </w:r>
      <w:r>
        <w:rPr>
          <w:rFonts w:ascii="TNR" w:eastAsia="FS" w:hAnsi="TNR" w:cs="TNR"/>
          <w:sz w:val="24"/>
          <w:szCs w:val="24"/>
          <w:lang w:eastAsia="zh-CN"/>
        </w:rPr>
        <w:t>——</w:t>
      </w:r>
      <w:r>
        <w:rPr>
          <w:rFonts w:ascii="TNR" w:eastAsia="FS" w:hAnsi="TNR" w:cs="TNR"/>
          <w:sz w:val="24"/>
          <w:szCs w:val="24"/>
          <w:lang w:eastAsia="zh-CN"/>
        </w:rPr>
        <w:t>参照戴维营案例的现实情况将执行期设定为</w:t>
      </w:r>
      <w:r>
        <w:rPr>
          <w:rFonts w:ascii="TNR" w:eastAsia="FS" w:hAnsi="TNR" w:cs="TNR"/>
          <w:sz w:val="24"/>
          <w:szCs w:val="24"/>
          <w:lang w:eastAsia="zh-CN"/>
        </w:rPr>
        <w:t>5</w:t>
      </w:r>
      <w:r>
        <w:rPr>
          <w:rFonts w:ascii="TNR" w:eastAsia="FS" w:hAnsi="TNR" w:cs="TNR"/>
          <w:sz w:val="24"/>
          <w:szCs w:val="24"/>
          <w:lang w:eastAsia="zh-CN"/>
        </w:rPr>
        <w:t>轮。附带支付使用强度记录为调停者实际调用的系统外资源额度与可用资源上限的比例。</w:t>
      </w:r>
    </w:p>
    <w:p w14:paraId="192C8300" w14:textId="77777777" w:rsidR="00142F43" w:rsidRDefault="00000000">
      <w:pPr>
        <w:rPr>
          <w:lang w:eastAsia="zh-CN"/>
        </w:rPr>
      </w:pPr>
      <w:r>
        <w:rPr>
          <w:rFonts w:ascii="TNR" w:eastAsia="FS" w:hAnsi="TNR" w:cs="TNR"/>
          <w:sz w:val="24"/>
          <w:szCs w:val="24"/>
          <w:lang w:eastAsia="zh-CN"/>
        </w:rPr>
        <w:t>控制变量包括：</w:t>
      </w:r>
      <w:r>
        <w:rPr>
          <w:rFonts w:ascii="TNR" w:eastAsia="FS" w:hAnsi="TNR" w:cs="TNR"/>
          <w:sz w:val="24"/>
          <w:szCs w:val="24"/>
          <w:lang w:eastAsia="zh-CN"/>
        </w:rPr>
        <w:t>LLM</w:t>
      </w:r>
      <w:r>
        <w:rPr>
          <w:rFonts w:ascii="TNR" w:eastAsia="FS" w:hAnsi="TNR" w:cs="TNR"/>
          <w:sz w:val="24"/>
          <w:szCs w:val="24"/>
          <w:lang w:eastAsia="zh-CN"/>
        </w:rPr>
        <w:t>生成温度参数（固定为</w:t>
      </w:r>
      <w:r>
        <w:rPr>
          <w:rFonts w:ascii="TNR" w:eastAsia="FS" w:hAnsi="TNR" w:cs="TNR"/>
          <w:sz w:val="24"/>
          <w:szCs w:val="24"/>
          <w:lang w:eastAsia="zh-CN"/>
        </w:rPr>
        <w:t>0.7</w:t>
      </w:r>
      <w:r>
        <w:rPr>
          <w:rFonts w:ascii="TNR" w:eastAsia="FS" w:hAnsi="TNR" w:cs="TNR"/>
          <w:sz w:val="24"/>
          <w:szCs w:val="24"/>
          <w:lang w:eastAsia="zh-CN"/>
        </w:rPr>
        <w:t>）、每轮最大对话长度（</w:t>
      </w:r>
      <w:r>
        <w:rPr>
          <w:rFonts w:ascii="TNR" w:eastAsia="FS" w:hAnsi="TNR" w:cs="TNR"/>
          <w:sz w:val="24"/>
          <w:szCs w:val="24"/>
          <w:lang w:eastAsia="zh-CN"/>
        </w:rPr>
        <w:t>3840 tokens</w:t>
      </w:r>
      <w:r>
        <w:rPr>
          <w:rFonts w:ascii="TNR" w:eastAsia="FS" w:hAnsi="TNR" w:cs="TNR"/>
          <w:sz w:val="24"/>
          <w:szCs w:val="24"/>
          <w:lang w:eastAsia="zh-CN"/>
        </w:rPr>
        <w:t>）、反提案限制（每方每轮不超过</w:t>
      </w:r>
      <w:r>
        <w:rPr>
          <w:rFonts w:ascii="TNR" w:eastAsia="FS" w:hAnsi="TNR" w:cs="TNR"/>
          <w:sz w:val="24"/>
          <w:szCs w:val="24"/>
          <w:lang w:eastAsia="zh-CN"/>
        </w:rPr>
        <w:t>3</w:t>
      </w:r>
      <w:r>
        <w:rPr>
          <w:rFonts w:ascii="TNR" w:eastAsia="FS" w:hAnsi="TNR" w:cs="TNR"/>
          <w:sz w:val="24"/>
          <w:szCs w:val="24"/>
          <w:lang w:eastAsia="zh-CN"/>
        </w:rPr>
        <w:t>次）、谈判轮次上限（</w:t>
      </w:r>
      <w:r>
        <w:rPr>
          <w:rFonts w:ascii="TNR" w:eastAsia="FS" w:hAnsi="TNR" w:cs="TNR"/>
          <w:sz w:val="24"/>
          <w:szCs w:val="24"/>
          <w:lang w:eastAsia="zh-CN"/>
        </w:rPr>
        <w:t>10</w:t>
      </w:r>
      <w:r>
        <w:rPr>
          <w:rFonts w:ascii="TNR" w:eastAsia="FS" w:hAnsi="TNR" w:cs="TNR"/>
          <w:sz w:val="24"/>
          <w:szCs w:val="24"/>
          <w:lang w:eastAsia="zh-CN"/>
        </w:rPr>
        <w:t>轮）。</w:t>
      </w:r>
    </w:p>
    <w:p w14:paraId="5BAA5903" w14:textId="77777777" w:rsidR="00142F43" w:rsidRDefault="00000000">
      <w:pPr>
        <w:rPr>
          <w:lang w:eastAsia="zh-CN"/>
        </w:rPr>
      </w:pPr>
      <w:r>
        <w:rPr>
          <w:rFonts w:ascii="TNR" w:eastAsia="KT" w:hAnsi="TNR" w:cs="TNR"/>
          <w:sz w:val="28"/>
          <w:szCs w:val="28"/>
          <w:lang w:eastAsia="zh-CN"/>
        </w:rPr>
        <w:t>（三）谈判流程与约束机制</w:t>
      </w:r>
    </w:p>
    <w:p w14:paraId="3125A2E7" w14:textId="77777777" w:rsidR="00142F43" w:rsidRDefault="00000000">
      <w:pPr>
        <w:rPr>
          <w:lang w:eastAsia="zh-CN"/>
        </w:rPr>
      </w:pPr>
      <w:r>
        <w:rPr>
          <w:rFonts w:ascii="TNR" w:eastAsia="FS" w:hAnsi="TNR" w:cs="TNR"/>
          <w:sz w:val="24"/>
          <w:szCs w:val="24"/>
          <w:lang w:eastAsia="zh-CN"/>
        </w:rPr>
        <w:t>每轮实验由结构化的八步流程控制。第一步为系统初始化：设定冲突背景、初始资源分布和各智能体角色目标。第二步为立场声明：强弱双方分别发表正式的立场声明，陈述其核心利益和底线条件。第三步为调解方案提出：调停者基于当前的谈判状态和其偏见方向，生成包含领土分割、资源分配和附带支付方案的协议草案。第四步为国内观众评估：国内观众智能体对草案进行政治可接受性评估，输出政治压力修正因子。第五步为回应与反提案：双方对草案作出正式回应</w:t>
      </w:r>
      <w:r>
        <w:rPr>
          <w:rFonts w:ascii="TNR" w:eastAsia="FS" w:hAnsi="TNR" w:cs="TNR"/>
          <w:sz w:val="24"/>
          <w:szCs w:val="24"/>
          <w:lang w:eastAsia="zh-CN"/>
        </w:rPr>
        <w:t>——</w:t>
      </w:r>
      <w:r>
        <w:rPr>
          <w:rFonts w:ascii="TNR" w:eastAsia="FS" w:hAnsi="TNR" w:cs="TNR"/>
          <w:sz w:val="24"/>
          <w:szCs w:val="24"/>
          <w:lang w:eastAsia="zh-CN"/>
        </w:rPr>
        <w:t>接受、拒绝或提出反提案。第六步为协议判定：系统判定是否达成协议，记录协议条款。第七步为迭代控制：若未达成协议且未超过谈判轮次上限，返回第三步，最多至</w:t>
      </w:r>
      <w:r>
        <w:rPr>
          <w:rFonts w:ascii="TNR" w:eastAsia="FS" w:hAnsi="TNR" w:cs="TNR"/>
          <w:sz w:val="24"/>
          <w:szCs w:val="24"/>
          <w:lang w:eastAsia="zh-CN"/>
        </w:rPr>
        <w:t>10</w:t>
      </w:r>
      <w:r>
        <w:rPr>
          <w:rFonts w:ascii="TNR" w:eastAsia="FS" w:hAnsi="TNR" w:cs="TNR"/>
          <w:sz w:val="24"/>
          <w:szCs w:val="24"/>
          <w:lang w:eastAsia="zh-CN"/>
        </w:rPr>
        <w:t>轮。第八步为评估记录：评估智能体全程记录各项指标。</w:t>
      </w:r>
    </w:p>
    <w:p w14:paraId="0BE75774" w14:textId="77777777" w:rsidR="00142F43" w:rsidRDefault="00000000">
      <w:pPr>
        <w:rPr>
          <w:lang w:eastAsia="zh-CN"/>
        </w:rPr>
      </w:pPr>
      <w:r>
        <w:rPr>
          <w:rFonts w:ascii="TNR" w:eastAsia="FS" w:hAnsi="TNR" w:cs="TNR"/>
          <w:sz w:val="24"/>
          <w:szCs w:val="24"/>
          <w:lang w:eastAsia="zh-CN"/>
        </w:rPr>
        <w:t>结构化输出约束通过</w:t>
      </w:r>
      <w:r>
        <w:rPr>
          <w:rFonts w:ascii="TNR" w:eastAsia="FS" w:hAnsi="TNR" w:cs="TNR"/>
          <w:sz w:val="24"/>
          <w:szCs w:val="24"/>
          <w:lang w:eastAsia="zh-CN"/>
        </w:rPr>
        <w:t>Pydantic</w:t>
      </w:r>
      <w:r>
        <w:rPr>
          <w:rFonts w:ascii="TNR" w:eastAsia="FS" w:hAnsi="TNR" w:cs="TNR"/>
          <w:sz w:val="24"/>
          <w:szCs w:val="24"/>
          <w:lang w:eastAsia="zh-CN"/>
        </w:rPr>
        <w:t>模式验证实现。协议草案中的所有数值型字段（领土比例、资源分配额、附带支付额度）均经过范围检查，防止</w:t>
      </w:r>
      <w:r>
        <w:rPr>
          <w:rFonts w:ascii="TNR" w:eastAsia="FS" w:hAnsi="TNR" w:cs="TNR"/>
          <w:sz w:val="24"/>
          <w:szCs w:val="24"/>
          <w:lang w:eastAsia="zh-CN"/>
        </w:rPr>
        <w:t>LLM</w:t>
      </w:r>
      <w:r>
        <w:rPr>
          <w:rFonts w:ascii="TNR" w:eastAsia="FS" w:hAnsi="TNR" w:cs="TNR"/>
          <w:sz w:val="24"/>
          <w:szCs w:val="24"/>
          <w:lang w:eastAsia="zh-CN"/>
        </w:rPr>
        <w:t>生成脚本常见的幻觉问题</w:t>
      </w:r>
      <w:r>
        <w:rPr>
          <w:rFonts w:ascii="TNR" w:eastAsia="FS" w:hAnsi="TNR" w:cs="TNR"/>
          <w:sz w:val="24"/>
          <w:szCs w:val="24"/>
          <w:lang w:eastAsia="zh-CN"/>
        </w:rPr>
        <w:t>——</w:t>
      </w:r>
      <w:r>
        <w:rPr>
          <w:rFonts w:ascii="TNR" w:eastAsia="FS" w:hAnsi="TNR" w:cs="TNR"/>
          <w:sz w:val="24"/>
          <w:szCs w:val="24"/>
          <w:lang w:eastAsia="zh-CN"/>
        </w:rPr>
        <w:t>如资源总和超过</w:t>
      </w:r>
      <w:r>
        <w:rPr>
          <w:rFonts w:ascii="TNR" w:eastAsia="FS" w:hAnsi="TNR" w:cs="TNR"/>
          <w:sz w:val="24"/>
          <w:szCs w:val="24"/>
          <w:lang w:eastAsia="zh-CN"/>
        </w:rPr>
        <w:t>100%</w:t>
      </w:r>
      <w:r>
        <w:rPr>
          <w:rFonts w:ascii="TNR" w:eastAsia="FS" w:hAnsi="TNR" w:cs="TNR"/>
          <w:sz w:val="24"/>
          <w:szCs w:val="24"/>
          <w:lang w:eastAsia="zh-CN"/>
        </w:rPr>
        <w:t>或超出调停者能力范围的承诺。</w:t>
      </w:r>
    </w:p>
    <w:p w14:paraId="4512C752" w14:textId="77777777" w:rsidR="00142F43" w:rsidRDefault="00000000">
      <w:pPr>
        <w:rPr>
          <w:lang w:eastAsia="zh-CN"/>
        </w:rPr>
      </w:pPr>
      <w:r>
        <w:rPr>
          <w:rFonts w:ascii="TNR" w:eastAsia="KT" w:hAnsi="TNR" w:cs="TNR"/>
          <w:sz w:val="28"/>
          <w:szCs w:val="28"/>
          <w:lang w:eastAsia="zh-CN"/>
        </w:rPr>
        <w:t>（四）数据收集方案</w:t>
      </w:r>
    </w:p>
    <w:p w14:paraId="7C7567E2" w14:textId="77777777" w:rsidR="00142F43" w:rsidRDefault="00000000">
      <w:pPr>
        <w:rPr>
          <w:lang w:eastAsia="zh-CN"/>
        </w:rPr>
      </w:pPr>
      <w:r>
        <w:rPr>
          <w:rFonts w:ascii="TNR" w:eastAsia="FS" w:hAnsi="TNR" w:cs="TNR"/>
          <w:sz w:val="24"/>
          <w:szCs w:val="24"/>
          <w:lang w:eastAsia="zh-CN"/>
        </w:rPr>
        <w:t>全因子</w:t>
      </w:r>
      <w:r>
        <w:rPr>
          <w:rFonts w:ascii="TNR" w:eastAsia="FS" w:hAnsi="TNR" w:cs="TNR"/>
          <w:sz w:val="24"/>
          <w:szCs w:val="24"/>
          <w:lang w:eastAsia="zh-CN"/>
        </w:rPr>
        <w:t>6</w:t>
      </w:r>
      <w:r>
        <w:rPr>
          <w:rFonts w:ascii="TNR" w:eastAsia="FS" w:hAnsi="TNR" w:cs="TNR"/>
          <w:sz w:val="24"/>
          <w:szCs w:val="24"/>
          <w:lang w:eastAsia="zh-CN"/>
        </w:rPr>
        <w:t>组各运行</w:t>
      </w:r>
      <w:r>
        <w:rPr>
          <w:rFonts w:ascii="TNR" w:eastAsia="FS" w:hAnsi="TNR" w:cs="TNR"/>
          <w:sz w:val="24"/>
          <w:szCs w:val="24"/>
          <w:lang w:eastAsia="zh-CN"/>
        </w:rPr>
        <w:t>30</w:t>
      </w:r>
      <w:r>
        <w:rPr>
          <w:rFonts w:ascii="TNR" w:eastAsia="FS" w:hAnsi="TNR" w:cs="TNR"/>
          <w:sz w:val="24"/>
          <w:szCs w:val="24"/>
          <w:lang w:eastAsia="zh-CN"/>
        </w:rPr>
        <w:t>次模拟，加戴维营参照组</w:t>
      </w:r>
      <w:r>
        <w:rPr>
          <w:rFonts w:ascii="TNR" w:eastAsia="FS" w:hAnsi="TNR" w:cs="TNR"/>
          <w:sz w:val="24"/>
          <w:szCs w:val="24"/>
          <w:lang w:eastAsia="zh-CN"/>
        </w:rPr>
        <w:t>30</w:t>
      </w:r>
      <w:r>
        <w:rPr>
          <w:rFonts w:ascii="TNR" w:eastAsia="FS" w:hAnsi="TNR" w:cs="TNR"/>
          <w:sz w:val="24"/>
          <w:szCs w:val="24"/>
          <w:lang w:eastAsia="zh-CN"/>
        </w:rPr>
        <w:t>次，合计</w:t>
      </w:r>
      <w:r>
        <w:rPr>
          <w:rFonts w:ascii="TNR" w:eastAsia="FS" w:hAnsi="TNR" w:cs="TNR"/>
          <w:sz w:val="24"/>
          <w:szCs w:val="24"/>
          <w:lang w:eastAsia="zh-CN"/>
        </w:rPr>
        <w:t>210</w:t>
      </w:r>
      <w:r>
        <w:rPr>
          <w:rFonts w:ascii="TNR" w:eastAsia="FS" w:hAnsi="TNR" w:cs="TNR"/>
          <w:sz w:val="24"/>
          <w:szCs w:val="24"/>
          <w:lang w:eastAsia="zh-CN"/>
        </w:rPr>
        <w:t>次独立实验。每次模拟记录的数据包含：各轮谈判的完整对话文本、每次提案的结构化内容（方案全文、数值分配方案）、协议条款数据（达成与否、条款内容、</w:t>
      </w:r>
      <w:r>
        <w:rPr>
          <w:rFonts w:ascii="TNR" w:eastAsia="FS" w:hAnsi="TNR" w:cs="TNR"/>
          <w:sz w:val="24"/>
          <w:szCs w:val="24"/>
          <w:lang w:eastAsia="zh-CN"/>
        </w:rPr>
        <w:lastRenderedPageBreak/>
        <w:t>基尼系数）、各智能体的效用函数值变化轨迹、国内观众的政治压力评分序列、附带支付的使用决策记录（是否使用、使用额度、使用时的谈判轮次）、达成协议所需轮次和累计对话长度。此外，评估智能体生成的评估报告和每一轮迭代调整操作将被记录在实验审计日志中。</w:t>
      </w:r>
    </w:p>
    <w:p w14:paraId="3F1F33CD" w14:textId="77777777" w:rsidR="00142F43" w:rsidRDefault="00000000">
      <w:pPr>
        <w:rPr>
          <w:lang w:eastAsia="zh-CN"/>
        </w:rPr>
      </w:pPr>
      <w:r>
        <w:rPr>
          <w:lang w:eastAsia="zh-CN"/>
        </w:rPr>
        <w:br w:type="page"/>
      </w:r>
    </w:p>
    <w:p w14:paraId="2B130C20" w14:textId="77777777" w:rsidR="00142F43" w:rsidRDefault="00000000">
      <w:pPr>
        <w:jc w:val="center"/>
        <w:rPr>
          <w:lang w:eastAsia="zh-CN"/>
        </w:rPr>
      </w:pPr>
      <w:r>
        <w:rPr>
          <w:rFonts w:ascii="TNR" w:eastAsia="SH" w:hAnsi="TNR" w:cs="TNR"/>
          <w:b/>
          <w:sz w:val="32"/>
          <w:szCs w:val="32"/>
          <w:lang w:eastAsia="zh-CN"/>
        </w:rPr>
        <w:lastRenderedPageBreak/>
        <w:t>五、多智能体评估框架与实验迭代优化</w:t>
      </w:r>
    </w:p>
    <w:p w14:paraId="14C4FA80" w14:textId="77777777" w:rsidR="00142F43" w:rsidRDefault="00000000">
      <w:pPr>
        <w:rPr>
          <w:lang w:eastAsia="zh-CN"/>
        </w:rPr>
      </w:pPr>
      <w:r>
        <w:rPr>
          <w:rFonts w:ascii="TNR" w:eastAsia="KT" w:hAnsi="TNR" w:cs="TNR"/>
          <w:sz w:val="28"/>
          <w:szCs w:val="28"/>
          <w:lang w:eastAsia="zh-CN"/>
        </w:rPr>
        <w:t>（一）评估智能体的功能架构</w:t>
      </w:r>
    </w:p>
    <w:p w14:paraId="63CAAFEE" w14:textId="77777777" w:rsidR="00142F43" w:rsidRDefault="00000000">
      <w:pPr>
        <w:rPr>
          <w:lang w:eastAsia="zh-CN"/>
        </w:rPr>
      </w:pPr>
      <w:r>
        <w:rPr>
          <w:rFonts w:ascii="TNR" w:eastAsia="FS" w:hAnsi="TNR" w:cs="TNR"/>
          <w:sz w:val="24"/>
          <w:szCs w:val="24"/>
          <w:lang w:eastAsia="zh-CN"/>
        </w:rPr>
        <w:t>评估智能体（</w:t>
      </w:r>
      <w:r>
        <w:rPr>
          <w:rFonts w:ascii="TNR" w:eastAsia="FS" w:hAnsi="TNR" w:cs="TNR"/>
          <w:sz w:val="24"/>
          <w:szCs w:val="24"/>
          <w:lang w:eastAsia="zh-CN"/>
        </w:rPr>
        <w:t>Agent E</w:t>
      </w:r>
      <w:r>
        <w:rPr>
          <w:rFonts w:ascii="TNR" w:eastAsia="FS" w:hAnsi="TNR" w:cs="TNR"/>
          <w:sz w:val="24"/>
          <w:szCs w:val="24"/>
          <w:lang w:eastAsia="zh-CN"/>
        </w:rPr>
        <w:t>）是本方案质量控制体系的核心组件。该智能体不参与谈判进程，其功能是在每批实验结束后接收结构化结果数据，从系统预设的六个维度对实验质量进行量化评估，识别实验设计中的系统性问题，并生成具体的参数调整建议。评估报告以结构化格式（</w:t>
      </w:r>
      <w:r>
        <w:rPr>
          <w:rFonts w:ascii="TNR" w:eastAsia="FS" w:hAnsi="TNR" w:cs="TNR"/>
          <w:sz w:val="24"/>
          <w:szCs w:val="24"/>
          <w:lang w:eastAsia="zh-CN"/>
        </w:rPr>
        <w:t>JSON Schema</w:t>
      </w:r>
      <w:r>
        <w:rPr>
          <w:rFonts w:ascii="TNR" w:eastAsia="FS" w:hAnsi="TNR" w:cs="TNR"/>
          <w:sz w:val="24"/>
          <w:szCs w:val="24"/>
          <w:lang w:eastAsia="zh-CN"/>
        </w:rPr>
        <w:t>）输出，包含六个维度的量化分项评分、当前批次与前一批次之间的趋势对比、检测到的问题类型与严重程度，以及针对每个问题的具体修改建议。</w:t>
      </w:r>
    </w:p>
    <w:p w14:paraId="71CC1679" w14:textId="77777777" w:rsidR="00142F43" w:rsidRDefault="00000000">
      <w:pPr>
        <w:rPr>
          <w:lang w:eastAsia="zh-CN"/>
        </w:rPr>
      </w:pPr>
      <w:r>
        <w:rPr>
          <w:rFonts w:ascii="TNR" w:eastAsia="KT" w:hAnsi="TNR" w:cs="TNR"/>
          <w:sz w:val="28"/>
          <w:szCs w:val="28"/>
          <w:lang w:eastAsia="zh-CN"/>
        </w:rPr>
        <w:t>（二）六维评估指标体系</w:t>
      </w:r>
    </w:p>
    <w:p w14:paraId="3D871811" w14:textId="77777777" w:rsidR="00142F43" w:rsidRDefault="00000000">
      <w:pPr>
        <w:rPr>
          <w:lang w:eastAsia="zh-CN"/>
        </w:rPr>
      </w:pPr>
      <w:r>
        <w:rPr>
          <w:rFonts w:ascii="TNR" w:eastAsia="FS" w:hAnsi="TNR" w:cs="TNR"/>
          <w:sz w:val="24"/>
          <w:szCs w:val="24"/>
          <w:lang w:eastAsia="zh-CN"/>
        </w:rPr>
        <w:t>外部效度维度评估模拟谈判行为与真实国际冲突谈判的相似程度。评估标准包括：强方话语中权力型表述（威慑、制裁、军事优势）的占比是否在合理范围内；弱方话语中权利型表述（国际法、合法性、公平）的占比是否占主导；协议破裂率是否接近基于历史数据的预期分布。戴维营谈判的已知特征为本维度的校准提供了具体参照。</w:t>
      </w:r>
    </w:p>
    <w:p w14:paraId="02B3249D" w14:textId="77777777" w:rsidR="00142F43" w:rsidRDefault="00000000">
      <w:pPr>
        <w:rPr>
          <w:lang w:eastAsia="zh-CN"/>
        </w:rPr>
      </w:pPr>
      <w:r>
        <w:rPr>
          <w:rFonts w:ascii="TNR" w:eastAsia="FS" w:hAnsi="TNR" w:cs="TNR"/>
          <w:sz w:val="24"/>
          <w:szCs w:val="24"/>
          <w:lang w:eastAsia="zh-CN"/>
        </w:rPr>
        <w:t>内部一致性维度检验智能体的行为是否符合其预设角色和目标。评估方法包括：通过</w:t>
      </w:r>
      <w:r>
        <w:rPr>
          <w:rFonts w:ascii="TNR" w:eastAsia="FS" w:hAnsi="TNR" w:cs="TNR"/>
          <w:sz w:val="24"/>
          <w:szCs w:val="24"/>
          <w:lang w:eastAsia="zh-CN"/>
        </w:rPr>
        <w:t>t</w:t>
      </w:r>
      <w:r>
        <w:rPr>
          <w:rFonts w:ascii="TNR" w:eastAsia="FS" w:hAnsi="TNR" w:cs="TNR"/>
          <w:sz w:val="24"/>
          <w:szCs w:val="24"/>
          <w:lang w:eastAsia="zh-CN"/>
        </w:rPr>
        <w:t>检验比较强方与弱方的让步率是否存在统计显著差异；验证调停者提案的方向是否与设定的</w:t>
      </w:r>
      <w:r>
        <w:rPr>
          <w:rFonts w:ascii="TNR" w:eastAsia="FS" w:hAnsi="TNR" w:cs="TNR"/>
          <w:sz w:val="24"/>
          <w:szCs w:val="24"/>
          <w:lang w:eastAsia="zh-CN"/>
        </w:rPr>
        <w:t>b</w:t>
      </w:r>
      <w:r>
        <w:rPr>
          <w:rFonts w:ascii="TNR" w:eastAsia="FS" w:hAnsi="TNR" w:cs="TNR"/>
          <w:sz w:val="24"/>
          <w:szCs w:val="24"/>
          <w:lang w:eastAsia="zh-CN"/>
        </w:rPr>
        <w:t>值一致（正</w:t>
      </w:r>
      <w:r>
        <w:rPr>
          <w:rFonts w:ascii="TNR" w:eastAsia="FS" w:hAnsi="TNR" w:cs="TNR"/>
          <w:sz w:val="24"/>
          <w:szCs w:val="24"/>
          <w:lang w:eastAsia="zh-CN"/>
        </w:rPr>
        <w:t>b</w:t>
      </w:r>
      <w:r>
        <w:rPr>
          <w:rFonts w:ascii="TNR" w:eastAsia="FS" w:hAnsi="TNR" w:cs="TNR"/>
          <w:sz w:val="24"/>
          <w:szCs w:val="24"/>
          <w:lang w:eastAsia="zh-CN"/>
        </w:rPr>
        <w:t>值的调停者提案是否显著偏向强方）；计算国内观众评估分数与协议接受状态之间的相关系数。</w:t>
      </w:r>
    </w:p>
    <w:p w14:paraId="2D9045BF" w14:textId="77777777" w:rsidR="00142F43" w:rsidRDefault="00000000">
      <w:pPr>
        <w:rPr>
          <w:lang w:eastAsia="zh-CN"/>
        </w:rPr>
      </w:pPr>
      <w:r>
        <w:rPr>
          <w:rFonts w:ascii="TNR" w:eastAsia="FS" w:hAnsi="TNR" w:cs="TNR"/>
          <w:sz w:val="24"/>
          <w:szCs w:val="24"/>
          <w:lang w:eastAsia="zh-CN"/>
        </w:rPr>
        <w:t>行为合理性维度检验谈判策略是否符合基本的逻辑模式。关键指标包括：让步幅度是否随轮次呈现递减趋势（典型的谈判时序模式）；附带支付的使用决策是否与谈判僵局状态正相关；反提案的针对性评估</w:t>
      </w:r>
      <w:r>
        <w:rPr>
          <w:rFonts w:ascii="TNR" w:eastAsia="FS" w:hAnsi="TNR" w:cs="TNR"/>
          <w:sz w:val="24"/>
          <w:szCs w:val="24"/>
          <w:lang w:eastAsia="zh-CN"/>
        </w:rPr>
        <w:t>——</w:t>
      </w:r>
      <w:r>
        <w:rPr>
          <w:rFonts w:ascii="TNR" w:eastAsia="FS" w:hAnsi="TNR" w:cs="TNR"/>
          <w:sz w:val="24"/>
          <w:szCs w:val="24"/>
          <w:lang w:eastAsia="zh-CN"/>
        </w:rPr>
        <w:t>反提案是否回应了对方提案中的核心关切，而非泛化的拒绝。</w:t>
      </w:r>
    </w:p>
    <w:p w14:paraId="12D07866" w14:textId="77777777" w:rsidR="00142F43" w:rsidRDefault="00000000">
      <w:pPr>
        <w:rPr>
          <w:lang w:eastAsia="zh-CN"/>
        </w:rPr>
      </w:pPr>
      <w:r>
        <w:rPr>
          <w:rFonts w:ascii="TNR" w:eastAsia="FS" w:hAnsi="TNR" w:cs="TNR"/>
          <w:sz w:val="24"/>
          <w:szCs w:val="24"/>
          <w:lang w:eastAsia="zh-CN"/>
        </w:rPr>
        <w:t>策略多样性维度评估同一实验条件下不同次模拟的结果变异性。过低的多样性可能表明提示词的约束过强导致智能体行为模式固化；过高的多样性可能表明智能体行为的一致性不足。评估指标包括同一条件下协议条款基尼系数的标准差、达成协议所需轮次的变异系数、对话策略类型的熵值。</w:t>
      </w:r>
    </w:p>
    <w:p w14:paraId="62A79A86" w14:textId="77777777" w:rsidR="00142F43" w:rsidRDefault="00000000">
      <w:pPr>
        <w:rPr>
          <w:lang w:eastAsia="zh-CN"/>
        </w:rPr>
      </w:pPr>
      <w:r>
        <w:rPr>
          <w:rFonts w:ascii="TNR" w:eastAsia="FS" w:hAnsi="TNR" w:cs="TNR"/>
          <w:sz w:val="24"/>
          <w:szCs w:val="24"/>
          <w:lang w:eastAsia="zh-CN"/>
        </w:rPr>
        <w:t>随机充分性维度检验实验结果差异是否主要由</w:t>
      </w:r>
      <w:r>
        <w:rPr>
          <w:rFonts w:ascii="TNR" w:eastAsia="FS" w:hAnsi="TNR" w:cs="TNR"/>
          <w:sz w:val="24"/>
          <w:szCs w:val="24"/>
          <w:lang w:eastAsia="zh-CN"/>
        </w:rPr>
        <w:t>LLM</w:t>
      </w:r>
      <w:r>
        <w:rPr>
          <w:rFonts w:ascii="TNR" w:eastAsia="FS" w:hAnsi="TNR" w:cs="TNR"/>
          <w:sz w:val="24"/>
          <w:szCs w:val="24"/>
          <w:lang w:eastAsia="zh-CN"/>
        </w:rPr>
        <w:t>的内在随机性驱动而非系统性偏差。采用二项分布拟合检验验证同条件下协议达成次数的分布是否符</w:t>
      </w:r>
      <w:r>
        <w:rPr>
          <w:rFonts w:ascii="TNR" w:eastAsia="FS" w:hAnsi="TNR" w:cs="TNR"/>
          <w:sz w:val="24"/>
          <w:szCs w:val="24"/>
          <w:lang w:eastAsia="zh-CN"/>
        </w:rPr>
        <w:lastRenderedPageBreak/>
        <w:t>合随机预期；通过比较不同温度参数设置下的结果变异性验证温度对行为多样性的影响。</w:t>
      </w:r>
    </w:p>
    <w:p w14:paraId="52DFECBB" w14:textId="77777777" w:rsidR="00142F43" w:rsidRDefault="00000000">
      <w:pPr>
        <w:rPr>
          <w:lang w:eastAsia="zh-CN"/>
        </w:rPr>
      </w:pPr>
      <w:r>
        <w:rPr>
          <w:rFonts w:ascii="TNR" w:eastAsia="FS" w:hAnsi="TNR" w:cs="TNR"/>
          <w:sz w:val="24"/>
          <w:szCs w:val="24"/>
          <w:lang w:eastAsia="zh-CN"/>
        </w:rPr>
        <w:t>操作检查维度通过统计检验确认实验操控是否成功：偏见调停组的协议条款偏向是否与中立调停组存在统计显著差异（独立样本</w:t>
      </w:r>
      <w:r>
        <w:rPr>
          <w:rFonts w:ascii="TNR" w:eastAsia="FS" w:hAnsi="TNR" w:cs="TNR"/>
          <w:sz w:val="24"/>
          <w:szCs w:val="24"/>
          <w:lang w:eastAsia="zh-CN"/>
        </w:rPr>
        <w:t>t</w:t>
      </w:r>
      <w:r>
        <w:rPr>
          <w:rFonts w:ascii="TNR" w:eastAsia="FS" w:hAnsi="TNR" w:cs="TNR"/>
          <w:sz w:val="24"/>
          <w:szCs w:val="24"/>
          <w:lang w:eastAsia="zh-CN"/>
        </w:rPr>
        <w:t>检验）；高不对称组与低不对称组的强方初始资源是否在预期水平上存在显著差异。</w:t>
      </w:r>
    </w:p>
    <w:p w14:paraId="7389AAE8" w14:textId="77777777" w:rsidR="00142F43" w:rsidRDefault="00000000">
      <w:pPr>
        <w:rPr>
          <w:lang w:eastAsia="zh-CN"/>
        </w:rPr>
      </w:pPr>
      <w:r>
        <w:rPr>
          <w:rFonts w:ascii="TNR" w:eastAsia="KT" w:hAnsi="TNR" w:cs="TNR"/>
          <w:sz w:val="28"/>
          <w:szCs w:val="28"/>
          <w:lang w:eastAsia="zh-CN"/>
        </w:rPr>
        <w:t>（三）参数迭代策略</w:t>
      </w:r>
    </w:p>
    <w:p w14:paraId="036E727B" w14:textId="77777777" w:rsidR="00142F43" w:rsidRDefault="00000000">
      <w:pPr>
        <w:rPr>
          <w:lang w:eastAsia="zh-CN"/>
        </w:rPr>
      </w:pPr>
      <w:r>
        <w:rPr>
          <w:rFonts w:ascii="TNR" w:eastAsia="FS" w:hAnsi="TNR" w:cs="TNR"/>
          <w:sz w:val="24"/>
          <w:szCs w:val="24"/>
          <w:lang w:eastAsia="zh-CN"/>
        </w:rPr>
        <w:t>迭代优化分为三个层次。快速迭代在每</w:t>
      </w:r>
      <w:r>
        <w:rPr>
          <w:rFonts w:ascii="TNR" w:eastAsia="FS" w:hAnsi="TNR" w:cs="TNR"/>
          <w:sz w:val="24"/>
          <w:szCs w:val="24"/>
          <w:lang w:eastAsia="zh-CN"/>
        </w:rPr>
        <w:t>10</w:t>
      </w:r>
      <w:r>
        <w:rPr>
          <w:rFonts w:ascii="TNR" w:eastAsia="FS" w:hAnsi="TNR" w:cs="TNR"/>
          <w:sz w:val="24"/>
          <w:szCs w:val="24"/>
          <w:lang w:eastAsia="zh-CN"/>
        </w:rPr>
        <w:t>次实验后执行，主要调整提示词的具体参数</w:t>
      </w:r>
      <w:r>
        <w:rPr>
          <w:rFonts w:ascii="TNR" w:eastAsia="FS" w:hAnsi="TNR" w:cs="TNR"/>
          <w:sz w:val="24"/>
          <w:szCs w:val="24"/>
          <w:lang w:eastAsia="zh-CN"/>
        </w:rPr>
        <w:t>——</w:t>
      </w:r>
      <w:r>
        <w:rPr>
          <w:rFonts w:ascii="TNR" w:eastAsia="FS" w:hAnsi="TNR" w:cs="TNR"/>
          <w:sz w:val="24"/>
          <w:szCs w:val="24"/>
          <w:lang w:eastAsia="zh-CN"/>
        </w:rPr>
        <w:t>如强方让步阈值上调和下调、调停者附带支付使用倾向的调整、国内观众敏感度水平的微调。中期迭代在每</w:t>
      </w:r>
      <w:r>
        <w:rPr>
          <w:rFonts w:ascii="TNR" w:eastAsia="FS" w:hAnsi="TNR" w:cs="TNR"/>
          <w:sz w:val="24"/>
          <w:szCs w:val="24"/>
          <w:lang w:eastAsia="zh-CN"/>
        </w:rPr>
        <w:t>30</w:t>
      </w:r>
      <w:r>
        <w:rPr>
          <w:rFonts w:ascii="TNR" w:eastAsia="FS" w:hAnsi="TNR" w:cs="TNR"/>
          <w:sz w:val="24"/>
          <w:szCs w:val="24"/>
          <w:lang w:eastAsia="zh-CN"/>
        </w:rPr>
        <w:t>次实验后执行，检查策略多样性指标是否在理想区间内，必要时补充边界条件（极端参数值下的行为测试）。全局迭代在切换实验条件前执行，审查整体评估报告，确保不同条件组之间的可比性和实验流程的一致性。所有迭代操作均记录在实验审计日志中，形成完整的参数变更轨迹。</w:t>
      </w:r>
    </w:p>
    <w:p w14:paraId="3F2A9740" w14:textId="77777777" w:rsidR="00142F43" w:rsidRDefault="00000000">
      <w:pPr>
        <w:rPr>
          <w:lang w:eastAsia="zh-CN"/>
        </w:rPr>
      </w:pPr>
      <w:r>
        <w:rPr>
          <w:lang w:eastAsia="zh-CN"/>
        </w:rPr>
        <w:br w:type="page"/>
      </w:r>
    </w:p>
    <w:p w14:paraId="5FF93F6D" w14:textId="77777777" w:rsidR="00142F43" w:rsidRDefault="00000000">
      <w:pPr>
        <w:jc w:val="center"/>
        <w:rPr>
          <w:lang w:eastAsia="zh-CN"/>
        </w:rPr>
      </w:pPr>
      <w:r>
        <w:rPr>
          <w:rFonts w:ascii="TNR" w:eastAsia="SH" w:hAnsi="TNR" w:cs="TNR"/>
          <w:b/>
          <w:sz w:val="32"/>
          <w:szCs w:val="32"/>
          <w:lang w:eastAsia="zh-CN"/>
        </w:rPr>
        <w:lastRenderedPageBreak/>
        <w:t>六、假设检验策略与统计方案</w:t>
      </w:r>
    </w:p>
    <w:p w14:paraId="780315E1" w14:textId="77777777" w:rsidR="00142F43" w:rsidRDefault="00000000">
      <w:pPr>
        <w:rPr>
          <w:lang w:eastAsia="zh-CN"/>
        </w:rPr>
      </w:pPr>
      <w:r>
        <w:rPr>
          <w:rFonts w:ascii="TNR" w:eastAsia="KT" w:hAnsi="TNR" w:cs="TNR"/>
          <w:sz w:val="28"/>
          <w:szCs w:val="28"/>
          <w:lang w:eastAsia="zh-CN"/>
        </w:rPr>
        <w:t>（一）假设检验的整体框架</w:t>
      </w:r>
    </w:p>
    <w:p w14:paraId="296B5E69" w14:textId="77777777" w:rsidR="00142F43" w:rsidRDefault="00000000">
      <w:pPr>
        <w:rPr>
          <w:lang w:eastAsia="zh-CN"/>
        </w:rPr>
      </w:pPr>
      <w:r>
        <w:rPr>
          <w:rFonts w:ascii="TNR" w:eastAsia="FS" w:hAnsi="TNR" w:cs="TNR"/>
          <w:sz w:val="24"/>
          <w:szCs w:val="24"/>
          <w:lang w:eastAsia="zh-CN"/>
        </w:rPr>
        <w:t>本研究采用预注册式的假设检验策略</w:t>
      </w:r>
      <w:r>
        <w:rPr>
          <w:rFonts w:ascii="TNR" w:eastAsia="FS" w:hAnsi="TNR" w:cs="TNR"/>
          <w:sz w:val="24"/>
          <w:szCs w:val="24"/>
          <w:lang w:eastAsia="zh-CN"/>
        </w:rPr>
        <w:t>——</w:t>
      </w:r>
      <w:r>
        <w:rPr>
          <w:rFonts w:ascii="TNR" w:eastAsia="FS" w:hAnsi="TNR" w:cs="TNR"/>
          <w:sz w:val="24"/>
          <w:szCs w:val="24"/>
          <w:lang w:eastAsia="zh-CN"/>
        </w:rPr>
        <w:t>在实验启动前明确各项假设对应的统计方法、显著性水平和效应量标准。显著性水平设定为</w:t>
      </w:r>
      <w:r>
        <w:rPr>
          <w:rFonts w:ascii="TNR" w:eastAsia="FS" w:hAnsi="TNR" w:cs="TNR"/>
          <w:sz w:val="24"/>
          <w:szCs w:val="24"/>
        </w:rPr>
        <w:t>α</w:t>
      </w:r>
      <w:r>
        <w:rPr>
          <w:rFonts w:ascii="TNR" w:eastAsia="FS" w:hAnsi="TNR" w:cs="TNR"/>
          <w:sz w:val="24"/>
          <w:szCs w:val="24"/>
          <w:lang w:eastAsia="zh-CN"/>
        </w:rPr>
        <w:t>=0.05</w:t>
      </w:r>
      <w:r>
        <w:rPr>
          <w:rFonts w:ascii="TNR" w:eastAsia="FS" w:hAnsi="TNR" w:cs="TNR"/>
          <w:sz w:val="24"/>
          <w:szCs w:val="24"/>
          <w:lang w:eastAsia="zh-CN"/>
        </w:rPr>
        <w:t>（双尾），多重比较场景采用</w:t>
      </w:r>
      <w:r>
        <w:rPr>
          <w:rFonts w:ascii="TNR" w:eastAsia="FS" w:hAnsi="TNR" w:cs="TNR"/>
          <w:sz w:val="24"/>
          <w:szCs w:val="24"/>
          <w:lang w:eastAsia="zh-CN"/>
        </w:rPr>
        <w:t>Bonferroni</w:t>
      </w:r>
      <w:r>
        <w:rPr>
          <w:rFonts w:ascii="TNR" w:eastAsia="FS" w:hAnsi="TNR" w:cs="TNR"/>
          <w:sz w:val="24"/>
          <w:szCs w:val="24"/>
          <w:lang w:eastAsia="zh-CN"/>
        </w:rPr>
        <w:t>校正或</w:t>
      </w:r>
      <w:r>
        <w:rPr>
          <w:rFonts w:ascii="TNR" w:eastAsia="FS" w:hAnsi="TNR" w:cs="TNR"/>
          <w:sz w:val="24"/>
          <w:szCs w:val="24"/>
          <w:lang w:eastAsia="zh-CN"/>
        </w:rPr>
        <w:t>FDR</w:t>
      </w:r>
      <w:r>
        <w:rPr>
          <w:rFonts w:ascii="TNR" w:eastAsia="FS" w:hAnsi="TNR" w:cs="TNR"/>
          <w:sz w:val="24"/>
          <w:szCs w:val="24"/>
          <w:lang w:eastAsia="zh-CN"/>
        </w:rPr>
        <w:t>校正（</w:t>
      </w:r>
      <w:r>
        <w:rPr>
          <w:rFonts w:ascii="TNR" w:eastAsia="FS" w:hAnsi="TNR" w:cs="TNR"/>
          <w:sz w:val="24"/>
          <w:szCs w:val="24"/>
          <w:lang w:eastAsia="zh-CN"/>
        </w:rPr>
        <w:t>Benjamini-Hochberg</w:t>
      </w:r>
      <w:r>
        <w:rPr>
          <w:rFonts w:ascii="TNR" w:eastAsia="FS" w:hAnsi="TNR" w:cs="TNR"/>
          <w:sz w:val="24"/>
          <w:szCs w:val="24"/>
          <w:lang w:eastAsia="zh-CN"/>
        </w:rPr>
        <w:t>程序）。所有统计分析使用</w:t>
      </w:r>
      <w:r>
        <w:rPr>
          <w:rFonts w:ascii="TNR" w:eastAsia="FS" w:hAnsi="TNR" w:cs="TNR"/>
          <w:sz w:val="24"/>
          <w:szCs w:val="24"/>
          <w:lang w:eastAsia="zh-CN"/>
        </w:rPr>
        <w:t>Python</w:t>
      </w:r>
      <w:r>
        <w:rPr>
          <w:rFonts w:ascii="TNR" w:eastAsia="FS" w:hAnsi="TNR" w:cs="TNR"/>
          <w:sz w:val="24"/>
          <w:szCs w:val="24"/>
          <w:lang w:eastAsia="zh-CN"/>
        </w:rPr>
        <w:t>的</w:t>
      </w:r>
      <w:r>
        <w:rPr>
          <w:rFonts w:ascii="TNR" w:eastAsia="FS" w:hAnsi="TNR" w:cs="TNR"/>
          <w:sz w:val="24"/>
          <w:szCs w:val="24"/>
          <w:lang w:eastAsia="zh-CN"/>
        </w:rPr>
        <w:t>SciPy</w:t>
      </w:r>
      <w:r>
        <w:rPr>
          <w:rFonts w:ascii="TNR" w:eastAsia="FS" w:hAnsi="TNR" w:cs="TNR"/>
          <w:sz w:val="24"/>
          <w:szCs w:val="24"/>
          <w:lang w:eastAsia="zh-CN"/>
        </w:rPr>
        <w:t>、</w:t>
      </w:r>
      <w:r>
        <w:rPr>
          <w:rFonts w:ascii="TNR" w:eastAsia="FS" w:hAnsi="TNR" w:cs="TNR"/>
          <w:sz w:val="24"/>
          <w:szCs w:val="24"/>
          <w:lang w:eastAsia="zh-CN"/>
        </w:rPr>
        <w:t>statsmodels</w:t>
      </w:r>
      <w:r>
        <w:rPr>
          <w:rFonts w:ascii="TNR" w:eastAsia="FS" w:hAnsi="TNR" w:cs="TNR"/>
          <w:sz w:val="24"/>
          <w:szCs w:val="24"/>
          <w:lang w:eastAsia="zh-CN"/>
        </w:rPr>
        <w:t>和</w:t>
      </w:r>
      <w:r>
        <w:rPr>
          <w:rFonts w:ascii="TNR" w:eastAsia="FS" w:hAnsi="TNR" w:cs="TNR"/>
          <w:sz w:val="24"/>
          <w:szCs w:val="24"/>
          <w:lang w:eastAsia="zh-CN"/>
        </w:rPr>
        <w:t>scikit-learn</w:t>
      </w:r>
      <w:r>
        <w:rPr>
          <w:rFonts w:ascii="TNR" w:eastAsia="FS" w:hAnsi="TNR" w:cs="TNR"/>
          <w:sz w:val="24"/>
          <w:szCs w:val="24"/>
          <w:lang w:eastAsia="zh-CN"/>
        </w:rPr>
        <w:t>库实现。效度报告遵循</w:t>
      </w:r>
      <w:r>
        <w:rPr>
          <w:rFonts w:ascii="TNR" w:eastAsia="FS" w:hAnsi="TNR" w:cs="TNR"/>
          <w:sz w:val="24"/>
          <w:szCs w:val="24"/>
          <w:lang w:eastAsia="zh-CN"/>
        </w:rPr>
        <w:t>APA</w:t>
      </w:r>
      <w:r>
        <w:rPr>
          <w:rFonts w:ascii="TNR" w:eastAsia="FS" w:hAnsi="TNR" w:cs="TNR"/>
          <w:sz w:val="24"/>
          <w:szCs w:val="24"/>
          <w:lang w:eastAsia="zh-CN"/>
        </w:rPr>
        <w:t>格式标准，同时报告效应量和置信区间。</w:t>
      </w:r>
    </w:p>
    <w:p w14:paraId="1711BDC9" w14:textId="77777777" w:rsidR="00142F43" w:rsidRDefault="00000000">
      <w:pPr>
        <w:rPr>
          <w:lang w:eastAsia="zh-CN"/>
        </w:rPr>
      </w:pPr>
      <w:r>
        <w:rPr>
          <w:rFonts w:ascii="TNR" w:eastAsia="KT" w:hAnsi="TNR" w:cs="TNR"/>
          <w:sz w:val="28"/>
          <w:szCs w:val="28"/>
          <w:lang w:eastAsia="zh-CN"/>
        </w:rPr>
        <w:t>（二）四项假设对应的具体检验方法</w:t>
      </w:r>
    </w:p>
    <w:p w14:paraId="1EAA811E"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H1</w:t>
      </w:r>
      <w:r>
        <w:rPr>
          <w:rFonts w:ascii="TNR" w:eastAsia="FS" w:hAnsi="TNR" w:cs="TNR"/>
          <w:sz w:val="24"/>
          <w:szCs w:val="24"/>
          <w:lang w:eastAsia="zh-CN"/>
        </w:rPr>
        <w:t>（偏见主效应）的检验策略分为两个层次。主分析采用独立样本</w:t>
      </w:r>
      <w:r>
        <w:rPr>
          <w:rFonts w:ascii="TNR" w:eastAsia="FS" w:hAnsi="TNR" w:cs="TNR"/>
          <w:sz w:val="24"/>
          <w:szCs w:val="24"/>
          <w:lang w:eastAsia="zh-CN"/>
        </w:rPr>
        <w:t>t</w:t>
      </w:r>
      <w:r>
        <w:rPr>
          <w:rFonts w:ascii="TNR" w:eastAsia="FS" w:hAnsi="TNR" w:cs="TNR"/>
          <w:sz w:val="24"/>
          <w:szCs w:val="24"/>
          <w:lang w:eastAsia="zh-CN"/>
        </w:rPr>
        <w:t>检验，比较高不对称条件下亲强调停组与中立调停组之间的协议达成率差异。补充分析采用</w:t>
      </w:r>
      <w:r>
        <w:rPr>
          <w:rFonts w:ascii="TNR" w:eastAsia="FS" w:hAnsi="TNR" w:cs="TNR"/>
          <w:sz w:val="24"/>
          <w:szCs w:val="24"/>
          <w:lang w:eastAsia="zh-CN"/>
        </w:rPr>
        <w:t>Logistic</w:t>
      </w:r>
      <w:r>
        <w:rPr>
          <w:rFonts w:ascii="TNR" w:eastAsia="FS" w:hAnsi="TNR" w:cs="TNR"/>
          <w:sz w:val="24"/>
          <w:szCs w:val="24"/>
          <w:lang w:eastAsia="zh-CN"/>
        </w:rPr>
        <w:t>回归，以协议达成（二元变量）为因变量，调停者类型和实力不对称度为主效应项，并纳入两者的交互项。效应量报告</w:t>
      </w:r>
      <w:r>
        <w:rPr>
          <w:rFonts w:ascii="TNR" w:eastAsia="FS" w:hAnsi="TNR" w:cs="TNR"/>
          <w:sz w:val="24"/>
          <w:szCs w:val="24"/>
          <w:lang w:eastAsia="zh-CN"/>
        </w:rPr>
        <w:t>Cohen's d</w:t>
      </w:r>
      <w:r>
        <w:rPr>
          <w:rFonts w:ascii="TNR" w:eastAsia="FS" w:hAnsi="TNR" w:cs="TNR"/>
          <w:sz w:val="24"/>
          <w:szCs w:val="24"/>
          <w:lang w:eastAsia="zh-CN"/>
        </w:rPr>
        <w:t>或</w:t>
      </w:r>
      <w:r>
        <w:rPr>
          <w:rFonts w:ascii="TNR" w:eastAsia="FS" w:hAnsi="TNR" w:cs="TNR"/>
          <w:sz w:val="24"/>
          <w:szCs w:val="24"/>
          <w:lang w:eastAsia="zh-CN"/>
        </w:rPr>
        <w:t>Cramér's V</w:t>
      </w:r>
      <w:r>
        <w:rPr>
          <w:rFonts w:ascii="TNR" w:eastAsia="FS" w:hAnsi="TNR" w:cs="TNR"/>
          <w:sz w:val="24"/>
          <w:szCs w:val="24"/>
          <w:lang w:eastAsia="zh-CN"/>
        </w:rPr>
        <w:t>。假设</w:t>
      </w:r>
      <w:r>
        <w:rPr>
          <w:rFonts w:ascii="TNR" w:eastAsia="FS" w:hAnsi="TNR" w:cs="TNR"/>
          <w:sz w:val="24"/>
          <w:szCs w:val="24"/>
          <w:lang w:eastAsia="zh-CN"/>
        </w:rPr>
        <w:t>H1</w:t>
      </w:r>
      <w:r>
        <w:rPr>
          <w:rFonts w:ascii="TNR" w:eastAsia="FS" w:hAnsi="TNR" w:cs="TNR"/>
          <w:sz w:val="24"/>
          <w:szCs w:val="24"/>
          <w:lang w:eastAsia="zh-CN"/>
        </w:rPr>
        <w:t>的预期结果：高不对称条件下亲强组的协议率显著高于中立组（</w:t>
      </w:r>
      <w:r>
        <w:rPr>
          <w:rFonts w:ascii="TNR" w:eastAsia="FS" w:hAnsi="TNR" w:cs="TNR"/>
          <w:sz w:val="24"/>
          <w:szCs w:val="24"/>
          <w:lang w:eastAsia="zh-CN"/>
        </w:rPr>
        <w:t>p&lt;0.05</w:t>
      </w:r>
      <w:r>
        <w:rPr>
          <w:rFonts w:ascii="TNR" w:eastAsia="FS" w:hAnsi="TNR" w:cs="TNR"/>
          <w:sz w:val="24"/>
          <w:szCs w:val="24"/>
          <w:lang w:eastAsia="zh-CN"/>
        </w:rPr>
        <w:t>，</w:t>
      </w:r>
      <w:r>
        <w:rPr>
          <w:rFonts w:ascii="TNR" w:eastAsia="FS" w:hAnsi="TNR" w:cs="TNR"/>
          <w:sz w:val="24"/>
          <w:szCs w:val="24"/>
          <w:lang w:eastAsia="zh-CN"/>
        </w:rPr>
        <w:t>d&gt;0.5</w:t>
      </w:r>
      <w:r>
        <w:rPr>
          <w:rFonts w:ascii="TNR" w:eastAsia="FS" w:hAnsi="TNR" w:cs="TNR"/>
          <w:sz w:val="24"/>
          <w:szCs w:val="24"/>
          <w:lang w:eastAsia="zh-CN"/>
        </w:rPr>
        <w:t>）。</w:t>
      </w:r>
    </w:p>
    <w:p w14:paraId="0E281F1D"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H2</w:t>
      </w:r>
      <w:r>
        <w:rPr>
          <w:rFonts w:ascii="TNR" w:eastAsia="FS" w:hAnsi="TNR" w:cs="TNR"/>
          <w:sz w:val="24"/>
          <w:szCs w:val="24"/>
          <w:lang w:eastAsia="zh-CN"/>
        </w:rPr>
        <w:t>（协议质量与持久性）的检验策略分为三个递进步骤。第一步采用单因素方差分析（</w:t>
      </w:r>
      <w:r>
        <w:rPr>
          <w:rFonts w:ascii="TNR" w:eastAsia="FS" w:hAnsi="TNR" w:cs="TNR"/>
          <w:sz w:val="24"/>
          <w:szCs w:val="24"/>
          <w:lang w:eastAsia="zh-CN"/>
        </w:rPr>
        <w:t>ANOVA</w:t>
      </w:r>
      <w:r>
        <w:rPr>
          <w:rFonts w:ascii="TNR" w:eastAsia="FS" w:hAnsi="TNR" w:cs="TNR"/>
          <w:sz w:val="24"/>
          <w:szCs w:val="24"/>
          <w:lang w:eastAsia="zh-CN"/>
        </w:rPr>
        <w:t>），比较三种调停类型下协议条款基尼系数的组间差异，事后比较采用</w:t>
      </w:r>
      <w:r>
        <w:rPr>
          <w:rFonts w:ascii="TNR" w:eastAsia="FS" w:hAnsi="TNR" w:cs="TNR"/>
          <w:sz w:val="24"/>
          <w:szCs w:val="24"/>
          <w:lang w:eastAsia="zh-CN"/>
        </w:rPr>
        <w:t>Tukey HSD</w:t>
      </w:r>
      <w:r>
        <w:rPr>
          <w:rFonts w:ascii="TNR" w:eastAsia="FS" w:hAnsi="TNR" w:cs="TNR"/>
          <w:sz w:val="24"/>
          <w:szCs w:val="24"/>
          <w:lang w:eastAsia="zh-CN"/>
        </w:rPr>
        <w:t>检验。第二步采用</w:t>
      </w:r>
      <w:r>
        <w:rPr>
          <w:rFonts w:ascii="TNR" w:eastAsia="FS" w:hAnsi="TNR" w:cs="TNR"/>
          <w:sz w:val="24"/>
          <w:szCs w:val="24"/>
          <w:lang w:eastAsia="zh-CN"/>
        </w:rPr>
        <w:t>Kaplan-Meier</w:t>
      </w:r>
      <w:r>
        <w:rPr>
          <w:rFonts w:ascii="TNR" w:eastAsia="FS" w:hAnsi="TNR" w:cs="TNR"/>
          <w:sz w:val="24"/>
          <w:szCs w:val="24"/>
          <w:lang w:eastAsia="zh-CN"/>
        </w:rPr>
        <w:t>非参数生存分析估计各组协议的生存函数，通过</w:t>
      </w:r>
      <w:r>
        <w:rPr>
          <w:rFonts w:ascii="TNR" w:eastAsia="FS" w:hAnsi="TNR" w:cs="TNR"/>
          <w:sz w:val="24"/>
          <w:szCs w:val="24"/>
          <w:lang w:eastAsia="zh-CN"/>
        </w:rPr>
        <w:t>Log-rank</w:t>
      </w:r>
      <w:r>
        <w:rPr>
          <w:rFonts w:ascii="TNR" w:eastAsia="FS" w:hAnsi="TNR" w:cs="TNR"/>
          <w:sz w:val="24"/>
          <w:szCs w:val="24"/>
          <w:lang w:eastAsia="zh-CN"/>
        </w:rPr>
        <w:t>检验比较组间生存曲线是否存在统计显著差异。第三步采用</w:t>
      </w:r>
      <w:r>
        <w:rPr>
          <w:rFonts w:ascii="TNR" w:eastAsia="FS" w:hAnsi="TNR" w:cs="TNR"/>
          <w:sz w:val="24"/>
          <w:szCs w:val="24"/>
          <w:lang w:eastAsia="zh-CN"/>
        </w:rPr>
        <w:t>Cox</w:t>
      </w:r>
      <w:r>
        <w:rPr>
          <w:rFonts w:ascii="TNR" w:eastAsia="FS" w:hAnsi="TNR" w:cs="TNR"/>
          <w:sz w:val="24"/>
          <w:szCs w:val="24"/>
          <w:lang w:eastAsia="zh-CN"/>
        </w:rPr>
        <w:t>比例风险模型，在控制实力不对称度后检验调停者类型对违约风险的风险比（</w:t>
      </w:r>
      <w:r>
        <w:rPr>
          <w:rFonts w:ascii="TNR" w:eastAsia="FS" w:hAnsi="TNR" w:cs="TNR"/>
          <w:sz w:val="24"/>
          <w:szCs w:val="24"/>
          <w:lang w:eastAsia="zh-CN"/>
        </w:rPr>
        <w:t>Hazard Ratio</w:t>
      </w:r>
      <w:r>
        <w:rPr>
          <w:rFonts w:ascii="TNR" w:eastAsia="FS" w:hAnsi="TNR" w:cs="TNR"/>
          <w:sz w:val="24"/>
          <w:szCs w:val="24"/>
          <w:lang w:eastAsia="zh-CN"/>
        </w:rPr>
        <w:t>）。预期方向：偏见调停组的协议基尼系数显著高于中立组（</w:t>
      </w:r>
      <w:r>
        <w:rPr>
          <w:rFonts w:ascii="TNR" w:eastAsia="FS" w:hAnsi="TNR" w:cs="TNR"/>
          <w:sz w:val="24"/>
          <w:szCs w:val="24"/>
          <w:lang w:eastAsia="zh-CN"/>
        </w:rPr>
        <w:t>p&lt;0.05</w:t>
      </w:r>
      <w:r>
        <w:rPr>
          <w:rFonts w:ascii="TNR" w:eastAsia="FS" w:hAnsi="TNR" w:cs="TNR"/>
          <w:sz w:val="24"/>
          <w:szCs w:val="24"/>
          <w:lang w:eastAsia="zh-CN"/>
        </w:rPr>
        <w:t>，</w:t>
      </w:r>
      <w:r>
        <w:rPr>
          <w:rFonts w:ascii="TNR" w:eastAsia="FS" w:hAnsi="TNR" w:cs="TNR"/>
          <w:sz w:val="24"/>
          <w:szCs w:val="24"/>
        </w:rPr>
        <w:t>η</w:t>
      </w:r>
      <w:r>
        <w:rPr>
          <w:rFonts w:ascii="TNR" w:eastAsia="FS" w:hAnsi="TNR" w:cs="TNR"/>
          <w:sz w:val="24"/>
          <w:szCs w:val="24"/>
          <w:lang w:eastAsia="zh-CN"/>
        </w:rPr>
        <w:t>²≥0.06</w:t>
      </w:r>
      <w:r>
        <w:rPr>
          <w:rFonts w:ascii="TNR" w:eastAsia="FS" w:hAnsi="TNR" w:cs="TNR"/>
          <w:sz w:val="24"/>
          <w:szCs w:val="24"/>
          <w:lang w:eastAsia="zh-CN"/>
        </w:rPr>
        <w:t>），且偏见调停组的协议违约风险显著更高（</w:t>
      </w:r>
      <w:r>
        <w:rPr>
          <w:rFonts w:ascii="TNR" w:eastAsia="FS" w:hAnsi="TNR" w:cs="TNR"/>
          <w:sz w:val="24"/>
          <w:szCs w:val="24"/>
          <w:lang w:eastAsia="zh-CN"/>
        </w:rPr>
        <w:t>HR&gt;1.5</w:t>
      </w:r>
      <w:r>
        <w:rPr>
          <w:rFonts w:ascii="TNR" w:eastAsia="FS" w:hAnsi="TNR" w:cs="TNR"/>
          <w:sz w:val="24"/>
          <w:szCs w:val="24"/>
          <w:lang w:eastAsia="zh-CN"/>
        </w:rPr>
        <w:t>，</w:t>
      </w:r>
      <w:r>
        <w:rPr>
          <w:rFonts w:ascii="TNR" w:eastAsia="FS" w:hAnsi="TNR" w:cs="TNR"/>
          <w:sz w:val="24"/>
          <w:szCs w:val="24"/>
          <w:lang w:eastAsia="zh-CN"/>
        </w:rPr>
        <w:t>p&lt;0.05</w:t>
      </w:r>
      <w:r>
        <w:rPr>
          <w:rFonts w:ascii="TNR" w:eastAsia="FS" w:hAnsi="TNR" w:cs="TNR"/>
          <w:sz w:val="24"/>
          <w:szCs w:val="24"/>
          <w:lang w:eastAsia="zh-CN"/>
        </w:rPr>
        <w:t>）。</w:t>
      </w:r>
    </w:p>
    <w:p w14:paraId="343E4C64" w14:textId="77777777" w:rsidR="00142F43" w:rsidRDefault="00000000">
      <w:pPr>
        <w:rPr>
          <w:lang w:eastAsia="zh-CN"/>
        </w:rPr>
      </w:pPr>
      <w:r>
        <w:rPr>
          <w:rFonts w:ascii="TNR" w:eastAsia="FS" w:hAnsi="TNR" w:cs="TNR"/>
          <w:sz w:val="24"/>
          <w:szCs w:val="24"/>
        </w:rPr>
        <w:t>假设</w:t>
      </w:r>
      <w:r>
        <w:rPr>
          <w:rFonts w:ascii="TNR" w:eastAsia="FS" w:hAnsi="TNR" w:cs="TNR"/>
          <w:sz w:val="24"/>
          <w:szCs w:val="24"/>
        </w:rPr>
        <w:t>H3</w:t>
      </w:r>
      <w:r>
        <w:rPr>
          <w:rFonts w:ascii="TNR" w:eastAsia="FS" w:hAnsi="TNR" w:cs="TNR"/>
          <w:sz w:val="24"/>
          <w:szCs w:val="24"/>
        </w:rPr>
        <w:t>（附带支付的中介效应）采用</w:t>
      </w:r>
      <w:r>
        <w:rPr>
          <w:rFonts w:ascii="TNR" w:eastAsia="FS" w:hAnsi="TNR" w:cs="TNR"/>
          <w:sz w:val="24"/>
          <w:szCs w:val="24"/>
        </w:rPr>
        <w:t>Bootstrap</w:t>
      </w:r>
      <w:r>
        <w:rPr>
          <w:rFonts w:ascii="TNR" w:eastAsia="FS" w:hAnsi="TNR" w:cs="TNR"/>
          <w:sz w:val="24"/>
          <w:szCs w:val="24"/>
        </w:rPr>
        <w:t>中介效应检验（</w:t>
      </w:r>
      <w:r>
        <w:rPr>
          <w:rFonts w:ascii="TNR" w:eastAsia="FS" w:hAnsi="TNR" w:cs="TNR"/>
          <w:sz w:val="24"/>
          <w:szCs w:val="24"/>
        </w:rPr>
        <w:t>Hayes, 2017; Preacher &amp; Hayes, 2008</w:t>
      </w:r>
      <w:r>
        <w:rPr>
          <w:rFonts w:ascii="TNR" w:eastAsia="FS" w:hAnsi="TNR" w:cs="TNR"/>
          <w:sz w:val="24"/>
          <w:szCs w:val="24"/>
        </w:rPr>
        <w:t>）进行检验。模型路径为：调停者偏见（</w:t>
      </w:r>
      <w:r>
        <w:rPr>
          <w:rFonts w:ascii="TNR" w:eastAsia="FS" w:hAnsi="TNR" w:cs="TNR"/>
          <w:sz w:val="24"/>
          <w:szCs w:val="24"/>
        </w:rPr>
        <w:t>X</w:t>
      </w:r>
      <w:r>
        <w:rPr>
          <w:rFonts w:ascii="TNR" w:eastAsia="FS" w:hAnsi="TNR" w:cs="TNR"/>
          <w:sz w:val="24"/>
          <w:szCs w:val="24"/>
        </w:rPr>
        <w:t>）</w:t>
      </w:r>
      <w:r>
        <w:rPr>
          <w:rFonts w:ascii="TNR" w:eastAsia="FS" w:hAnsi="TNR" w:cs="TNR"/>
          <w:sz w:val="24"/>
          <w:szCs w:val="24"/>
        </w:rPr>
        <w:t>→</w:t>
      </w:r>
      <w:r>
        <w:rPr>
          <w:rFonts w:ascii="TNR" w:eastAsia="FS" w:hAnsi="TNR" w:cs="TNR"/>
          <w:sz w:val="24"/>
          <w:szCs w:val="24"/>
        </w:rPr>
        <w:t>附带支付使用频率</w:t>
      </w:r>
      <w:r>
        <w:rPr>
          <w:rFonts w:ascii="TNR" w:eastAsia="FS" w:hAnsi="TNR" w:cs="TNR"/>
          <w:sz w:val="24"/>
          <w:szCs w:val="24"/>
        </w:rPr>
        <w:t>/</w:t>
      </w:r>
      <w:r>
        <w:rPr>
          <w:rFonts w:ascii="TNR" w:eastAsia="FS" w:hAnsi="TNR" w:cs="TNR"/>
          <w:sz w:val="24"/>
          <w:szCs w:val="24"/>
        </w:rPr>
        <w:t>额度（</w:t>
      </w:r>
      <w:r>
        <w:rPr>
          <w:rFonts w:ascii="TNR" w:eastAsia="FS" w:hAnsi="TNR" w:cs="TNR"/>
          <w:sz w:val="24"/>
          <w:szCs w:val="24"/>
        </w:rPr>
        <w:t>M</w:t>
      </w:r>
      <w:r>
        <w:rPr>
          <w:rFonts w:ascii="TNR" w:eastAsia="FS" w:hAnsi="TNR" w:cs="TNR"/>
          <w:sz w:val="24"/>
          <w:szCs w:val="24"/>
        </w:rPr>
        <w:t>）</w:t>
      </w:r>
      <w:r>
        <w:rPr>
          <w:rFonts w:ascii="TNR" w:eastAsia="FS" w:hAnsi="TNR" w:cs="TNR"/>
          <w:sz w:val="24"/>
          <w:szCs w:val="24"/>
        </w:rPr>
        <w:t>→</w:t>
      </w:r>
      <w:r>
        <w:rPr>
          <w:rFonts w:ascii="TNR" w:eastAsia="FS" w:hAnsi="TNR" w:cs="TNR"/>
          <w:sz w:val="24"/>
          <w:szCs w:val="24"/>
        </w:rPr>
        <w:t>协议达成（</w:t>
      </w:r>
      <w:r>
        <w:rPr>
          <w:rFonts w:ascii="TNR" w:eastAsia="FS" w:hAnsi="TNR" w:cs="TNR"/>
          <w:sz w:val="24"/>
          <w:szCs w:val="24"/>
        </w:rPr>
        <w:t>Y</w:t>
      </w:r>
      <w:r>
        <w:rPr>
          <w:rFonts w:ascii="TNR" w:eastAsia="FS" w:hAnsi="TNR" w:cs="TNR"/>
          <w:sz w:val="24"/>
          <w:szCs w:val="24"/>
        </w:rPr>
        <w:t>）。</w:t>
      </w:r>
      <w:r>
        <w:rPr>
          <w:rFonts w:ascii="TNR" w:eastAsia="FS" w:hAnsi="TNR" w:cs="TNR"/>
          <w:sz w:val="24"/>
          <w:szCs w:val="24"/>
          <w:lang w:eastAsia="zh-CN"/>
        </w:rPr>
        <w:t>间接效应（</w:t>
      </w:r>
      <w:r>
        <w:rPr>
          <w:rFonts w:ascii="TNR" w:eastAsia="FS" w:hAnsi="TNR" w:cs="TNR"/>
          <w:sz w:val="24"/>
          <w:szCs w:val="24"/>
          <w:lang w:eastAsia="zh-CN"/>
        </w:rPr>
        <w:t>a×b</w:t>
      </w:r>
      <w:r>
        <w:rPr>
          <w:rFonts w:ascii="TNR" w:eastAsia="FS" w:hAnsi="TNR" w:cs="TNR"/>
          <w:sz w:val="24"/>
          <w:szCs w:val="24"/>
          <w:lang w:eastAsia="zh-CN"/>
        </w:rPr>
        <w:t>）的统计显著性通过</w:t>
      </w:r>
      <w:r>
        <w:rPr>
          <w:rFonts w:ascii="TNR" w:eastAsia="FS" w:hAnsi="TNR" w:cs="TNR"/>
          <w:sz w:val="24"/>
          <w:szCs w:val="24"/>
          <w:lang w:eastAsia="zh-CN"/>
        </w:rPr>
        <w:t>5000</w:t>
      </w:r>
      <w:r>
        <w:rPr>
          <w:rFonts w:ascii="TNR" w:eastAsia="FS" w:hAnsi="TNR" w:cs="TNR"/>
          <w:sz w:val="24"/>
          <w:szCs w:val="24"/>
          <w:lang w:eastAsia="zh-CN"/>
        </w:rPr>
        <w:t>次重抽样的偏差校正百分位</w:t>
      </w:r>
      <w:r>
        <w:rPr>
          <w:rFonts w:ascii="TNR" w:eastAsia="FS" w:hAnsi="TNR" w:cs="TNR"/>
          <w:sz w:val="24"/>
          <w:szCs w:val="24"/>
          <w:lang w:eastAsia="zh-CN"/>
        </w:rPr>
        <w:t>Bootstrap</w:t>
      </w:r>
      <w:r>
        <w:rPr>
          <w:rFonts w:ascii="TNR" w:eastAsia="FS" w:hAnsi="TNR" w:cs="TNR"/>
          <w:sz w:val="24"/>
          <w:szCs w:val="24"/>
          <w:lang w:eastAsia="zh-CN"/>
        </w:rPr>
        <w:t>置信区间进行判断。若间接效应的</w:t>
      </w:r>
      <w:r>
        <w:rPr>
          <w:rFonts w:ascii="TNR" w:eastAsia="FS" w:hAnsi="TNR" w:cs="TNR"/>
          <w:sz w:val="24"/>
          <w:szCs w:val="24"/>
          <w:lang w:eastAsia="zh-CN"/>
        </w:rPr>
        <w:t>95%</w:t>
      </w:r>
      <w:r>
        <w:rPr>
          <w:rFonts w:ascii="TNR" w:eastAsia="FS" w:hAnsi="TNR" w:cs="TNR"/>
          <w:sz w:val="24"/>
          <w:szCs w:val="24"/>
          <w:lang w:eastAsia="zh-CN"/>
        </w:rPr>
        <w:t>置信区间不包含</w:t>
      </w:r>
      <w:r>
        <w:rPr>
          <w:rFonts w:ascii="TNR" w:eastAsia="FS" w:hAnsi="TNR" w:cs="TNR"/>
          <w:sz w:val="24"/>
          <w:szCs w:val="24"/>
          <w:lang w:eastAsia="zh-CN"/>
        </w:rPr>
        <w:t>0</w:t>
      </w:r>
      <w:r>
        <w:rPr>
          <w:rFonts w:ascii="TNR" w:eastAsia="FS" w:hAnsi="TNR" w:cs="TNR"/>
          <w:sz w:val="24"/>
          <w:szCs w:val="24"/>
          <w:lang w:eastAsia="zh-CN"/>
        </w:rPr>
        <w:t>，则中介效应在</w:t>
      </w:r>
      <w:r>
        <w:rPr>
          <w:rFonts w:ascii="TNR" w:eastAsia="FS" w:hAnsi="TNR" w:cs="TNR"/>
          <w:sz w:val="24"/>
          <w:szCs w:val="24"/>
        </w:rPr>
        <w:t>α</w:t>
      </w:r>
      <w:r>
        <w:rPr>
          <w:rFonts w:ascii="TNR" w:eastAsia="FS" w:hAnsi="TNR" w:cs="TNR"/>
          <w:sz w:val="24"/>
          <w:szCs w:val="24"/>
          <w:lang w:eastAsia="zh-CN"/>
        </w:rPr>
        <w:t>=0.05</w:t>
      </w:r>
      <w:r>
        <w:rPr>
          <w:rFonts w:ascii="TNR" w:eastAsia="FS" w:hAnsi="TNR" w:cs="TNR"/>
          <w:sz w:val="24"/>
          <w:szCs w:val="24"/>
          <w:lang w:eastAsia="zh-CN"/>
        </w:rPr>
        <w:t>水平上具有统计显著性。此外，在中介分析的基础上，通过运行禁用附带支付的对照实验进行机制验证</w:t>
      </w:r>
      <w:r>
        <w:rPr>
          <w:rFonts w:ascii="TNR" w:eastAsia="FS" w:hAnsi="TNR" w:cs="TNR"/>
          <w:sz w:val="24"/>
          <w:szCs w:val="24"/>
          <w:lang w:eastAsia="zh-CN"/>
        </w:rPr>
        <w:t>—</w:t>
      </w:r>
      <w:r>
        <w:rPr>
          <w:rFonts w:ascii="TNR" w:eastAsia="FS" w:hAnsi="TNR" w:cs="TNR"/>
          <w:sz w:val="24"/>
          <w:szCs w:val="24"/>
          <w:lang w:eastAsia="zh-CN"/>
        </w:rPr>
        <w:lastRenderedPageBreak/>
        <w:t>—</w:t>
      </w:r>
      <w:r>
        <w:rPr>
          <w:rFonts w:ascii="TNR" w:eastAsia="FS" w:hAnsi="TNR" w:cs="TNR"/>
          <w:sz w:val="24"/>
          <w:szCs w:val="24"/>
          <w:lang w:eastAsia="zh-CN"/>
        </w:rPr>
        <w:t>如果附带支付确实在偏见调停和协议达成之间起完全中介作用，则禁用后偏见调停的协议率应下降到接近中立调停的水平。</w:t>
      </w:r>
    </w:p>
    <w:p w14:paraId="55055C4A" w14:textId="77777777" w:rsidR="00142F43" w:rsidRDefault="00000000">
      <w:pPr>
        <w:rPr>
          <w:lang w:eastAsia="zh-CN"/>
        </w:rPr>
      </w:pPr>
      <w:r>
        <w:rPr>
          <w:rFonts w:ascii="TNR" w:eastAsia="FS" w:hAnsi="TNR" w:cs="TNR"/>
          <w:sz w:val="24"/>
          <w:szCs w:val="24"/>
          <w:lang w:eastAsia="zh-CN"/>
        </w:rPr>
        <w:t>假设</w:t>
      </w:r>
      <w:r>
        <w:rPr>
          <w:rFonts w:ascii="TNR" w:eastAsia="FS" w:hAnsi="TNR" w:cs="TNR"/>
          <w:sz w:val="24"/>
          <w:szCs w:val="24"/>
          <w:lang w:eastAsia="zh-CN"/>
        </w:rPr>
        <w:t>H4</w:t>
      </w:r>
      <w:r>
        <w:rPr>
          <w:rFonts w:ascii="TNR" w:eastAsia="FS" w:hAnsi="TNR" w:cs="TNR"/>
          <w:sz w:val="24"/>
          <w:szCs w:val="24"/>
          <w:lang w:eastAsia="zh-CN"/>
        </w:rPr>
        <w:t>（不对称度的调节效应）采用双因素方差分析（调停者类型</w:t>
      </w:r>
      <w:r>
        <w:rPr>
          <w:rFonts w:ascii="TNR" w:eastAsia="FS" w:hAnsi="TNR" w:cs="TNR"/>
          <w:sz w:val="24"/>
          <w:szCs w:val="24"/>
          <w:lang w:eastAsia="zh-CN"/>
        </w:rPr>
        <w:t>×</w:t>
      </w:r>
      <w:r>
        <w:rPr>
          <w:rFonts w:ascii="TNR" w:eastAsia="FS" w:hAnsi="TNR" w:cs="TNR"/>
          <w:sz w:val="24"/>
          <w:szCs w:val="24"/>
          <w:lang w:eastAsia="zh-CN"/>
        </w:rPr>
        <w:t>实力不对称度）进行检验，重点考察交互项的统计显著性。若交互项显著（</w:t>
      </w:r>
      <w:r>
        <w:rPr>
          <w:rFonts w:ascii="TNR" w:eastAsia="FS" w:hAnsi="TNR" w:cs="TNR"/>
          <w:sz w:val="24"/>
          <w:szCs w:val="24"/>
          <w:lang w:eastAsia="zh-CN"/>
        </w:rPr>
        <w:t>p&lt;0.05</w:t>
      </w:r>
      <w:r>
        <w:rPr>
          <w:rFonts w:ascii="TNR" w:eastAsia="FS" w:hAnsi="TNR" w:cs="TNR"/>
          <w:sz w:val="24"/>
          <w:szCs w:val="24"/>
          <w:lang w:eastAsia="zh-CN"/>
        </w:rPr>
        <w:t>），则分别在高低不对称条件下进行简单效应分析，比较三种调停类型内的协议率差异。预期</w:t>
      </w:r>
      <w:r>
        <w:rPr>
          <w:rFonts w:ascii="TNR" w:eastAsia="FS" w:hAnsi="TNR" w:cs="TNR"/>
          <w:sz w:val="24"/>
          <w:szCs w:val="24"/>
          <w:lang w:eastAsia="zh-CN"/>
        </w:rPr>
        <w:t>H4</w:t>
      </w:r>
      <w:r>
        <w:rPr>
          <w:rFonts w:ascii="TNR" w:eastAsia="FS" w:hAnsi="TNR" w:cs="TNR"/>
          <w:sz w:val="24"/>
          <w:szCs w:val="24"/>
          <w:lang w:eastAsia="zh-CN"/>
        </w:rPr>
        <w:t>在低不对称条件下不同调停者之间的协议率差异不显著，而在高不对称条件下亲强组的协议率显著高于其他两组。</w:t>
      </w:r>
    </w:p>
    <w:p w14:paraId="49B2530E" w14:textId="77777777" w:rsidR="00142F43" w:rsidRDefault="00000000">
      <w:pPr>
        <w:rPr>
          <w:lang w:eastAsia="zh-CN"/>
        </w:rPr>
      </w:pPr>
      <w:r>
        <w:rPr>
          <w:rFonts w:ascii="TNR" w:eastAsia="KT" w:hAnsi="TNR" w:cs="TNR"/>
          <w:sz w:val="28"/>
          <w:szCs w:val="28"/>
          <w:lang w:eastAsia="zh-CN"/>
        </w:rPr>
        <w:t>（三）样本量与统计功效分析</w:t>
      </w:r>
    </w:p>
    <w:p w14:paraId="59292790" w14:textId="77777777" w:rsidR="00142F43" w:rsidRDefault="00000000">
      <w:pPr>
        <w:rPr>
          <w:lang w:eastAsia="zh-CN"/>
        </w:rPr>
      </w:pPr>
      <w:r>
        <w:rPr>
          <w:rFonts w:ascii="TNR" w:eastAsia="FS" w:hAnsi="TNR" w:cs="TNR"/>
          <w:sz w:val="24"/>
          <w:szCs w:val="24"/>
          <w:lang w:eastAsia="zh-CN"/>
        </w:rPr>
        <w:t>参考相近领域模拟研究的效应量估计（</w:t>
      </w:r>
      <w:r>
        <w:rPr>
          <w:rFonts w:ascii="TNR" w:eastAsia="FS" w:hAnsi="TNR" w:cs="TNR"/>
          <w:sz w:val="24"/>
          <w:szCs w:val="24"/>
          <w:lang w:eastAsia="zh-CN"/>
        </w:rPr>
        <w:t>Chawla</w:t>
      </w:r>
      <w:r>
        <w:rPr>
          <w:rFonts w:ascii="TNR" w:eastAsia="FS" w:hAnsi="TNR" w:cs="TNR"/>
          <w:sz w:val="24"/>
          <w:szCs w:val="24"/>
          <w:lang w:eastAsia="zh-CN"/>
        </w:rPr>
        <w:t>等</w:t>
      </w:r>
      <w:r>
        <w:rPr>
          <w:rFonts w:ascii="TNR" w:eastAsia="FS" w:hAnsi="TNR" w:cs="TNR"/>
          <w:sz w:val="24"/>
          <w:szCs w:val="24"/>
          <w:lang w:eastAsia="zh-CN"/>
        </w:rPr>
        <w:t>, 2025; Raman</w:t>
      </w:r>
      <w:r>
        <w:rPr>
          <w:rFonts w:ascii="TNR" w:eastAsia="FS" w:hAnsi="TNR" w:cs="TNR"/>
          <w:sz w:val="24"/>
          <w:szCs w:val="24"/>
          <w:lang w:eastAsia="zh-CN"/>
        </w:rPr>
        <w:t>等</w:t>
      </w:r>
      <w:r>
        <w:rPr>
          <w:rFonts w:ascii="TNR" w:eastAsia="FS" w:hAnsi="TNR" w:cs="TNR"/>
          <w:sz w:val="24"/>
          <w:szCs w:val="24"/>
          <w:lang w:eastAsia="zh-CN"/>
        </w:rPr>
        <w:t>, 2025</w:t>
      </w:r>
      <w:r>
        <w:rPr>
          <w:rFonts w:ascii="TNR" w:eastAsia="FS" w:hAnsi="TNR" w:cs="TNR"/>
          <w:sz w:val="24"/>
          <w:szCs w:val="24"/>
          <w:lang w:eastAsia="zh-CN"/>
        </w:rPr>
        <w:t>），偏见调停主效应的预期效应量为中等水平（</w:t>
      </w:r>
      <w:r>
        <w:rPr>
          <w:rFonts w:ascii="TNR" w:eastAsia="FS" w:hAnsi="TNR" w:cs="TNR"/>
          <w:sz w:val="24"/>
          <w:szCs w:val="24"/>
          <w:lang w:eastAsia="zh-CN"/>
        </w:rPr>
        <w:t>Cohen's d≈0.5-0.6</w:t>
      </w:r>
      <w:r>
        <w:rPr>
          <w:rFonts w:ascii="TNR" w:eastAsia="FS" w:hAnsi="TNR" w:cs="TNR"/>
          <w:sz w:val="24"/>
          <w:szCs w:val="24"/>
          <w:lang w:eastAsia="zh-CN"/>
        </w:rPr>
        <w:t>）。在</w:t>
      </w:r>
      <w:r>
        <w:rPr>
          <w:rFonts w:ascii="TNR" w:eastAsia="FS" w:hAnsi="TNR" w:cs="TNR"/>
          <w:sz w:val="24"/>
          <w:szCs w:val="24"/>
        </w:rPr>
        <w:t>α</w:t>
      </w:r>
      <w:r>
        <w:rPr>
          <w:rFonts w:ascii="TNR" w:eastAsia="FS" w:hAnsi="TNR" w:cs="TNR"/>
          <w:sz w:val="24"/>
          <w:szCs w:val="24"/>
          <w:lang w:eastAsia="zh-CN"/>
        </w:rPr>
        <w:t>=0.05</w:t>
      </w:r>
      <w:r>
        <w:rPr>
          <w:rFonts w:ascii="TNR" w:eastAsia="FS" w:hAnsi="TNR" w:cs="TNR"/>
          <w:sz w:val="24"/>
          <w:szCs w:val="24"/>
          <w:lang w:eastAsia="zh-CN"/>
        </w:rPr>
        <w:t>、统计功效</w:t>
      </w:r>
      <w:r>
        <w:rPr>
          <w:rFonts w:ascii="TNR" w:eastAsia="FS" w:hAnsi="TNR" w:cs="TNR"/>
          <w:sz w:val="24"/>
          <w:szCs w:val="24"/>
          <w:lang w:eastAsia="zh-CN"/>
        </w:rPr>
        <w:t>1-</w:t>
      </w:r>
      <w:r>
        <w:rPr>
          <w:rFonts w:ascii="TNR" w:eastAsia="FS" w:hAnsi="TNR" w:cs="TNR"/>
          <w:sz w:val="24"/>
          <w:szCs w:val="24"/>
        </w:rPr>
        <w:t>β</w:t>
      </w:r>
      <w:r>
        <w:rPr>
          <w:rFonts w:ascii="TNR" w:eastAsia="FS" w:hAnsi="TNR" w:cs="TNR"/>
          <w:sz w:val="24"/>
          <w:szCs w:val="24"/>
          <w:lang w:eastAsia="zh-CN"/>
        </w:rPr>
        <w:t>=0.80</w:t>
      </w:r>
      <w:r>
        <w:rPr>
          <w:rFonts w:ascii="TNR" w:eastAsia="FS" w:hAnsi="TNR" w:cs="TNR"/>
          <w:sz w:val="24"/>
          <w:szCs w:val="24"/>
          <w:lang w:eastAsia="zh-CN"/>
        </w:rPr>
        <w:t>的条件下，每组所需样本量为</w:t>
      </w:r>
      <w:r>
        <w:rPr>
          <w:rFonts w:ascii="TNR" w:eastAsia="FS" w:hAnsi="TNR" w:cs="TNR"/>
          <w:sz w:val="24"/>
          <w:szCs w:val="24"/>
          <w:lang w:eastAsia="zh-CN"/>
        </w:rPr>
        <w:t>25</w:t>
      </w:r>
      <w:r>
        <w:rPr>
          <w:rFonts w:ascii="TNR" w:eastAsia="FS" w:hAnsi="TNR" w:cs="TNR"/>
          <w:sz w:val="24"/>
          <w:szCs w:val="24"/>
          <w:lang w:eastAsia="zh-CN"/>
        </w:rPr>
        <w:t>至</w:t>
      </w:r>
      <w:r>
        <w:rPr>
          <w:rFonts w:ascii="TNR" w:eastAsia="FS" w:hAnsi="TNR" w:cs="TNR"/>
          <w:sz w:val="24"/>
          <w:szCs w:val="24"/>
          <w:lang w:eastAsia="zh-CN"/>
        </w:rPr>
        <w:t>30</w:t>
      </w:r>
      <w:r>
        <w:rPr>
          <w:rFonts w:ascii="TNR" w:eastAsia="FS" w:hAnsi="TNR" w:cs="TNR"/>
          <w:sz w:val="24"/>
          <w:szCs w:val="24"/>
          <w:lang w:eastAsia="zh-CN"/>
        </w:rPr>
        <w:t>次独立实验。本研究全因子六组各设定</w:t>
      </w:r>
      <w:r>
        <w:rPr>
          <w:rFonts w:ascii="TNR" w:eastAsia="FS" w:hAnsi="TNR" w:cs="TNR"/>
          <w:sz w:val="24"/>
          <w:szCs w:val="24"/>
          <w:lang w:eastAsia="zh-CN"/>
        </w:rPr>
        <w:t>30</w:t>
      </w:r>
      <w:r>
        <w:rPr>
          <w:rFonts w:ascii="TNR" w:eastAsia="FS" w:hAnsi="TNR" w:cs="TNR"/>
          <w:sz w:val="24"/>
          <w:szCs w:val="24"/>
          <w:lang w:eastAsia="zh-CN"/>
        </w:rPr>
        <w:t>次，加戴维营参照组</w:t>
      </w:r>
      <w:r>
        <w:rPr>
          <w:rFonts w:ascii="TNR" w:eastAsia="FS" w:hAnsi="TNR" w:cs="TNR"/>
          <w:sz w:val="24"/>
          <w:szCs w:val="24"/>
          <w:lang w:eastAsia="zh-CN"/>
        </w:rPr>
        <w:t>30</w:t>
      </w:r>
      <w:r>
        <w:rPr>
          <w:rFonts w:ascii="TNR" w:eastAsia="FS" w:hAnsi="TNR" w:cs="TNR"/>
          <w:sz w:val="24"/>
          <w:szCs w:val="24"/>
          <w:lang w:eastAsia="zh-CN"/>
        </w:rPr>
        <w:t>次，合计有效样本量</w:t>
      </w:r>
      <w:r>
        <w:rPr>
          <w:rFonts w:ascii="TNR" w:eastAsia="FS" w:hAnsi="TNR" w:cs="TNR"/>
          <w:sz w:val="24"/>
          <w:szCs w:val="24"/>
          <w:lang w:eastAsia="zh-CN"/>
        </w:rPr>
        <w:t>210</w:t>
      </w:r>
      <w:r>
        <w:rPr>
          <w:rFonts w:ascii="TNR" w:eastAsia="FS" w:hAnsi="TNR" w:cs="TNR"/>
          <w:sz w:val="24"/>
          <w:szCs w:val="24"/>
          <w:lang w:eastAsia="zh-CN"/>
        </w:rPr>
        <w:t>次，足以检测中等水平的效应量。实验完成后将进行事后功效分析（</w:t>
      </w:r>
      <w:r>
        <w:rPr>
          <w:rFonts w:ascii="TNR" w:eastAsia="FS" w:hAnsi="TNR" w:cs="TNR"/>
          <w:sz w:val="24"/>
          <w:szCs w:val="24"/>
          <w:lang w:eastAsia="zh-CN"/>
        </w:rPr>
        <w:t>Post-hoc Power Analysis</w:t>
      </w:r>
      <w:r>
        <w:rPr>
          <w:rFonts w:ascii="TNR" w:eastAsia="FS" w:hAnsi="TNR" w:cs="TNR"/>
          <w:sz w:val="24"/>
          <w:szCs w:val="24"/>
          <w:lang w:eastAsia="zh-CN"/>
        </w:rPr>
        <w:t>），以评估实际检测到预期效应量的灵敏度。对于中介效应检验，根据模拟研究的</w:t>
      </w:r>
      <w:r>
        <w:rPr>
          <w:rFonts w:ascii="TNR" w:eastAsia="FS" w:hAnsi="TNR" w:cs="TNR"/>
          <w:sz w:val="24"/>
          <w:szCs w:val="24"/>
          <w:lang w:eastAsia="zh-CN"/>
        </w:rPr>
        <w:t>Bootstrap</w:t>
      </w:r>
      <w:r>
        <w:rPr>
          <w:rFonts w:ascii="TNR" w:eastAsia="FS" w:hAnsi="TNR" w:cs="TNR"/>
          <w:sz w:val="24"/>
          <w:szCs w:val="24"/>
          <w:lang w:eastAsia="zh-CN"/>
        </w:rPr>
        <w:t>检验经验（</w:t>
      </w:r>
      <w:r>
        <w:rPr>
          <w:rFonts w:ascii="TNR" w:eastAsia="FS" w:hAnsi="TNR" w:cs="TNR"/>
          <w:sz w:val="24"/>
          <w:szCs w:val="24"/>
          <w:lang w:eastAsia="zh-CN"/>
        </w:rPr>
        <w:t>Fritz &amp; MacKinnon, 2007</w:t>
      </w:r>
      <w:r>
        <w:rPr>
          <w:rFonts w:ascii="TNR" w:eastAsia="FS" w:hAnsi="TNR" w:cs="TNR"/>
          <w:sz w:val="24"/>
          <w:szCs w:val="24"/>
          <w:lang w:eastAsia="zh-CN"/>
        </w:rPr>
        <w:t>），样本量在</w:t>
      </w:r>
      <w:r>
        <w:rPr>
          <w:rFonts w:ascii="TNR" w:eastAsia="FS" w:hAnsi="TNR" w:cs="TNR"/>
          <w:sz w:val="24"/>
          <w:szCs w:val="24"/>
          <w:lang w:eastAsia="zh-CN"/>
        </w:rPr>
        <w:t>100</w:t>
      </w:r>
      <w:r>
        <w:rPr>
          <w:rFonts w:ascii="TNR" w:eastAsia="FS" w:hAnsi="TNR" w:cs="TNR"/>
          <w:sz w:val="24"/>
          <w:szCs w:val="24"/>
          <w:lang w:eastAsia="zh-CN"/>
        </w:rPr>
        <w:t>次以上时可实现足够统计功效，本研究</w:t>
      </w:r>
      <w:r>
        <w:rPr>
          <w:rFonts w:ascii="TNR" w:eastAsia="FS" w:hAnsi="TNR" w:cs="TNR"/>
          <w:sz w:val="24"/>
          <w:szCs w:val="24"/>
          <w:lang w:eastAsia="zh-CN"/>
        </w:rPr>
        <w:t>210</w:t>
      </w:r>
      <w:r>
        <w:rPr>
          <w:rFonts w:ascii="TNR" w:eastAsia="FS" w:hAnsi="TNR" w:cs="TNR"/>
          <w:sz w:val="24"/>
          <w:szCs w:val="24"/>
          <w:lang w:eastAsia="zh-CN"/>
        </w:rPr>
        <w:t>次的总体本量满足这一要求。</w:t>
      </w:r>
    </w:p>
    <w:p w14:paraId="1ADF933C" w14:textId="77777777" w:rsidR="00142F43" w:rsidRDefault="00000000">
      <w:pPr>
        <w:rPr>
          <w:lang w:eastAsia="zh-CN"/>
        </w:rPr>
      </w:pPr>
      <w:r>
        <w:rPr>
          <w:lang w:eastAsia="zh-CN"/>
        </w:rPr>
        <w:br w:type="page"/>
      </w:r>
    </w:p>
    <w:p w14:paraId="0E20290F" w14:textId="77777777" w:rsidR="00142F43" w:rsidRDefault="00000000">
      <w:pPr>
        <w:jc w:val="center"/>
        <w:rPr>
          <w:lang w:eastAsia="zh-CN"/>
        </w:rPr>
      </w:pPr>
      <w:r>
        <w:rPr>
          <w:rFonts w:ascii="TNR" w:eastAsia="SH" w:hAnsi="TNR" w:cs="TNR"/>
          <w:b/>
          <w:sz w:val="32"/>
          <w:szCs w:val="32"/>
          <w:lang w:eastAsia="zh-CN"/>
        </w:rPr>
        <w:lastRenderedPageBreak/>
        <w:t>七、实验流程</w:t>
      </w:r>
    </w:p>
    <w:p w14:paraId="02D3EA23" w14:textId="77777777" w:rsidR="00142F43" w:rsidRDefault="00000000">
      <w:pPr>
        <w:rPr>
          <w:lang w:eastAsia="zh-CN"/>
        </w:rPr>
      </w:pPr>
      <w:r>
        <w:rPr>
          <w:rFonts w:ascii="TNR" w:eastAsia="KT" w:hAnsi="TNR" w:cs="TNR"/>
          <w:sz w:val="28"/>
          <w:szCs w:val="28"/>
          <w:lang w:eastAsia="zh-CN"/>
        </w:rPr>
        <w:t>（一）</w:t>
      </w:r>
      <w:r>
        <w:rPr>
          <w:rFonts w:ascii="TNR" w:eastAsia="KT" w:hAnsi="TNR" w:cs="TNR"/>
          <w:sz w:val="28"/>
          <w:szCs w:val="28"/>
          <w:lang w:eastAsia="zh-CN"/>
        </w:rPr>
        <w:t>Phase 1</w:t>
      </w:r>
      <w:r>
        <w:rPr>
          <w:rFonts w:ascii="TNR" w:eastAsia="KT" w:hAnsi="TNR" w:cs="TNR"/>
          <w:sz w:val="28"/>
          <w:szCs w:val="28"/>
          <w:lang w:eastAsia="zh-CN"/>
        </w:rPr>
        <w:t>：预实验与参数校准</w:t>
      </w:r>
    </w:p>
    <w:p w14:paraId="16C9F159" w14:textId="77777777" w:rsidR="00142F43" w:rsidRDefault="00000000">
      <w:pPr>
        <w:rPr>
          <w:lang w:eastAsia="zh-CN"/>
        </w:rPr>
      </w:pPr>
      <w:r>
        <w:rPr>
          <w:rFonts w:ascii="TNR" w:eastAsia="FS" w:hAnsi="TNR" w:cs="TNR"/>
          <w:sz w:val="24"/>
          <w:szCs w:val="24"/>
          <w:lang w:eastAsia="zh-CN"/>
        </w:rPr>
        <w:t>六个条件组各运行</w:t>
      </w:r>
      <w:r>
        <w:rPr>
          <w:rFonts w:ascii="TNR" w:eastAsia="FS" w:hAnsi="TNR" w:cs="TNR"/>
          <w:sz w:val="24"/>
          <w:szCs w:val="24"/>
          <w:lang w:eastAsia="zh-CN"/>
        </w:rPr>
        <w:t>5</w:t>
      </w:r>
      <w:r>
        <w:rPr>
          <w:rFonts w:ascii="TNR" w:eastAsia="FS" w:hAnsi="TNR" w:cs="TNR"/>
          <w:sz w:val="24"/>
          <w:szCs w:val="24"/>
          <w:lang w:eastAsia="zh-CN"/>
        </w:rPr>
        <w:t>次预实验，加戴维营参照组</w:t>
      </w:r>
      <w:r>
        <w:rPr>
          <w:rFonts w:ascii="TNR" w:eastAsia="FS" w:hAnsi="TNR" w:cs="TNR"/>
          <w:sz w:val="24"/>
          <w:szCs w:val="24"/>
          <w:lang w:eastAsia="zh-CN"/>
        </w:rPr>
        <w:t>5</w:t>
      </w:r>
      <w:r>
        <w:rPr>
          <w:rFonts w:ascii="TNR" w:eastAsia="FS" w:hAnsi="TNR" w:cs="TNR"/>
          <w:sz w:val="24"/>
          <w:szCs w:val="24"/>
          <w:lang w:eastAsia="zh-CN"/>
        </w:rPr>
        <w:t>次，共计</w:t>
      </w:r>
      <w:r>
        <w:rPr>
          <w:rFonts w:ascii="TNR" w:eastAsia="FS" w:hAnsi="TNR" w:cs="TNR"/>
          <w:sz w:val="24"/>
          <w:szCs w:val="24"/>
          <w:lang w:eastAsia="zh-CN"/>
        </w:rPr>
        <w:t>35</w:t>
      </w:r>
      <w:r>
        <w:rPr>
          <w:rFonts w:ascii="TNR" w:eastAsia="FS" w:hAnsi="TNR" w:cs="TNR"/>
          <w:sz w:val="24"/>
          <w:szCs w:val="24"/>
          <w:lang w:eastAsia="zh-CN"/>
        </w:rPr>
        <w:t>次。预实验的核心任务包括：（</w:t>
      </w:r>
      <w:r>
        <w:rPr>
          <w:rFonts w:ascii="TNR" w:eastAsia="FS" w:hAnsi="TNR" w:cs="TNR"/>
          <w:sz w:val="24"/>
          <w:szCs w:val="24"/>
          <w:lang w:eastAsia="zh-CN"/>
        </w:rPr>
        <w:t>1</w:t>
      </w:r>
      <w:r>
        <w:rPr>
          <w:rFonts w:ascii="TNR" w:eastAsia="FS" w:hAnsi="TNR" w:cs="TNR"/>
          <w:sz w:val="24"/>
          <w:szCs w:val="24"/>
          <w:lang w:eastAsia="zh-CN"/>
        </w:rPr>
        <w:t>）验证提示词是否能够有效驱动各智能体按照预期角色行动</w:t>
      </w:r>
      <w:r>
        <w:rPr>
          <w:rFonts w:ascii="TNR" w:eastAsia="FS" w:hAnsi="TNR" w:cs="TNR"/>
          <w:sz w:val="24"/>
          <w:szCs w:val="24"/>
          <w:lang w:eastAsia="zh-CN"/>
        </w:rPr>
        <w:t>——</w:t>
      </w:r>
      <w:r>
        <w:rPr>
          <w:rFonts w:ascii="TNR" w:eastAsia="FS" w:hAnsi="TNR" w:cs="TNR"/>
          <w:sz w:val="24"/>
          <w:szCs w:val="24"/>
          <w:lang w:eastAsia="zh-CN"/>
        </w:rPr>
        <w:t>强方是否表现出显著的让步厌恶、弱方是否表现出对不公平协议的高敏感性、调停者提案的偏向方向是否与其</w:t>
      </w:r>
      <w:r>
        <w:rPr>
          <w:rFonts w:ascii="TNR" w:eastAsia="FS" w:hAnsi="TNR" w:cs="TNR"/>
          <w:sz w:val="24"/>
          <w:szCs w:val="24"/>
          <w:lang w:eastAsia="zh-CN"/>
        </w:rPr>
        <w:t>b</w:t>
      </w:r>
      <w:r>
        <w:rPr>
          <w:rFonts w:ascii="TNR" w:eastAsia="FS" w:hAnsi="TNR" w:cs="TNR"/>
          <w:sz w:val="24"/>
          <w:szCs w:val="24"/>
          <w:lang w:eastAsia="zh-CN"/>
        </w:rPr>
        <w:t>值设定一致；（</w:t>
      </w:r>
      <w:r>
        <w:rPr>
          <w:rFonts w:ascii="TNR" w:eastAsia="FS" w:hAnsi="TNR" w:cs="TNR"/>
          <w:sz w:val="24"/>
          <w:szCs w:val="24"/>
          <w:lang w:eastAsia="zh-CN"/>
        </w:rPr>
        <w:t>2</w:t>
      </w:r>
      <w:r>
        <w:rPr>
          <w:rFonts w:ascii="TNR" w:eastAsia="FS" w:hAnsi="TNR" w:cs="TNR"/>
          <w:sz w:val="24"/>
          <w:szCs w:val="24"/>
          <w:lang w:eastAsia="zh-CN"/>
        </w:rPr>
        <w:t>）验证戴维营参照组的模拟结果是否与已知的历史事实在定性层面一致</w:t>
      </w:r>
      <w:r>
        <w:rPr>
          <w:rFonts w:ascii="TNR" w:eastAsia="FS" w:hAnsi="TNR" w:cs="TNR"/>
          <w:sz w:val="24"/>
          <w:szCs w:val="24"/>
          <w:lang w:eastAsia="zh-CN"/>
        </w:rPr>
        <w:t>——</w:t>
      </w:r>
      <w:r>
        <w:rPr>
          <w:rFonts w:ascii="TNR" w:eastAsia="FS" w:hAnsi="TNR" w:cs="TNR"/>
          <w:sz w:val="24"/>
          <w:szCs w:val="24"/>
          <w:lang w:eastAsia="zh-CN"/>
        </w:rPr>
        <w:t>协议率水平、条款偏向方向和附带支付使用模式应大致符合卡特政府外交档案的描述。预实验数据不纳入正式统计分析的样本。评估智能体在预实验阶段的评估结果用于确定正式实验的最终参数配置。</w:t>
      </w:r>
    </w:p>
    <w:p w14:paraId="5C3C9263" w14:textId="77777777" w:rsidR="00142F43" w:rsidRDefault="00000000">
      <w:pPr>
        <w:rPr>
          <w:lang w:eastAsia="zh-CN"/>
        </w:rPr>
      </w:pPr>
      <w:r>
        <w:rPr>
          <w:rFonts w:ascii="TNR" w:eastAsia="KT" w:hAnsi="TNR" w:cs="TNR"/>
          <w:sz w:val="28"/>
          <w:szCs w:val="28"/>
          <w:lang w:eastAsia="zh-CN"/>
        </w:rPr>
        <w:t>（二）</w:t>
      </w:r>
      <w:r>
        <w:rPr>
          <w:rFonts w:ascii="TNR" w:eastAsia="KT" w:hAnsi="TNR" w:cs="TNR"/>
          <w:sz w:val="28"/>
          <w:szCs w:val="28"/>
          <w:lang w:eastAsia="zh-CN"/>
        </w:rPr>
        <w:t>Phase 2</w:t>
      </w:r>
      <w:r>
        <w:rPr>
          <w:rFonts w:ascii="TNR" w:eastAsia="KT" w:hAnsi="TNR" w:cs="TNR"/>
          <w:sz w:val="28"/>
          <w:szCs w:val="28"/>
          <w:lang w:eastAsia="zh-CN"/>
        </w:rPr>
        <w:t>：主实验</w:t>
      </w:r>
      <w:r>
        <w:rPr>
          <w:rFonts w:ascii="TNR" w:eastAsia="KT" w:hAnsi="TNR" w:cs="TNR"/>
          <w:sz w:val="28"/>
          <w:szCs w:val="28"/>
          <w:lang w:eastAsia="zh-CN"/>
        </w:rPr>
        <w:t>——</w:t>
      </w:r>
      <w:r>
        <w:rPr>
          <w:rFonts w:ascii="TNR" w:eastAsia="KT" w:hAnsi="TNR" w:cs="TNR"/>
          <w:sz w:val="28"/>
          <w:szCs w:val="28"/>
          <w:lang w:eastAsia="zh-CN"/>
        </w:rPr>
        <w:t>偏见效应检验</w:t>
      </w:r>
    </w:p>
    <w:p w14:paraId="1AC8D382" w14:textId="77777777" w:rsidR="00142F43" w:rsidRDefault="00000000">
      <w:pPr>
        <w:rPr>
          <w:lang w:eastAsia="zh-CN"/>
        </w:rPr>
      </w:pPr>
      <w:r>
        <w:rPr>
          <w:rFonts w:ascii="TNR" w:eastAsia="FS" w:hAnsi="TNR" w:cs="TNR"/>
          <w:sz w:val="24"/>
          <w:szCs w:val="24"/>
          <w:lang w:eastAsia="zh-CN"/>
        </w:rPr>
        <w:t>六个条件组各运行</w:t>
      </w:r>
      <w:r>
        <w:rPr>
          <w:rFonts w:ascii="TNR" w:eastAsia="FS" w:hAnsi="TNR" w:cs="TNR"/>
          <w:sz w:val="24"/>
          <w:szCs w:val="24"/>
          <w:lang w:eastAsia="zh-CN"/>
        </w:rPr>
        <w:t>30</w:t>
      </w:r>
      <w:r>
        <w:rPr>
          <w:rFonts w:ascii="TNR" w:eastAsia="FS" w:hAnsi="TNR" w:cs="TNR"/>
          <w:sz w:val="24"/>
          <w:szCs w:val="24"/>
          <w:lang w:eastAsia="zh-CN"/>
        </w:rPr>
        <w:t>次正式实验，加戴维营参照组</w:t>
      </w:r>
      <w:r>
        <w:rPr>
          <w:rFonts w:ascii="TNR" w:eastAsia="FS" w:hAnsi="TNR" w:cs="TNR"/>
          <w:sz w:val="24"/>
          <w:szCs w:val="24"/>
          <w:lang w:eastAsia="zh-CN"/>
        </w:rPr>
        <w:t>30</w:t>
      </w:r>
      <w:r>
        <w:rPr>
          <w:rFonts w:ascii="TNR" w:eastAsia="FS" w:hAnsi="TNR" w:cs="TNR"/>
          <w:sz w:val="24"/>
          <w:szCs w:val="24"/>
          <w:lang w:eastAsia="zh-CN"/>
        </w:rPr>
        <w:t>次（单独保留用于案例印证分析），共计</w:t>
      </w:r>
      <w:r>
        <w:rPr>
          <w:rFonts w:ascii="TNR" w:eastAsia="FS" w:hAnsi="TNR" w:cs="TNR"/>
          <w:sz w:val="24"/>
          <w:szCs w:val="24"/>
          <w:lang w:eastAsia="zh-CN"/>
        </w:rPr>
        <w:t>210</w:t>
      </w:r>
      <w:r>
        <w:rPr>
          <w:rFonts w:ascii="TNR" w:eastAsia="FS" w:hAnsi="TNR" w:cs="TNR"/>
          <w:sz w:val="24"/>
          <w:szCs w:val="24"/>
          <w:lang w:eastAsia="zh-CN"/>
        </w:rPr>
        <w:t>次。每</w:t>
      </w:r>
      <w:r>
        <w:rPr>
          <w:rFonts w:ascii="TNR" w:eastAsia="FS" w:hAnsi="TNR" w:cs="TNR"/>
          <w:sz w:val="24"/>
          <w:szCs w:val="24"/>
          <w:lang w:eastAsia="zh-CN"/>
        </w:rPr>
        <w:t>10</w:t>
      </w:r>
      <w:r>
        <w:rPr>
          <w:rFonts w:ascii="TNR" w:eastAsia="FS" w:hAnsi="TNR" w:cs="TNR"/>
          <w:sz w:val="24"/>
          <w:szCs w:val="24"/>
          <w:lang w:eastAsia="zh-CN"/>
        </w:rPr>
        <w:t>次实验执行一次快速迭代评估和参数微调。主实验的数据集用于检验假设</w:t>
      </w:r>
      <w:r>
        <w:rPr>
          <w:rFonts w:ascii="TNR" w:eastAsia="FS" w:hAnsi="TNR" w:cs="TNR"/>
          <w:sz w:val="24"/>
          <w:szCs w:val="24"/>
          <w:lang w:eastAsia="zh-CN"/>
        </w:rPr>
        <w:t>H1</w:t>
      </w:r>
      <w:r>
        <w:rPr>
          <w:rFonts w:ascii="TNR" w:eastAsia="FS" w:hAnsi="TNR" w:cs="TNR"/>
          <w:sz w:val="24"/>
          <w:szCs w:val="24"/>
          <w:lang w:eastAsia="zh-CN"/>
        </w:rPr>
        <w:t>（偏见主效应）和假设</w:t>
      </w:r>
      <w:r>
        <w:rPr>
          <w:rFonts w:ascii="TNR" w:eastAsia="FS" w:hAnsi="TNR" w:cs="TNR"/>
          <w:sz w:val="24"/>
          <w:szCs w:val="24"/>
          <w:lang w:eastAsia="zh-CN"/>
        </w:rPr>
        <w:t>H4</w:t>
      </w:r>
      <w:r>
        <w:rPr>
          <w:rFonts w:ascii="TNR" w:eastAsia="FS" w:hAnsi="TNR" w:cs="TNR"/>
          <w:sz w:val="24"/>
          <w:szCs w:val="24"/>
          <w:lang w:eastAsia="zh-CN"/>
        </w:rPr>
        <w:t>（调节效应）。主要分析方法为双因素方差分析和</w:t>
      </w:r>
      <w:r>
        <w:rPr>
          <w:rFonts w:ascii="TNR" w:eastAsia="FS" w:hAnsi="TNR" w:cs="TNR"/>
          <w:sz w:val="24"/>
          <w:szCs w:val="24"/>
          <w:lang w:eastAsia="zh-CN"/>
        </w:rPr>
        <w:t>Logistic</w:t>
      </w:r>
      <w:r>
        <w:rPr>
          <w:rFonts w:ascii="TNR" w:eastAsia="FS" w:hAnsi="TNR" w:cs="TNR"/>
          <w:sz w:val="24"/>
          <w:szCs w:val="24"/>
          <w:lang w:eastAsia="zh-CN"/>
        </w:rPr>
        <w:t>回归。</w:t>
      </w:r>
    </w:p>
    <w:p w14:paraId="2566D927" w14:textId="77777777" w:rsidR="00142F43" w:rsidRDefault="00000000">
      <w:pPr>
        <w:rPr>
          <w:lang w:eastAsia="zh-CN"/>
        </w:rPr>
      </w:pPr>
      <w:r>
        <w:rPr>
          <w:rFonts w:ascii="TNR" w:eastAsia="KT" w:hAnsi="TNR" w:cs="TNR"/>
          <w:sz w:val="28"/>
          <w:szCs w:val="28"/>
          <w:lang w:eastAsia="zh-CN"/>
        </w:rPr>
        <w:t>（三）</w:t>
      </w:r>
      <w:r>
        <w:rPr>
          <w:rFonts w:ascii="TNR" w:eastAsia="KT" w:hAnsi="TNR" w:cs="TNR"/>
          <w:sz w:val="28"/>
          <w:szCs w:val="28"/>
          <w:lang w:eastAsia="zh-CN"/>
        </w:rPr>
        <w:t>Phase 3</w:t>
      </w:r>
      <w:r>
        <w:rPr>
          <w:rFonts w:ascii="TNR" w:eastAsia="KT" w:hAnsi="TNR" w:cs="TNR"/>
          <w:sz w:val="28"/>
          <w:szCs w:val="28"/>
          <w:lang w:eastAsia="zh-CN"/>
        </w:rPr>
        <w:t>：附带支付中介效应检验</w:t>
      </w:r>
    </w:p>
    <w:p w14:paraId="75A5661C" w14:textId="77777777" w:rsidR="00142F43" w:rsidRDefault="00000000">
      <w:pPr>
        <w:rPr>
          <w:lang w:eastAsia="zh-CN"/>
        </w:rPr>
      </w:pPr>
      <w:r>
        <w:rPr>
          <w:rFonts w:ascii="TNR" w:eastAsia="FS" w:hAnsi="TNR" w:cs="TNR"/>
          <w:sz w:val="24"/>
          <w:szCs w:val="24"/>
          <w:lang w:eastAsia="zh-CN"/>
        </w:rPr>
        <w:t>在偏见调停条件下（亲强型）系统记录附带支付的使用决策，包括使用轮次、支付额度和对应的谈判僵局状态。运行一组完全禁用附带支付的对照实验</w:t>
      </w:r>
      <w:r>
        <w:rPr>
          <w:rFonts w:ascii="TNR" w:eastAsia="FS" w:hAnsi="TNR" w:cs="TNR"/>
          <w:sz w:val="24"/>
          <w:szCs w:val="24"/>
          <w:lang w:eastAsia="zh-CN"/>
        </w:rPr>
        <w:t>——</w:t>
      </w:r>
      <w:r>
        <w:rPr>
          <w:rFonts w:ascii="TNR" w:eastAsia="FS" w:hAnsi="TNR" w:cs="TNR"/>
          <w:sz w:val="24"/>
          <w:szCs w:val="24"/>
          <w:lang w:eastAsia="zh-CN"/>
        </w:rPr>
        <w:t>调停者在该条件下只能依靠修辞策略和信息传递进行调停（与中立调停者类似，但其提案方向仍保持亲强偏见）。该对照实验的数据与正式偏见调停数据合并后用于假设</w:t>
      </w:r>
      <w:r>
        <w:rPr>
          <w:rFonts w:ascii="TNR" w:eastAsia="FS" w:hAnsi="TNR" w:cs="TNR"/>
          <w:sz w:val="24"/>
          <w:szCs w:val="24"/>
          <w:lang w:eastAsia="zh-CN"/>
        </w:rPr>
        <w:t>H3</w:t>
      </w:r>
      <w:r>
        <w:rPr>
          <w:rFonts w:ascii="TNR" w:eastAsia="FS" w:hAnsi="TNR" w:cs="TNR"/>
          <w:sz w:val="24"/>
          <w:szCs w:val="24"/>
          <w:lang w:eastAsia="zh-CN"/>
        </w:rPr>
        <w:t>的</w:t>
      </w:r>
      <w:r>
        <w:rPr>
          <w:rFonts w:ascii="TNR" w:eastAsia="FS" w:hAnsi="TNR" w:cs="TNR"/>
          <w:sz w:val="24"/>
          <w:szCs w:val="24"/>
          <w:lang w:eastAsia="zh-CN"/>
        </w:rPr>
        <w:t>Bootstrap</w:t>
      </w:r>
      <w:r>
        <w:rPr>
          <w:rFonts w:ascii="TNR" w:eastAsia="FS" w:hAnsi="TNR" w:cs="TNR"/>
          <w:sz w:val="24"/>
          <w:szCs w:val="24"/>
          <w:lang w:eastAsia="zh-CN"/>
        </w:rPr>
        <w:t>中介效应检验。</w:t>
      </w:r>
    </w:p>
    <w:p w14:paraId="654B422C" w14:textId="77777777" w:rsidR="00142F43" w:rsidRDefault="00000000">
      <w:pPr>
        <w:rPr>
          <w:lang w:eastAsia="zh-CN"/>
        </w:rPr>
      </w:pPr>
      <w:r>
        <w:rPr>
          <w:rFonts w:ascii="TNR" w:eastAsia="KT" w:hAnsi="TNR" w:cs="TNR"/>
          <w:sz w:val="28"/>
          <w:szCs w:val="28"/>
          <w:lang w:eastAsia="zh-CN"/>
        </w:rPr>
        <w:t>（四）</w:t>
      </w:r>
      <w:r>
        <w:rPr>
          <w:rFonts w:ascii="TNR" w:eastAsia="KT" w:hAnsi="TNR" w:cs="TNR"/>
          <w:sz w:val="28"/>
          <w:szCs w:val="28"/>
          <w:lang w:eastAsia="zh-CN"/>
        </w:rPr>
        <w:t>Phase 4</w:t>
      </w:r>
      <w:r>
        <w:rPr>
          <w:rFonts w:ascii="TNR" w:eastAsia="KT" w:hAnsi="TNR" w:cs="TNR"/>
          <w:sz w:val="28"/>
          <w:szCs w:val="28"/>
          <w:lang w:eastAsia="zh-CN"/>
        </w:rPr>
        <w:t>：协议持久性分析</w:t>
      </w:r>
    </w:p>
    <w:p w14:paraId="13367185" w14:textId="77777777" w:rsidR="00142F43" w:rsidRDefault="00000000">
      <w:pPr>
        <w:rPr>
          <w:lang w:eastAsia="zh-CN"/>
        </w:rPr>
      </w:pPr>
      <w:r>
        <w:rPr>
          <w:rFonts w:ascii="TNR" w:eastAsia="FS" w:hAnsi="TNR" w:cs="TNR"/>
          <w:sz w:val="24"/>
          <w:szCs w:val="24"/>
          <w:lang w:eastAsia="zh-CN"/>
        </w:rPr>
        <w:t>在已完成全部正式实验的达成协议案例中，选择有效样本追加</w:t>
      </w:r>
      <w:r>
        <w:rPr>
          <w:rFonts w:ascii="TNR" w:eastAsia="FS" w:hAnsi="TNR" w:cs="TNR"/>
          <w:sz w:val="24"/>
          <w:szCs w:val="24"/>
          <w:lang w:eastAsia="zh-CN"/>
        </w:rPr>
        <w:t>5</w:t>
      </w:r>
      <w:r>
        <w:rPr>
          <w:rFonts w:ascii="TNR" w:eastAsia="FS" w:hAnsi="TNR" w:cs="TNR"/>
          <w:sz w:val="24"/>
          <w:szCs w:val="24"/>
          <w:lang w:eastAsia="zh-CN"/>
        </w:rPr>
        <w:t>轮执行期模拟。执行期模拟中，调停者退出谈判过程，由强方和弱方独立决定是否维持协议条款。违约条件设定为：违约方从违约行为中获得的即时收益超过协议维持的折现收益</w:t>
      </w:r>
      <w:r>
        <w:rPr>
          <w:rFonts w:ascii="TNR" w:eastAsia="FS" w:hAnsi="TNR" w:cs="TNR"/>
          <w:sz w:val="24"/>
          <w:szCs w:val="24"/>
          <w:lang w:eastAsia="zh-CN"/>
        </w:rPr>
        <w:t>——</w:t>
      </w:r>
      <w:r>
        <w:rPr>
          <w:rFonts w:ascii="TNR" w:eastAsia="FS" w:hAnsi="TNR" w:cs="TNR"/>
          <w:sz w:val="24"/>
          <w:szCs w:val="24"/>
          <w:lang w:eastAsia="zh-CN"/>
        </w:rPr>
        <w:t>即违约的净效用超过履约的净效用时，智能体触发违约决策。记录包括违约时间（轮次）、违约发起方和违约时的条款偏离程度。数据用于假设</w:t>
      </w:r>
      <w:r>
        <w:rPr>
          <w:rFonts w:ascii="TNR" w:eastAsia="FS" w:hAnsi="TNR" w:cs="TNR"/>
          <w:sz w:val="24"/>
          <w:szCs w:val="24"/>
          <w:lang w:eastAsia="zh-CN"/>
        </w:rPr>
        <w:t>H2</w:t>
      </w:r>
      <w:r>
        <w:rPr>
          <w:rFonts w:ascii="TNR" w:eastAsia="FS" w:hAnsi="TNR" w:cs="TNR"/>
          <w:sz w:val="24"/>
          <w:szCs w:val="24"/>
          <w:lang w:eastAsia="zh-CN"/>
        </w:rPr>
        <w:t>的生存分析部分（</w:t>
      </w:r>
      <w:r>
        <w:rPr>
          <w:rFonts w:ascii="TNR" w:eastAsia="FS" w:hAnsi="TNR" w:cs="TNR"/>
          <w:sz w:val="24"/>
          <w:szCs w:val="24"/>
          <w:lang w:eastAsia="zh-CN"/>
        </w:rPr>
        <w:t>Kaplan-Meier</w:t>
      </w:r>
      <w:r>
        <w:rPr>
          <w:rFonts w:ascii="TNR" w:eastAsia="FS" w:hAnsi="TNR" w:cs="TNR"/>
          <w:sz w:val="24"/>
          <w:szCs w:val="24"/>
          <w:lang w:eastAsia="zh-CN"/>
        </w:rPr>
        <w:t>分析和</w:t>
      </w:r>
      <w:r>
        <w:rPr>
          <w:rFonts w:ascii="TNR" w:eastAsia="FS" w:hAnsi="TNR" w:cs="TNR"/>
          <w:sz w:val="24"/>
          <w:szCs w:val="24"/>
          <w:lang w:eastAsia="zh-CN"/>
        </w:rPr>
        <w:t>Cox</w:t>
      </w:r>
      <w:r>
        <w:rPr>
          <w:rFonts w:ascii="TNR" w:eastAsia="FS" w:hAnsi="TNR" w:cs="TNR"/>
          <w:sz w:val="24"/>
          <w:szCs w:val="24"/>
          <w:lang w:eastAsia="zh-CN"/>
        </w:rPr>
        <w:t>比例风险模型）。</w:t>
      </w:r>
    </w:p>
    <w:p w14:paraId="2AADC57F" w14:textId="77777777" w:rsidR="00142F43" w:rsidRDefault="00000000">
      <w:pPr>
        <w:rPr>
          <w:lang w:eastAsia="zh-CN"/>
        </w:rPr>
      </w:pPr>
      <w:r>
        <w:rPr>
          <w:lang w:eastAsia="zh-CN"/>
        </w:rPr>
        <w:br w:type="page"/>
      </w:r>
    </w:p>
    <w:p w14:paraId="677E6C3B" w14:textId="77777777" w:rsidR="00142F43" w:rsidRDefault="00000000">
      <w:pPr>
        <w:jc w:val="center"/>
        <w:rPr>
          <w:lang w:eastAsia="zh-CN"/>
        </w:rPr>
      </w:pPr>
      <w:r>
        <w:rPr>
          <w:rFonts w:ascii="TNR" w:eastAsia="SH" w:hAnsi="TNR" w:cs="TNR"/>
          <w:b/>
          <w:sz w:val="32"/>
          <w:szCs w:val="32"/>
          <w:lang w:eastAsia="zh-CN"/>
        </w:rPr>
        <w:lastRenderedPageBreak/>
        <w:t>八、预期结果与贡献</w:t>
      </w:r>
    </w:p>
    <w:p w14:paraId="780AFE21" w14:textId="77777777" w:rsidR="00142F43" w:rsidRDefault="00000000">
      <w:pPr>
        <w:rPr>
          <w:lang w:eastAsia="zh-CN"/>
        </w:rPr>
      </w:pPr>
      <w:r>
        <w:rPr>
          <w:rFonts w:ascii="TNR" w:eastAsia="KT" w:hAnsi="TNR" w:cs="TNR"/>
          <w:sz w:val="28"/>
          <w:szCs w:val="28"/>
          <w:lang w:eastAsia="zh-CN"/>
        </w:rPr>
        <w:t>（一）预期研究发现</w:t>
      </w:r>
    </w:p>
    <w:p w14:paraId="58C42B01" w14:textId="77777777" w:rsidR="00142F43" w:rsidRDefault="00000000">
      <w:pPr>
        <w:rPr>
          <w:lang w:eastAsia="zh-CN"/>
        </w:rPr>
      </w:pPr>
      <w:r>
        <w:rPr>
          <w:rFonts w:ascii="TNR" w:eastAsia="FS" w:hAnsi="TNR" w:cs="TNR"/>
          <w:sz w:val="24"/>
          <w:szCs w:val="24"/>
          <w:lang w:eastAsia="zh-CN"/>
        </w:rPr>
        <w:t>基于理论推导和戴维营案例的经验观察，四项假设的预期检验结果如下。</w:t>
      </w:r>
    </w:p>
    <w:p w14:paraId="78B2984E"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H1</w:t>
      </w:r>
      <w:r>
        <w:rPr>
          <w:rFonts w:ascii="TNR" w:eastAsia="FS" w:hAnsi="TNR" w:cs="TNR"/>
          <w:sz w:val="24"/>
          <w:szCs w:val="24"/>
          <w:lang w:eastAsia="zh-CN"/>
        </w:rPr>
        <w:t>：在高实力不对称条件下，亲强调停者的协议达成率预计在</w:t>
      </w:r>
      <w:r>
        <w:rPr>
          <w:rFonts w:ascii="TNR" w:eastAsia="FS" w:hAnsi="TNR" w:cs="TNR"/>
          <w:sz w:val="24"/>
          <w:szCs w:val="24"/>
          <w:lang w:eastAsia="zh-CN"/>
        </w:rPr>
        <w:t>50%</w:t>
      </w:r>
      <w:r>
        <w:rPr>
          <w:rFonts w:ascii="TNR" w:eastAsia="FS" w:hAnsi="TNR" w:cs="TNR"/>
          <w:sz w:val="24"/>
          <w:szCs w:val="24"/>
          <w:lang w:eastAsia="zh-CN"/>
        </w:rPr>
        <w:t>至</w:t>
      </w:r>
      <w:r>
        <w:rPr>
          <w:rFonts w:ascii="TNR" w:eastAsia="FS" w:hAnsi="TNR" w:cs="TNR"/>
          <w:sz w:val="24"/>
          <w:szCs w:val="24"/>
          <w:lang w:eastAsia="zh-CN"/>
        </w:rPr>
        <w:t>65%</w:t>
      </w:r>
      <w:r>
        <w:rPr>
          <w:rFonts w:ascii="TNR" w:eastAsia="FS" w:hAnsi="TNR" w:cs="TNR"/>
          <w:sz w:val="24"/>
          <w:szCs w:val="24"/>
          <w:lang w:eastAsia="zh-CN"/>
        </w:rPr>
        <w:t>之间，显著高于中立调停者（预计</w:t>
      </w:r>
      <w:r>
        <w:rPr>
          <w:rFonts w:ascii="TNR" w:eastAsia="FS" w:hAnsi="TNR" w:cs="TNR"/>
          <w:sz w:val="24"/>
          <w:szCs w:val="24"/>
          <w:lang w:eastAsia="zh-CN"/>
        </w:rPr>
        <w:t>20%</w:t>
      </w:r>
      <w:r>
        <w:rPr>
          <w:rFonts w:ascii="TNR" w:eastAsia="FS" w:hAnsi="TNR" w:cs="TNR"/>
          <w:sz w:val="24"/>
          <w:szCs w:val="24"/>
          <w:lang w:eastAsia="zh-CN"/>
        </w:rPr>
        <w:t>至</w:t>
      </w:r>
      <w:r>
        <w:rPr>
          <w:rFonts w:ascii="TNR" w:eastAsia="FS" w:hAnsi="TNR" w:cs="TNR"/>
          <w:sz w:val="24"/>
          <w:szCs w:val="24"/>
          <w:lang w:eastAsia="zh-CN"/>
        </w:rPr>
        <w:t>35%</w:t>
      </w:r>
      <w:r>
        <w:rPr>
          <w:rFonts w:ascii="TNR" w:eastAsia="FS" w:hAnsi="TNR" w:cs="TNR"/>
          <w:sz w:val="24"/>
          <w:szCs w:val="24"/>
          <w:lang w:eastAsia="zh-CN"/>
        </w:rPr>
        <w:t>）。戴维营参照组（</w:t>
      </w:r>
      <w:r>
        <w:rPr>
          <w:rFonts w:ascii="TNR" w:eastAsia="FS" w:hAnsi="TNR" w:cs="TNR"/>
          <w:sz w:val="24"/>
          <w:szCs w:val="24"/>
          <w:lang w:eastAsia="zh-CN"/>
        </w:rPr>
        <w:t>b=+0.7</w:t>
      </w:r>
      <w:r>
        <w:rPr>
          <w:rFonts w:ascii="TNR" w:eastAsia="FS" w:hAnsi="TNR" w:cs="TNR"/>
          <w:sz w:val="24"/>
          <w:szCs w:val="24"/>
          <w:lang w:eastAsia="zh-CN"/>
        </w:rPr>
        <w:t>，</w:t>
      </w:r>
      <w:r>
        <w:rPr>
          <w:rFonts w:ascii="TNR" w:eastAsia="FS" w:hAnsi="TNR" w:cs="TNR"/>
          <w:sz w:val="24"/>
          <w:szCs w:val="24"/>
          <w:lang w:eastAsia="zh-CN"/>
        </w:rPr>
        <w:t>AR≈2:1</w:t>
      </w:r>
      <w:r>
        <w:rPr>
          <w:rFonts w:ascii="TNR" w:eastAsia="FS" w:hAnsi="TNR" w:cs="TNR"/>
          <w:sz w:val="24"/>
          <w:szCs w:val="24"/>
          <w:lang w:eastAsia="zh-CN"/>
        </w:rPr>
        <w:t>）的预期协议率在</w:t>
      </w:r>
      <w:r>
        <w:rPr>
          <w:rFonts w:ascii="TNR" w:eastAsia="FS" w:hAnsi="TNR" w:cs="TNR"/>
          <w:sz w:val="24"/>
          <w:szCs w:val="24"/>
          <w:lang w:eastAsia="zh-CN"/>
        </w:rPr>
        <w:t>55%</w:t>
      </w:r>
      <w:r>
        <w:rPr>
          <w:rFonts w:ascii="TNR" w:eastAsia="FS" w:hAnsi="TNR" w:cs="TNR"/>
          <w:sz w:val="24"/>
          <w:szCs w:val="24"/>
          <w:lang w:eastAsia="zh-CN"/>
        </w:rPr>
        <w:t>至</w:t>
      </w:r>
      <w:r>
        <w:rPr>
          <w:rFonts w:ascii="TNR" w:eastAsia="FS" w:hAnsi="TNR" w:cs="TNR"/>
          <w:sz w:val="24"/>
          <w:szCs w:val="24"/>
          <w:lang w:eastAsia="zh-CN"/>
        </w:rPr>
        <w:t>70%</w:t>
      </w:r>
      <w:r>
        <w:rPr>
          <w:rFonts w:ascii="TNR" w:eastAsia="FS" w:hAnsi="TNR" w:cs="TNR"/>
          <w:sz w:val="24"/>
          <w:szCs w:val="24"/>
          <w:lang w:eastAsia="zh-CN"/>
        </w:rPr>
        <w:t>之间，接近卡特政府戴维营谈判的实际协议达成水平。</w:t>
      </w:r>
    </w:p>
    <w:p w14:paraId="7689EB75"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H2</w:t>
      </w:r>
      <w:r>
        <w:rPr>
          <w:rFonts w:ascii="TNR" w:eastAsia="FS" w:hAnsi="TNR" w:cs="TNR"/>
          <w:sz w:val="24"/>
          <w:szCs w:val="24"/>
          <w:lang w:eastAsia="zh-CN"/>
        </w:rPr>
        <w:t>：偏见调停组的协议条款基尼系数预计在</w:t>
      </w:r>
      <w:r>
        <w:rPr>
          <w:rFonts w:ascii="TNR" w:eastAsia="FS" w:hAnsi="TNR" w:cs="TNR"/>
          <w:sz w:val="24"/>
          <w:szCs w:val="24"/>
          <w:lang w:eastAsia="zh-CN"/>
        </w:rPr>
        <w:t>0.55</w:t>
      </w:r>
      <w:r>
        <w:rPr>
          <w:rFonts w:ascii="TNR" w:eastAsia="FS" w:hAnsi="TNR" w:cs="TNR"/>
          <w:sz w:val="24"/>
          <w:szCs w:val="24"/>
          <w:lang w:eastAsia="zh-CN"/>
        </w:rPr>
        <w:t>以上，显著高于中立调停组。偏见调停组的协议在</w:t>
      </w:r>
      <w:r>
        <w:rPr>
          <w:rFonts w:ascii="TNR" w:eastAsia="FS" w:hAnsi="TNR" w:cs="TNR"/>
          <w:sz w:val="24"/>
          <w:szCs w:val="24"/>
          <w:lang w:eastAsia="zh-CN"/>
        </w:rPr>
        <w:t>5</w:t>
      </w:r>
      <w:r>
        <w:rPr>
          <w:rFonts w:ascii="TNR" w:eastAsia="FS" w:hAnsi="TNR" w:cs="TNR"/>
          <w:sz w:val="24"/>
          <w:szCs w:val="24"/>
          <w:lang w:eastAsia="zh-CN"/>
        </w:rPr>
        <w:t>轮执行期内的累计违约率预计在</w:t>
      </w:r>
      <w:r>
        <w:rPr>
          <w:rFonts w:ascii="TNR" w:eastAsia="FS" w:hAnsi="TNR" w:cs="TNR"/>
          <w:sz w:val="24"/>
          <w:szCs w:val="24"/>
          <w:lang w:eastAsia="zh-CN"/>
        </w:rPr>
        <w:t>25%</w:t>
      </w:r>
      <w:r>
        <w:rPr>
          <w:rFonts w:ascii="TNR" w:eastAsia="FS" w:hAnsi="TNR" w:cs="TNR"/>
          <w:sz w:val="24"/>
          <w:szCs w:val="24"/>
          <w:lang w:eastAsia="zh-CN"/>
        </w:rPr>
        <w:t>至</w:t>
      </w:r>
      <w:r>
        <w:rPr>
          <w:rFonts w:ascii="TNR" w:eastAsia="FS" w:hAnsi="TNR" w:cs="TNR"/>
          <w:sz w:val="24"/>
          <w:szCs w:val="24"/>
          <w:lang w:eastAsia="zh-CN"/>
        </w:rPr>
        <w:t>40%</w:t>
      </w:r>
      <w:r>
        <w:rPr>
          <w:rFonts w:ascii="TNR" w:eastAsia="FS" w:hAnsi="TNR" w:cs="TNR"/>
          <w:sz w:val="24"/>
          <w:szCs w:val="24"/>
          <w:lang w:eastAsia="zh-CN"/>
        </w:rPr>
        <w:t>之间（参照冷和平的脆弱性水平），而中立调停组的违约率预计在</w:t>
      </w:r>
      <w:r>
        <w:rPr>
          <w:rFonts w:ascii="TNR" w:eastAsia="FS" w:hAnsi="TNR" w:cs="TNR"/>
          <w:sz w:val="24"/>
          <w:szCs w:val="24"/>
          <w:lang w:eastAsia="zh-CN"/>
        </w:rPr>
        <w:t>10%</w:t>
      </w:r>
      <w:r>
        <w:rPr>
          <w:rFonts w:ascii="TNR" w:eastAsia="FS" w:hAnsi="TNR" w:cs="TNR"/>
          <w:sz w:val="24"/>
          <w:szCs w:val="24"/>
          <w:lang w:eastAsia="zh-CN"/>
        </w:rPr>
        <w:t>至</w:t>
      </w:r>
      <w:r>
        <w:rPr>
          <w:rFonts w:ascii="TNR" w:eastAsia="FS" w:hAnsi="TNR" w:cs="TNR"/>
          <w:sz w:val="24"/>
          <w:szCs w:val="24"/>
          <w:lang w:eastAsia="zh-CN"/>
        </w:rPr>
        <w:t>20%</w:t>
      </w:r>
      <w:r>
        <w:rPr>
          <w:rFonts w:ascii="TNR" w:eastAsia="FS" w:hAnsi="TNR" w:cs="TNR"/>
          <w:sz w:val="24"/>
          <w:szCs w:val="24"/>
          <w:lang w:eastAsia="zh-CN"/>
        </w:rPr>
        <w:t>之间。</w:t>
      </w:r>
    </w:p>
    <w:p w14:paraId="241AE2EA"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H3</w:t>
      </w:r>
      <w:r>
        <w:rPr>
          <w:rFonts w:ascii="TNR" w:eastAsia="FS" w:hAnsi="TNR" w:cs="TNR"/>
          <w:sz w:val="24"/>
          <w:szCs w:val="24"/>
          <w:lang w:eastAsia="zh-CN"/>
        </w:rPr>
        <w:t>：附带支付的间接效应（</w:t>
      </w:r>
      <w:r>
        <w:rPr>
          <w:rFonts w:ascii="TNR" w:eastAsia="FS" w:hAnsi="TNR" w:cs="TNR"/>
          <w:sz w:val="24"/>
          <w:szCs w:val="24"/>
          <w:lang w:eastAsia="zh-CN"/>
        </w:rPr>
        <w:t>a×b</w:t>
      </w:r>
      <w:r>
        <w:rPr>
          <w:rFonts w:ascii="TNR" w:eastAsia="FS" w:hAnsi="TNR" w:cs="TNR"/>
          <w:sz w:val="24"/>
          <w:szCs w:val="24"/>
          <w:lang w:eastAsia="zh-CN"/>
        </w:rPr>
        <w:t>）的</w:t>
      </w:r>
      <w:r>
        <w:rPr>
          <w:rFonts w:ascii="TNR" w:eastAsia="FS" w:hAnsi="TNR" w:cs="TNR"/>
          <w:sz w:val="24"/>
          <w:szCs w:val="24"/>
          <w:lang w:eastAsia="zh-CN"/>
        </w:rPr>
        <w:t>95% Bootstrap</w:t>
      </w:r>
      <w:r>
        <w:rPr>
          <w:rFonts w:ascii="TNR" w:eastAsia="FS" w:hAnsi="TNR" w:cs="TNR"/>
          <w:sz w:val="24"/>
          <w:szCs w:val="24"/>
          <w:lang w:eastAsia="zh-CN"/>
        </w:rPr>
        <w:t>置信区间预计不包含</w:t>
      </w:r>
      <w:r>
        <w:rPr>
          <w:rFonts w:ascii="TNR" w:eastAsia="FS" w:hAnsi="TNR" w:cs="TNR"/>
          <w:sz w:val="24"/>
          <w:szCs w:val="24"/>
          <w:lang w:eastAsia="zh-CN"/>
        </w:rPr>
        <w:t>0</w:t>
      </w:r>
      <w:r>
        <w:rPr>
          <w:rFonts w:ascii="TNR" w:eastAsia="FS" w:hAnsi="TNR" w:cs="TNR"/>
          <w:sz w:val="24"/>
          <w:szCs w:val="24"/>
          <w:lang w:eastAsia="zh-CN"/>
        </w:rPr>
        <w:t>。禁用附带支付的对照条件下，亲强调停者的协议率预计下降至接近中立调停者的水平（</w:t>
      </w:r>
      <w:r>
        <w:rPr>
          <w:rFonts w:ascii="TNR" w:eastAsia="FS" w:hAnsi="TNR" w:cs="TNR"/>
          <w:sz w:val="24"/>
          <w:szCs w:val="24"/>
          <w:lang w:eastAsia="zh-CN"/>
        </w:rPr>
        <w:t>20%</w:t>
      </w:r>
      <w:r>
        <w:rPr>
          <w:rFonts w:ascii="TNR" w:eastAsia="FS" w:hAnsi="TNR" w:cs="TNR"/>
          <w:sz w:val="24"/>
          <w:szCs w:val="24"/>
          <w:lang w:eastAsia="zh-CN"/>
        </w:rPr>
        <w:t>至</w:t>
      </w:r>
      <w:r>
        <w:rPr>
          <w:rFonts w:ascii="TNR" w:eastAsia="FS" w:hAnsi="TNR" w:cs="TNR"/>
          <w:sz w:val="24"/>
          <w:szCs w:val="24"/>
          <w:lang w:eastAsia="zh-CN"/>
        </w:rPr>
        <w:t>30%</w:t>
      </w:r>
      <w:r>
        <w:rPr>
          <w:rFonts w:ascii="TNR" w:eastAsia="FS" w:hAnsi="TNR" w:cs="TNR"/>
          <w:sz w:val="24"/>
          <w:szCs w:val="24"/>
          <w:lang w:eastAsia="zh-CN"/>
        </w:rPr>
        <w:t>）。戴维营参照组在禁用条件下的预期协议率降至</w:t>
      </w:r>
      <w:r>
        <w:rPr>
          <w:rFonts w:ascii="TNR" w:eastAsia="FS" w:hAnsi="TNR" w:cs="TNR"/>
          <w:sz w:val="24"/>
          <w:szCs w:val="24"/>
          <w:lang w:eastAsia="zh-CN"/>
        </w:rPr>
        <w:t>20%</w:t>
      </w:r>
      <w:r>
        <w:rPr>
          <w:rFonts w:ascii="TNR" w:eastAsia="FS" w:hAnsi="TNR" w:cs="TNR"/>
          <w:sz w:val="24"/>
          <w:szCs w:val="24"/>
          <w:lang w:eastAsia="zh-CN"/>
        </w:rPr>
        <w:t>以下</w:t>
      </w:r>
      <w:r>
        <w:rPr>
          <w:rFonts w:ascii="TNR" w:eastAsia="FS" w:hAnsi="TNR" w:cs="TNR"/>
          <w:sz w:val="24"/>
          <w:szCs w:val="24"/>
          <w:lang w:eastAsia="zh-CN"/>
        </w:rPr>
        <w:t>——</w:t>
      </w:r>
      <w:r>
        <w:rPr>
          <w:rFonts w:ascii="TNR" w:eastAsia="FS" w:hAnsi="TNR" w:cs="TNR"/>
          <w:sz w:val="24"/>
          <w:szCs w:val="24"/>
          <w:lang w:eastAsia="zh-CN"/>
        </w:rPr>
        <w:t>与戴维营反事实推断一致。</w:t>
      </w:r>
    </w:p>
    <w:p w14:paraId="367FE4C7" w14:textId="77777777" w:rsidR="00142F43" w:rsidRDefault="00000000">
      <w:pPr>
        <w:pStyle w:val="a0"/>
        <w:ind w:firstLine="480"/>
        <w:rPr>
          <w:lang w:eastAsia="zh-CN"/>
        </w:rPr>
      </w:pPr>
      <w:r>
        <w:rPr>
          <w:rFonts w:ascii="TNR" w:eastAsia="FS" w:hAnsi="TNR" w:cs="TNR"/>
          <w:sz w:val="24"/>
          <w:szCs w:val="24"/>
          <w:lang w:eastAsia="zh-CN"/>
        </w:rPr>
        <w:t>假设</w:t>
      </w:r>
      <w:r>
        <w:rPr>
          <w:rFonts w:ascii="TNR" w:eastAsia="FS" w:hAnsi="TNR" w:cs="TNR"/>
          <w:sz w:val="24"/>
          <w:szCs w:val="24"/>
          <w:lang w:eastAsia="zh-CN"/>
        </w:rPr>
        <w:t>H4</w:t>
      </w:r>
      <w:r>
        <w:rPr>
          <w:rFonts w:ascii="TNR" w:eastAsia="FS" w:hAnsi="TNR" w:cs="TNR"/>
          <w:sz w:val="24"/>
          <w:szCs w:val="24"/>
          <w:lang w:eastAsia="zh-CN"/>
        </w:rPr>
        <w:t>：双因素方差分析中的交互项预计显著（</w:t>
      </w:r>
      <w:r>
        <w:rPr>
          <w:rFonts w:ascii="TNR" w:eastAsia="FS" w:hAnsi="TNR" w:cs="TNR"/>
          <w:sz w:val="24"/>
          <w:szCs w:val="24"/>
          <w:lang w:eastAsia="zh-CN"/>
        </w:rPr>
        <w:t>p&lt;0.05</w:t>
      </w:r>
      <w:r>
        <w:rPr>
          <w:rFonts w:ascii="TNR" w:eastAsia="FS" w:hAnsi="TNR" w:cs="TNR"/>
          <w:sz w:val="24"/>
          <w:szCs w:val="24"/>
          <w:lang w:eastAsia="zh-CN"/>
        </w:rPr>
        <w:t>）。简单效应分析显示，在低不对称条件下（</w:t>
      </w:r>
      <w:r>
        <w:rPr>
          <w:rFonts w:ascii="TNR" w:eastAsia="FS" w:hAnsi="TNR" w:cs="TNR"/>
          <w:sz w:val="24"/>
          <w:szCs w:val="24"/>
          <w:lang w:eastAsia="zh-CN"/>
        </w:rPr>
        <w:t>AR=1.5:1</w:t>
      </w:r>
      <w:r>
        <w:rPr>
          <w:rFonts w:ascii="TNR" w:eastAsia="FS" w:hAnsi="TNR" w:cs="TNR"/>
          <w:sz w:val="24"/>
          <w:szCs w:val="24"/>
          <w:lang w:eastAsia="zh-CN"/>
        </w:rPr>
        <w:t>），不同调停者类型之间的协议率差异预计不显著（</w:t>
      </w:r>
      <w:r>
        <w:rPr>
          <w:rFonts w:ascii="TNR" w:eastAsia="FS" w:hAnsi="TNR" w:cs="TNR"/>
          <w:sz w:val="24"/>
          <w:szCs w:val="24"/>
          <w:lang w:eastAsia="zh-CN"/>
        </w:rPr>
        <w:t>p&gt;0.05</w:t>
      </w:r>
      <w:r>
        <w:rPr>
          <w:rFonts w:ascii="TNR" w:eastAsia="FS" w:hAnsi="TNR" w:cs="TNR"/>
          <w:sz w:val="24"/>
          <w:szCs w:val="24"/>
          <w:lang w:eastAsia="zh-CN"/>
        </w:rPr>
        <w:t>）</w:t>
      </w:r>
      <w:r>
        <w:rPr>
          <w:rFonts w:ascii="TNR" w:eastAsia="FS" w:hAnsi="TNR" w:cs="TNR"/>
          <w:sz w:val="24"/>
          <w:szCs w:val="24"/>
          <w:lang w:eastAsia="zh-CN"/>
        </w:rPr>
        <w:t>——</w:t>
      </w:r>
      <w:r>
        <w:rPr>
          <w:rFonts w:ascii="TNR" w:eastAsia="FS" w:hAnsi="TNR" w:cs="TNR"/>
          <w:sz w:val="24"/>
          <w:szCs w:val="24"/>
          <w:lang w:eastAsia="zh-CN"/>
        </w:rPr>
        <w:t>表明偏见调停的优势在对称性较高的谈判中消失。</w:t>
      </w:r>
    </w:p>
    <w:p w14:paraId="637881DA" w14:textId="77777777" w:rsidR="00142F43" w:rsidRDefault="00000000">
      <w:pPr>
        <w:rPr>
          <w:lang w:eastAsia="zh-CN"/>
        </w:rPr>
      </w:pPr>
      <w:r>
        <w:rPr>
          <w:rFonts w:ascii="TNR" w:eastAsia="KT" w:hAnsi="TNR" w:cs="TNR"/>
          <w:sz w:val="28"/>
          <w:szCs w:val="28"/>
          <w:lang w:eastAsia="zh-CN"/>
        </w:rPr>
        <w:t>（二）模拟</w:t>
      </w:r>
      <w:r>
        <w:rPr>
          <w:rFonts w:ascii="TNR" w:eastAsia="KT" w:hAnsi="TNR" w:cs="TNR"/>
          <w:sz w:val="28"/>
          <w:szCs w:val="28"/>
          <w:lang w:eastAsia="zh-CN"/>
        </w:rPr>
        <w:t>-</w:t>
      </w:r>
      <w:r>
        <w:rPr>
          <w:rFonts w:ascii="TNR" w:eastAsia="KT" w:hAnsi="TNR" w:cs="TNR"/>
          <w:sz w:val="28"/>
          <w:szCs w:val="28"/>
          <w:lang w:eastAsia="zh-CN"/>
        </w:rPr>
        <w:t>案例印证分析</w:t>
      </w:r>
    </w:p>
    <w:p w14:paraId="211A870D" w14:textId="77777777" w:rsidR="00142F43" w:rsidRDefault="00000000">
      <w:pPr>
        <w:rPr>
          <w:lang w:eastAsia="zh-CN"/>
        </w:rPr>
      </w:pPr>
      <w:r>
        <w:rPr>
          <w:rFonts w:ascii="TNR" w:eastAsia="FS" w:hAnsi="TNR" w:cs="TNR"/>
          <w:sz w:val="24"/>
          <w:szCs w:val="24"/>
          <w:lang w:eastAsia="zh-CN"/>
        </w:rPr>
        <w:t>本研究的一个特色设计是在标准假设检验之外，将</w:t>
      </w:r>
      <w:r>
        <w:rPr>
          <w:rFonts w:ascii="TNR" w:eastAsia="FS" w:hAnsi="TNR" w:cs="TNR"/>
          <w:sz w:val="24"/>
          <w:szCs w:val="24"/>
          <w:lang w:eastAsia="zh-CN"/>
        </w:rPr>
        <w:t>LLM</w:t>
      </w:r>
      <w:r>
        <w:rPr>
          <w:rFonts w:ascii="TNR" w:eastAsia="FS" w:hAnsi="TNR" w:cs="TNR"/>
          <w:sz w:val="24"/>
          <w:szCs w:val="24"/>
          <w:lang w:eastAsia="zh-CN"/>
        </w:rPr>
        <w:t>多智能体模拟的结果与真实历史案例进行系统性的比较分析。模拟</w:t>
      </w:r>
      <w:r>
        <w:rPr>
          <w:rFonts w:ascii="TNR" w:eastAsia="FS" w:hAnsi="TNR" w:cs="TNR"/>
          <w:sz w:val="24"/>
          <w:szCs w:val="24"/>
          <w:lang w:eastAsia="zh-CN"/>
        </w:rPr>
        <w:t>-</w:t>
      </w:r>
      <w:r>
        <w:rPr>
          <w:rFonts w:ascii="TNR" w:eastAsia="FS" w:hAnsi="TNR" w:cs="TNR"/>
          <w:sz w:val="24"/>
          <w:szCs w:val="24"/>
          <w:lang w:eastAsia="zh-CN"/>
        </w:rPr>
        <w:t>案例印证分析包含四个层次。</w:t>
      </w:r>
    </w:p>
    <w:p w14:paraId="11BBC50F" w14:textId="77777777" w:rsidR="00142F43" w:rsidRDefault="00000000">
      <w:pPr>
        <w:pStyle w:val="a0"/>
        <w:ind w:firstLine="480"/>
        <w:rPr>
          <w:lang w:eastAsia="zh-CN"/>
        </w:rPr>
      </w:pPr>
      <w:r>
        <w:rPr>
          <w:rFonts w:ascii="TNR" w:eastAsia="FS" w:hAnsi="TNR" w:cs="TNR"/>
          <w:sz w:val="24"/>
          <w:szCs w:val="24"/>
          <w:lang w:eastAsia="zh-CN"/>
        </w:rPr>
        <w:t>协议条款结构印证：将戴维营参照组模拟输出的协议条款（领土分割比例、资源分配模式、安全条款类型）与</w:t>
      </w:r>
      <w:r>
        <w:rPr>
          <w:rFonts w:ascii="TNR" w:eastAsia="FS" w:hAnsi="TNR" w:cs="TNR"/>
          <w:sz w:val="24"/>
          <w:szCs w:val="24"/>
          <w:lang w:eastAsia="zh-CN"/>
        </w:rPr>
        <w:t>1978</w:t>
      </w:r>
      <w:r>
        <w:rPr>
          <w:rFonts w:ascii="TNR" w:eastAsia="FS" w:hAnsi="TNR" w:cs="TNR"/>
          <w:sz w:val="24"/>
          <w:szCs w:val="24"/>
          <w:lang w:eastAsia="zh-CN"/>
        </w:rPr>
        <w:t>至</w:t>
      </w:r>
      <w:r>
        <w:rPr>
          <w:rFonts w:ascii="TNR" w:eastAsia="FS" w:hAnsi="TNR" w:cs="TNR"/>
          <w:sz w:val="24"/>
          <w:szCs w:val="24"/>
          <w:lang w:eastAsia="zh-CN"/>
        </w:rPr>
        <w:t>1979</w:t>
      </w:r>
      <w:r>
        <w:rPr>
          <w:rFonts w:ascii="TNR" w:eastAsia="FS" w:hAnsi="TNR" w:cs="TNR"/>
          <w:sz w:val="24"/>
          <w:szCs w:val="24"/>
          <w:lang w:eastAsia="zh-CN"/>
        </w:rPr>
        <w:t>年埃以和平条约的实际条款进行定性比较，评估模拟结果在宏观结构上是否与历史事实一致。</w:t>
      </w:r>
    </w:p>
    <w:p w14:paraId="6B8380ED" w14:textId="77777777" w:rsidR="00142F43" w:rsidRDefault="00000000">
      <w:pPr>
        <w:pStyle w:val="a0"/>
        <w:ind w:firstLine="480"/>
        <w:rPr>
          <w:lang w:eastAsia="zh-CN"/>
        </w:rPr>
      </w:pPr>
      <w:r>
        <w:rPr>
          <w:rFonts w:ascii="TNR" w:eastAsia="FS" w:hAnsi="TNR" w:cs="TNR"/>
          <w:sz w:val="24"/>
          <w:szCs w:val="24"/>
          <w:lang w:eastAsia="zh-CN"/>
        </w:rPr>
        <w:t>因果路径印证：检验模拟数据集中的因果路径与卡特政府外交档案（</w:t>
      </w:r>
      <w:r>
        <w:rPr>
          <w:rFonts w:ascii="TNR" w:eastAsia="FS" w:hAnsi="TNR" w:cs="TNR"/>
          <w:sz w:val="24"/>
          <w:szCs w:val="24"/>
          <w:lang w:eastAsia="zh-CN"/>
        </w:rPr>
        <w:t>Quandt, 1986</w:t>
      </w:r>
      <w:r>
        <w:rPr>
          <w:rFonts w:ascii="TNR" w:eastAsia="FS" w:hAnsi="TNR" w:cs="TNR"/>
          <w:sz w:val="24"/>
          <w:szCs w:val="24"/>
          <w:lang w:eastAsia="zh-CN"/>
        </w:rPr>
        <w:t>）所揭示的实际谈判机制之间的一致性</w:t>
      </w:r>
      <w:r>
        <w:rPr>
          <w:rFonts w:ascii="TNR" w:eastAsia="FS" w:hAnsi="TNR" w:cs="TNR"/>
          <w:sz w:val="24"/>
          <w:szCs w:val="24"/>
          <w:lang w:eastAsia="zh-CN"/>
        </w:rPr>
        <w:t>——</w:t>
      </w:r>
      <w:r>
        <w:rPr>
          <w:rFonts w:ascii="TNR" w:eastAsia="FS" w:hAnsi="TNR" w:cs="TNR"/>
          <w:sz w:val="24"/>
          <w:szCs w:val="24"/>
          <w:lang w:eastAsia="zh-CN"/>
        </w:rPr>
        <w:t>附带支付的时序和功能是否匹配。</w:t>
      </w:r>
    </w:p>
    <w:p w14:paraId="2EF5F1F2" w14:textId="77777777" w:rsidR="00142F43" w:rsidRDefault="00000000">
      <w:pPr>
        <w:pStyle w:val="a0"/>
        <w:ind w:firstLine="480"/>
        <w:rPr>
          <w:lang w:eastAsia="zh-CN"/>
        </w:rPr>
      </w:pPr>
      <w:r>
        <w:rPr>
          <w:rFonts w:ascii="TNR" w:eastAsia="FS" w:hAnsi="TNR" w:cs="TNR"/>
          <w:sz w:val="24"/>
          <w:szCs w:val="24"/>
          <w:lang w:eastAsia="zh-CN"/>
        </w:rPr>
        <w:lastRenderedPageBreak/>
        <w:t>脆弱性模式印证：将模拟中偏见调停协议的生存曲线与戴维营协议的实际稳定性轨迹进行视觉比对和定性评估。</w:t>
      </w:r>
    </w:p>
    <w:p w14:paraId="2C4F8F7B" w14:textId="77777777" w:rsidR="00142F43" w:rsidRDefault="00000000">
      <w:pPr>
        <w:pStyle w:val="a0"/>
        <w:ind w:firstLine="480"/>
        <w:rPr>
          <w:lang w:eastAsia="zh-CN"/>
        </w:rPr>
      </w:pPr>
      <w:r>
        <w:rPr>
          <w:rFonts w:ascii="TNR" w:eastAsia="FS" w:hAnsi="TNR" w:cs="TNR"/>
          <w:sz w:val="24"/>
          <w:szCs w:val="24"/>
          <w:lang w:eastAsia="zh-CN"/>
        </w:rPr>
        <w:t>反事实推断一致性：模拟实验中的</w:t>
      </w:r>
      <w:r>
        <w:rPr>
          <w:rFonts w:ascii="TNR" w:eastAsia="FS" w:hAnsi="TNR" w:cs="TNR"/>
          <w:sz w:val="24"/>
          <w:szCs w:val="24"/>
          <w:lang w:eastAsia="zh-CN"/>
        </w:rPr>
        <w:t>"</w:t>
      </w:r>
      <w:r>
        <w:rPr>
          <w:rFonts w:ascii="TNR" w:eastAsia="FS" w:hAnsi="TNR" w:cs="TNR"/>
          <w:sz w:val="24"/>
          <w:szCs w:val="24"/>
          <w:lang w:eastAsia="zh-CN"/>
        </w:rPr>
        <w:t>禁用附带支付</w:t>
      </w:r>
      <w:r>
        <w:rPr>
          <w:rFonts w:ascii="TNR" w:eastAsia="FS" w:hAnsi="TNR" w:cs="TNR"/>
          <w:sz w:val="24"/>
          <w:szCs w:val="24"/>
          <w:lang w:eastAsia="zh-CN"/>
        </w:rPr>
        <w:t>"</w:t>
      </w:r>
      <w:r>
        <w:rPr>
          <w:rFonts w:ascii="TNR" w:eastAsia="FS" w:hAnsi="TNR" w:cs="TNR"/>
          <w:sz w:val="24"/>
          <w:szCs w:val="24"/>
          <w:lang w:eastAsia="zh-CN"/>
        </w:rPr>
        <w:t>条件所预测的协议破裂前景是否与戴维营研究学界普遍持有的反事实判断（</w:t>
      </w:r>
      <w:r>
        <w:rPr>
          <w:rFonts w:ascii="TNR" w:eastAsia="FS" w:hAnsi="TNR" w:cs="TNR"/>
          <w:sz w:val="24"/>
          <w:szCs w:val="24"/>
          <w:lang w:eastAsia="zh-CN"/>
        </w:rPr>
        <w:t>"</w:t>
      </w:r>
      <w:r>
        <w:rPr>
          <w:rFonts w:ascii="TNR" w:eastAsia="FS" w:hAnsi="TNR" w:cs="TNR"/>
          <w:sz w:val="24"/>
          <w:szCs w:val="24"/>
          <w:lang w:eastAsia="zh-CN"/>
        </w:rPr>
        <w:t>若无美国援助承诺，协议不可能成立</w:t>
      </w:r>
      <w:r>
        <w:rPr>
          <w:rFonts w:ascii="TNR" w:eastAsia="FS" w:hAnsi="TNR" w:cs="TNR"/>
          <w:sz w:val="24"/>
          <w:szCs w:val="24"/>
          <w:lang w:eastAsia="zh-CN"/>
        </w:rPr>
        <w:t>"</w:t>
      </w:r>
      <w:r>
        <w:rPr>
          <w:rFonts w:ascii="TNR" w:eastAsia="FS" w:hAnsi="TNR" w:cs="TNR"/>
          <w:sz w:val="24"/>
          <w:szCs w:val="24"/>
          <w:lang w:eastAsia="zh-CN"/>
        </w:rPr>
        <w:t>）在方向上一致。</w:t>
      </w:r>
    </w:p>
    <w:p w14:paraId="03402EDD" w14:textId="77777777" w:rsidR="00142F43" w:rsidRDefault="00000000">
      <w:r>
        <w:rPr>
          <w:rFonts w:ascii="TNR" w:eastAsia="KT" w:hAnsi="TNR" w:cs="TNR"/>
          <w:sz w:val="28"/>
          <w:szCs w:val="28"/>
        </w:rPr>
        <w:t>（三）理论贡献</w:t>
      </w:r>
    </w:p>
    <w:p w14:paraId="50528B35" w14:textId="77777777" w:rsidR="00142F43" w:rsidRDefault="00000000">
      <w:pPr>
        <w:pStyle w:val="a0"/>
        <w:ind w:firstLine="480"/>
        <w:rPr>
          <w:lang w:eastAsia="zh-CN"/>
        </w:rPr>
      </w:pPr>
      <w:r>
        <w:rPr>
          <w:rFonts w:ascii="TNR" w:eastAsia="FS" w:hAnsi="TNR" w:cs="TNR"/>
          <w:sz w:val="24"/>
          <w:szCs w:val="24"/>
          <w:lang w:eastAsia="zh-CN"/>
        </w:rPr>
        <w:t>为偏见调停有效性假说提供了独立的多智能体模拟实验证据，并以戴维营案例进行了多层次的交叉印证</w:t>
      </w:r>
      <w:r>
        <w:rPr>
          <w:rFonts w:ascii="TNR" w:eastAsia="FS" w:hAnsi="TNR" w:cs="TNR"/>
          <w:sz w:val="24"/>
          <w:szCs w:val="24"/>
          <w:lang w:eastAsia="zh-CN"/>
        </w:rPr>
        <w:t>——</w:t>
      </w:r>
      <w:r>
        <w:rPr>
          <w:rFonts w:ascii="TNR" w:eastAsia="FS" w:hAnsi="TNR" w:cs="TNR"/>
          <w:sz w:val="24"/>
          <w:szCs w:val="24"/>
          <w:lang w:eastAsia="zh-CN"/>
        </w:rPr>
        <w:t>在模拟实验和真实案例两个维度同步验证。</w:t>
      </w:r>
    </w:p>
    <w:p w14:paraId="09B34F92" w14:textId="77777777" w:rsidR="00142F43" w:rsidRDefault="00000000">
      <w:pPr>
        <w:pStyle w:val="a0"/>
        <w:ind w:firstLine="480"/>
        <w:rPr>
          <w:lang w:eastAsia="zh-CN"/>
        </w:rPr>
      </w:pPr>
      <w:r>
        <w:rPr>
          <w:rFonts w:ascii="TNR" w:eastAsia="FS" w:hAnsi="TNR" w:cs="TNR"/>
          <w:sz w:val="24"/>
          <w:szCs w:val="24"/>
          <w:lang w:eastAsia="zh-CN"/>
        </w:rPr>
        <w:t>系统揭示了附带支付在偏见调停与协议达成之间的中介作用</w:t>
      </w:r>
      <w:r>
        <w:rPr>
          <w:rFonts w:ascii="TNR" w:eastAsia="FS" w:hAnsi="TNR" w:cs="TNR"/>
          <w:sz w:val="24"/>
          <w:szCs w:val="24"/>
          <w:lang w:eastAsia="zh-CN"/>
        </w:rPr>
        <w:t>——</w:t>
      </w:r>
      <w:r>
        <w:rPr>
          <w:rFonts w:ascii="TNR" w:eastAsia="FS" w:hAnsi="TNR" w:cs="TNR"/>
          <w:sz w:val="24"/>
          <w:szCs w:val="24"/>
          <w:lang w:eastAsia="zh-CN"/>
        </w:rPr>
        <w:t>在模拟层面通过</w:t>
      </w:r>
      <w:r>
        <w:rPr>
          <w:rFonts w:ascii="TNR" w:eastAsia="FS" w:hAnsi="TNR" w:cs="TNR"/>
          <w:sz w:val="24"/>
          <w:szCs w:val="24"/>
          <w:lang w:eastAsia="zh-CN"/>
        </w:rPr>
        <w:t>Bootstrap</w:t>
      </w:r>
      <w:r>
        <w:rPr>
          <w:rFonts w:ascii="TNR" w:eastAsia="FS" w:hAnsi="TNR" w:cs="TNR"/>
          <w:sz w:val="24"/>
          <w:szCs w:val="24"/>
          <w:lang w:eastAsia="zh-CN"/>
        </w:rPr>
        <w:t>中介检验建立统计证据，在案例层面通过档案研究进行定性验证。</w:t>
      </w:r>
    </w:p>
    <w:p w14:paraId="3F0039F4" w14:textId="77777777" w:rsidR="00142F43" w:rsidRDefault="00000000">
      <w:pPr>
        <w:pStyle w:val="a0"/>
        <w:ind w:firstLine="480"/>
        <w:rPr>
          <w:lang w:eastAsia="zh-CN"/>
        </w:rPr>
      </w:pPr>
      <w:r>
        <w:rPr>
          <w:rFonts w:ascii="TNR" w:eastAsia="FS" w:hAnsi="TNR" w:cs="TNR"/>
          <w:sz w:val="24"/>
          <w:szCs w:val="24"/>
          <w:lang w:eastAsia="zh-CN"/>
        </w:rPr>
        <w:t>给出了偏见调停有效性的边界条件：实力不对称度须达到一定水平（</w:t>
      </w:r>
      <w:r>
        <w:rPr>
          <w:rFonts w:ascii="TNR" w:eastAsia="FS" w:hAnsi="TNR" w:cs="TNR"/>
          <w:sz w:val="24"/>
          <w:szCs w:val="24"/>
          <w:lang w:eastAsia="zh-CN"/>
        </w:rPr>
        <w:t>AR≥2:1</w:t>
      </w:r>
      <w:r>
        <w:rPr>
          <w:rFonts w:ascii="TNR" w:eastAsia="FS" w:hAnsi="TNR" w:cs="TNR"/>
          <w:sz w:val="24"/>
          <w:szCs w:val="24"/>
          <w:lang w:eastAsia="zh-CN"/>
        </w:rPr>
        <w:t>）偏见调停才能展现显著的协议促成优势，过低的不对称度会削弱甚至消除这一效应。</w:t>
      </w:r>
    </w:p>
    <w:p w14:paraId="06BC1C09" w14:textId="77777777" w:rsidR="00142F43" w:rsidRDefault="00000000">
      <w:pPr>
        <w:pStyle w:val="a0"/>
        <w:ind w:firstLine="480"/>
        <w:rPr>
          <w:lang w:eastAsia="zh-CN"/>
        </w:rPr>
      </w:pPr>
      <w:r>
        <w:rPr>
          <w:rFonts w:ascii="TNR" w:eastAsia="FS" w:hAnsi="TNR" w:cs="TNR"/>
          <w:sz w:val="24"/>
          <w:szCs w:val="24"/>
          <w:lang w:eastAsia="zh-CN"/>
        </w:rPr>
        <w:t>实证了偏见调停的效率</w:t>
      </w:r>
      <w:r>
        <w:rPr>
          <w:rFonts w:ascii="TNR" w:eastAsia="FS" w:hAnsi="TNR" w:cs="TNR"/>
          <w:sz w:val="24"/>
          <w:szCs w:val="24"/>
          <w:lang w:eastAsia="zh-CN"/>
        </w:rPr>
        <w:t>-</w:t>
      </w:r>
      <w:r>
        <w:rPr>
          <w:rFonts w:ascii="TNR" w:eastAsia="FS" w:hAnsi="TNR" w:cs="TNR"/>
          <w:sz w:val="24"/>
          <w:szCs w:val="24"/>
          <w:lang w:eastAsia="zh-CN"/>
        </w:rPr>
        <w:t>脆弱性权衡关系：偏见调停所达成的协议在公平性和稳定性两个维度上系统性地低于中立调停所达成的协议。</w:t>
      </w:r>
    </w:p>
    <w:p w14:paraId="798C494D" w14:textId="77777777" w:rsidR="00142F43" w:rsidRDefault="00000000">
      <w:r>
        <w:rPr>
          <w:rFonts w:ascii="TNR" w:eastAsia="KT" w:hAnsi="TNR" w:cs="TNR"/>
          <w:sz w:val="28"/>
          <w:szCs w:val="28"/>
        </w:rPr>
        <w:t>（四）方法论贡献</w:t>
      </w:r>
    </w:p>
    <w:p w14:paraId="15E50C7B" w14:textId="77777777" w:rsidR="00142F43" w:rsidRDefault="00000000">
      <w:pPr>
        <w:pStyle w:val="a0"/>
        <w:ind w:firstLine="480"/>
        <w:rPr>
          <w:lang w:eastAsia="zh-CN"/>
        </w:rPr>
      </w:pPr>
      <w:r>
        <w:rPr>
          <w:rFonts w:ascii="TNR" w:eastAsia="FS" w:hAnsi="TNR" w:cs="TNR"/>
          <w:sz w:val="24"/>
          <w:szCs w:val="24"/>
          <w:lang w:eastAsia="zh-CN"/>
        </w:rPr>
        <w:t>提出了一套以</w:t>
      </w:r>
      <w:r>
        <w:rPr>
          <w:rFonts w:ascii="TNR" w:eastAsia="FS" w:hAnsi="TNR" w:cs="TNR"/>
          <w:sz w:val="24"/>
          <w:szCs w:val="24"/>
          <w:lang w:eastAsia="zh-CN"/>
        </w:rPr>
        <w:t>"</w:t>
      </w:r>
      <w:r>
        <w:rPr>
          <w:rFonts w:ascii="TNR" w:eastAsia="FS" w:hAnsi="TNR" w:cs="TNR"/>
          <w:sz w:val="24"/>
          <w:szCs w:val="24"/>
          <w:lang w:eastAsia="zh-CN"/>
        </w:rPr>
        <w:t>案例参数校准</w:t>
      </w:r>
      <w:r>
        <w:rPr>
          <w:rFonts w:ascii="TNR" w:eastAsia="FS" w:hAnsi="TNR" w:cs="TNR"/>
          <w:sz w:val="24"/>
          <w:szCs w:val="24"/>
          <w:lang w:eastAsia="zh-CN"/>
        </w:rPr>
        <w:t>—</w:t>
      </w:r>
      <w:r>
        <w:rPr>
          <w:rFonts w:ascii="TNR" w:eastAsia="FS" w:hAnsi="TNR" w:cs="TNR"/>
          <w:sz w:val="24"/>
          <w:szCs w:val="24"/>
          <w:lang w:eastAsia="zh-CN"/>
        </w:rPr>
        <w:t>提示工程驱动</w:t>
      </w:r>
      <w:r>
        <w:rPr>
          <w:rFonts w:ascii="TNR" w:eastAsia="FS" w:hAnsi="TNR" w:cs="TNR"/>
          <w:sz w:val="24"/>
          <w:szCs w:val="24"/>
          <w:lang w:eastAsia="zh-CN"/>
        </w:rPr>
        <w:t>—</w:t>
      </w:r>
      <w:r>
        <w:rPr>
          <w:rFonts w:ascii="TNR" w:eastAsia="FS" w:hAnsi="TNR" w:cs="TNR"/>
          <w:sz w:val="24"/>
          <w:szCs w:val="24"/>
          <w:lang w:eastAsia="zh-CN"/>
        </w:rPr>
        <w:t>评估迭代优化</w:t>
      </w:r>
      <w:r>
        <w:rPr>
          <w:rFonts w:ascii="TNR" w:eastAsia="FS" w:hAnsi="TNR" w:cs="TNR"/>
          <w:sz w:val="24"/>
          <w:szCs w:val="24"/>
          <w:lang w:eastAsia="zh-CN"/>
        </w:rPr>
        <w:t>—</w:t>
      </w:r>
      <w:r>
        <w:rPr>
          <w:rFonts w:ascii="TNR" w:eastAsia="FS" w:hAnsi="TNR" w:cs="TNR"/>
          <w:sz w:val="24"/>
          <w:szCs w:val="24"/>
          <w:lang w:eastAsia="zh-CN"/>
        </w:rPr>
        <w:t>统计假设检验</w:t>
      </w:r>
      <w:r>
        <w:rPr>
          <w:rFonts w:ascii="TNR" w:eastAsia="FS" w:hAnsi="TNR" w:cs="TNR"/>
          <w:sz w:val="24"/>
          <w:szCs w:val="24"/>
          <w:lang w:eastAsia="zh-CN"/>
        </w:rPr>
        <w:t>"</w:t>
      </w:r>
      <w:r>
        <w:rPr>
          <w:rFonts w:ascii="TNR" w:eastAsia="FS" w:hAnsi="TNR" w:cs="TNR"/>
          <w:sz w:val="24"/>
          <w:szCs w:val="24"/>
          <w:lang w:eastAsia="zh-CN"/>
        </w:rPr>
        <w:t>为核心流程的计算社会科学研究范式，为历史案例驱动的多智能体模拟提供了一个可复制的操作框架。</w:t>
      </w:r>
    </w:p>
    <w:p w14:paraId="0F1C87C1" w14:textId="77777777" w:rsidR="00142F43" w:rsidRDefault="00000000">
      <w:pPr>
        <w:pStyle w:val="a0"/>
        <w:ind w:firstLine="480"/>
        <w:rPr>
          <w:lang w:eastAsia="zh-CN"/>
        </w:rPr>
      </w:pPr>
      <w:r>
        <w:rPr>
          <w:rFonts w:ascii="TNR" w:eastAsia="FS" w:hAnsi="TNR" w:cs="TNR"/>
          <w:sz w:val="24"/>
          <w:szCs w:val="24"/>
          <w:lang w:eastAsia="zh-CN"/>
        </w:rPr>
        <w:t>设计并验证了基于独立评估智能体的实验质量监控和参数迭代优化体系。</w:t>
      </w:r>
    </w:p>
    <w:p w14:paraId="5490AC03" w14:textId="77777777" w:rsidR="00142F43" w:rsidRDefault="00000000">
      <w:pPr>
        <w:pStyle w:val="a0"/>
        <w:ind w:firstLine="480"/>
        <w:rPr>
          <w:lang w:eastAsia="zh-CN"/>
        </w:rPr>
      </w:pPr>
      <w:r>
        <w:rPr>
          <w:rFonts w:ascii="TNR" w:eastAsia="FS" w:hAnsi="TNR" w:cs="TNR"/>
          <w:sz w:val="24"/>
          <w:szCs w:val="24"/>
          <w:lang w:eastAsia="zh-CN"/>
        </w:rPr>
        <w:t>建立了模拟实验结果与真实历史案例的系统性印证分析框架，为提升计算实验的外部效度提供了一条可操作的路径。</w:t>
      </w:r>
    </w:p>
    <w:p w14:paraId="4D23D212" w14:textId="77777777" w:rsidR="00142F43" w:rsidRDefault="00000000">
      <w:pPr>
        <w:pStyle w:val="a0"/>
        <w:ind w:firstLine="480"/>
        <w:rPr>
          <w:lang w:eastAsia="zh-CN"/>
        </w:rPr>
      </w:pPr>
      <w:r>
        <w:rPr>
          <w:rFonts w:ascii="TNR" w:eastAsia="FS" w:hAnsi="TNR" w:cs="TNR"/>
          <w:sz w:val="24"/>
          <w:szCs w:val="24"/>
          <w:lang w:eastAsia="zh-CN"/>
        </w:rPr>
        <w:t>所有实验代码、提示词模板和数据集将在研究完成后以标准化格式开源，推动计算社会科学研究的可复现性和透明性。</w:t>
      </w:r>
    </w:p>
    <w:p w14:paraId="723ED45A" w14:textId="77777777" w:rsidR="00142F43" w:rsidRDefault="00000000">
      <w:pPr>
        <w:rPr>
          <w:lang w:eastAsia="zh-CN"/>
        </w:rPr>
      </w:pPr>
      <w:r>
        <w:rPr>
          <w:lang w:eastAsia="zh-CN"/>
        </w:rPr>
        <w:br w:type="page"/>
      </w:r>
    </w:p>
    <w:p w14:paraId="6F657C66" w14:textId="77777777" w:rsidR="00142F43" w:rsidRDefault="00000000">
      <w:pPr>
        <w:jc w:val="center"/>
      </w:pPr>
      <w:r>
        <w:rPr>
          <w:rFonts w:ascii="TNR" w:eastAsia="SH" w:hAnsi="TNR" w:cs="TNR"/>
          <w:b/>
          <w:sz w:val="32"/>
          <w:szCs w:val="32"/>
        </w:rPr>
        <w:lastRenderedPageBreak/>
        <w:t>九、研究计划</w:t>
      </w:r>
    </w:p>
    <w:tbl>
      <w:tblPr>
        <w:tblStyle w:val="-11"/>
        <w:tblW w:w="0" w:type="auto"/>
        <w:tblLook w:val="04A0" w:firstRow="1" w:lastRow="0" w:firstColumn="1" w:lastColumn="0" w:noHBand="0" w:noVBand="1"/>
      </w:tblPr>
      <w:tblGrid>
        <w:gridCol w:w="2078"/>
        <w:gridCol w:w="2078"/>
        <w:gridCol w:w="2078"/>
        <w:gridCol w:w="2078"/>
      </w:tblGrid>
      <w:tr w:rsidR="00142F43" w14:paraId="1D46AB32" w14:textId="77777777" w:rsidTr="00142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3625110" w14:textId="77777777" w:rsidR="00142F43" w:rsidRDefault="00000000">
            <w:pPr>
              <w:spacing w:line="288" w:lineRule="auto"/>
            </w:pPr>
            <w:r>
              <w:rPr>
                <w:rFonts w:ascii="TNR" w:eastAsia="FS" w:hAnsi="TNR" w:cs="TNR"/>
                <w:sz w:val="20"/>
                <w:szCs w:val="20"/>
              </w:rPr>
              <w:t>阶段</w:t>
            </w:r>
          </w:p>
        </w:tc>
        <w:tc>
          <w:tcPr>
            <w:tcW w:w="2078" w:type="dxa"/>
          </w:tcPr>
          <w:p w14:paraId="0DCC9DF8" w14:textId="77777777" w:rsidR="00142F43" w:rsidRDefault="00000000">
            <w:pPr>
              <w:spacing w:line="288" w:lineRule="auto"/>
              <w:cnfStyle w:val="100000000000" w:firstRow="1" w:lastRow="0" w:firstColumn="0" w:lastColumn="0" w:oddVBand="0" w:evenVBand="0" w:oddHBand="0" w:evenHBand="0" w:firstRowFirstColumn="0" w:firstRowLastColumn="0" w:lastRowFirstColumn="0" w:lastRowLastColumn="0"/>
            </w:pPr>
            <w:r>
              <w:rPr>
                <w:rFonts w:ascii="TNR" w:eastAsia="FS" w:hAnsi="TNR" w:cs="TNR"/>
                <w:sz w:val="20"/>
                <w:szCs w:val="20"/>
              </w:rPr>
              <w:t>时间</w:t>
            </w:r>
          </w:p>
        </w:tc>
        <w:tc>
          <w:tcPr>
            <w:tcW w:w="2078" w:type="dxa"/>
          </w:tcPr>
          <w:p w14:paraId="7DD4EDAF" w14:textId="77777777" w:rsidR="00142F43" w:rsidRDefault="00000000">
            <w:pPr>
              <w:spacing w:line="288" w:lineRule="auto"/>
              <w:cnfStyle w:val="100000000000" w:firstRow="1" w:lastRow="0" w:firstColumn="0" w:lastColumn="0" w:oddVBand="0" w:evenVBand="0" w:oddHBand="0" w:evenHBand="0" w:firstRowFirstColumn="0" w:firstRowLastColumn="0" w:lastRowFirstColumn="0" w:lastRowLastColumn="0"/>
            </w:pPr>
            <w:r>
              <w:rPr>
                <w:rFonts w:ascii="TNR" w:eastAsia="FS" w:hAnsi="TNR" w:cs="TNR"/>
                <w:sz w:val="20"/>
                <w:szCs w:val="20"/>
              </w:rPr>
              <w:t>主要任务</w:t>
            </w:r>
          </w:p>
        </w:tc>
        <w:tc>
          <w:tcPr>
            <w:tcW w:w="2078" w:type="dxa"/>
          </w:tcPr>
          <w:p w14:paraId="6CAF546C" w14:textId="77777777" w:rsidR="00142F43" w:rsidRDefault="00000000">
            <w:pPr>
              <w:spacing w:line="288" w:lineRule="auto"/>
              <w:cnfStyle w:val="100000000000" w:firstRow="1" w:lastRow="0" w:firstColumn="0" w:lastColumn="0" w:oddVBand="0" w:evenVBand="0" w:oddHBand="0" w:evenHBand="0" w:firstRowFirstColumn="0" w:firstRowLastColumn="0" w:lastRowFirstColumn="0" w:lastRowLastColumn="0"/>
            </w:pPr>
            <w:r>
              <w:rPr>
                <w:rFonts w:ascii="TNR" w:eastAsia="FS" w:hAnsi="TNR" w:cs="TNR"/>
                <w:sz w:val="20"/>
                <w:szCs w:val="20"/>
              </w:rPr>
              <w:t>交付物</w:t>
            </w:r>
          </w:p>
        </w:tc>
      </w:tr>
      <w:tr w:rsidR="00142F43" w14:paraId="34666B5B" w14:textId="77777777" w:rsidTr="0014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3B226FA9" w14:textId="77777777" w:rsidR="00142F43" w:rsidRDefault="00000000">
            <w:pPr>
              <w:spacing w:line="288" w:lineRule="auto"/>
            </w:pPr>
            <w:r>
              <w:rPr>
                <w:rFonts w:ascii="TNR" w:eastAsia="FS" w:hAnsi="TNR" w:cs="TNR"/>
                <w:sz w:val="20"/>
                <w:szCs w:val="20"/>
              </w:rPr>
              <w:t>系统搭建与案例研究</w:t>
            </w:r>
          </w:p>
        </w:tc>
        <w:tc>
          <w:tcPr>
            <w:tcW w:w="2078" w:type="dxa"/>
          </w:tcPr>
          <w:p w14:paraId="33227FB6"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第</w:t>
            </w:r>
            <w:r>
              <w:rPr>
                <w:rFonts w:ascii="TNR" w:eastAsia="FS" w:hAnsi="TNR" w:cs="TNR"/>
                <w:sz w:val="20"/>
                <w:szCs w:val="20"/>
              </w:rPr>
              <w:t>1-3</w:t>
            </w:r>
            <w:r>
              <w:rPr>
                <w:rFonts w:ascii="TNR" w:eastAsia="FS" w:hAnsi="TNR" w:cs="TNR"/>
                <w:sz w:val="20"/>
                <w:szCs w:val="20"/>
              </w:rPr>
              <w:t>天</w:t>
            </w:r>
          </w:p>
        </w:tc>
        <w:tc>
          <w:tcPr>
            <w:tcW w:w="2078" w:type="dxa"/>
          </w:tcPr>
          <w:p w14:paraId="4D8A3060"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rPr>
                <w:lang w:eastAsia="zh-CN"/>
              </w:rPr>
            </w:pPr>
            <w:r>
              <w:rPr>
                <w:rFonts w:ascii="TNR" w:eastAsia="FS" w:hAnsi="TNR" w:cs="TNR"/>
                <w:sz w:val="20"/>
                <w:szCs w:val="20"/>
                <w:lang w:eastAsia="zh-CN"/>
              </w:rPr>
              <w:t>构建多智能体系统、设计提示词模板与</w:t>
            </w:r>
            <w:r>
              <w:rPr>
                <w:rFonts w:ascii="TNR" w:eastAsia="FS" w:hAnsi="TNR" w:cs="TNR"/>
                <w:sz w:val="20"/>
                <w:szCs w:val="20"/>
                <w:lang w:eastAsia="zh-CN"/>
              </w:rPr>
              <w:br/>
              <w:t>Pydantic</w:t>
            </w:r>
            <w:r>
              <w:rPr>
                <w:rFonts w:ascii="TNR" w:eastAsia="FS" w:hAnsi="TNR" w:cs="TNR"/>
                <w:sz w:val="20"/>
                <w:szCs w:val="20"/>
                <w:lang w:eastAsia="zh-CN"/>
              </w:rPr>
              <w:t>验证模式、搭建评估框架、</w:t>
            </w:r>
            <w:r>
              <w:rPr>
                <w:rFonts w:ascii="TNR" w:eastAsia="FS" w:hAnsi="TNR" w:cs="TNR"/>
                <w:sz w:val="20"/>
                <w:szCs w:val="20"/>
                <w:lang w:eastAsia="zh-CN"/>
              </w:rPr>
              <w:br/>
            </w:r>
            <w:r>
              <w:rPr>
                <w:rFonts w:ascii="TNR" w:eastAsia="FS" w:hAnsi="TNR" w:cs="TNR"/>
                <w:sz w:val="20"/>
                <w:szCs w:val="20"/>
                <w:lang w:eastAsia="zh-CN"/>
              </w:rPr>
              <w:t>整理戴维营协议历史参数数据集</w:t>
            </w:r>
          </w:p>
        </w:tc>
        <w:tc>
          <w:tcPr>
            <w:tcW w:w="2078" w:type="dxa"/>
          </w:tcPr>
          <w:p w14:paraId="496EA2C0"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可运行的模拟系统</w:t>
            </w:r>
            <w:r>
              <w:rPr>
                <w:rFonts w:ascii="TNR" w:eastAsia="FS" w:hAnsi="TNR" w:cs="TNR"/>
                <w:sz w:val="20"/>
                <w:szCs w:val="20"/>
              </w:rPr>
              <w:t>v1.0</w:t>
            </w:r>
            <w:r>
              <w:rPr>
                <w:rFonts w:ascii="TNR" w:eastAsia="FS" w:hAnsi="TNR" w:cs="TNR"/>
                <w:sz w:val="20"/>
                <w:szCs w:val="20"/>
              </w:rPr>
              <w:br/>
              <w:t>Camp David</w:t>
            </w:r>
            <w:r>
              <w:rPr>
                <w:rFonts w:ascii="TNR" w:eastAsia="FS" w:hAnsi="TNR" w:cs="TNR"/>
                <w:sz w:val="20"/>
                <w:szCs w:val="20"/>
              </w:rPr>
              <w:t>参数档案</w:t>
            </w:r>
          </w:p>
        </w:tc>
      </w:tr>
      <w:tr w:rsidR="00142F43" w14:paraId="61478150" w14:textId="77777777" w:rsidTr="00142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58314019" w14:textId="77777777" w:rsidR="00142F43" w:rsidRDefault="00000000">
            <w:pPr>
              <w:spacing w:line="288" w:lineRule="auto"/>
            </w:pPr>
            <w:r>
              <w:rPr>
                <w:rFonts w:ascii="TNR" w:eastAsia="FS" w:hAnsi="TNR" w:cs="TNR"/>
                <w:sz w:val="20"/>
                <w:szCs w:val="20"/>
              </w:rPr>
              <w:t>预实验与参数校准</w:t>
            </w:r>
          </w:p>
        </w:tc>
        <w:tc>
          <w:tcPr>
            <w:tcW w:w="2078" w:type="dxa"/>
          </w:tcPr>
          <w:p w14:paraId="7474E834"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pPr>
            <w:r>
              <w:rPr>
                <w:rFonts w:ascii="TNR" w:eastAsia="FS" w:hAnsi="TNR" w:cs="TNR"/>
                <w:sz w:val="20"/>
                <w:szCs w:val="20"/>
              </w:rPr>
              <w:t>第</w:t>
            </w:r>
            <w:r>
              <w:rPr>
                <w:rFonts w:ascii="TNR" w:eastAsia="FS" w:hAnsi="TNR" w:cs="TNR"/>
                <w:sz w:val="20"/>
                <w:szCs w:val="20"/>
              </w:rPr>
              <w:t>4-5</w:t>
            </w:r>
            <w:r>
              <w:rPr>
                <w:rFonts w:ascii="TNR" w:eastAsia="FS" w:hAnsi="TNR" w:cs="TNR"/>
                <w:sz w:val="20"/>
                <w:szCs w:val="20"/>
              </w:rPr>
              <w:t>天</w:t>
            </w:r>
          </w:p>
        </w:tc>
        <w:tc>
          <w:tcPr>
            <w:tcW w:w="2078" w:type="dxa"/>
          </w:tcPr>
          <w:p w14:paraId="43FD0D06"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rPr>
                <w:lang w:eastAsia="zh-CN"/>
              </w:rPr>
            </w:pPr>
            <w:r>
              <w:rPr>
                <w:rFonts w:ascii="TNR" w:eastAsia="FS" w:hAnsi="TNR" w:cs="TNR"/>
                <w:sz w:val="20"/>
                <w:szCs w:val="20"/>
                <w:lang w:eastAsia="zh-CN"/>
              </w:rPr>
              <w:t>运行</w:t>
            </w:r>
            <w:r>
              <w:rPr>
                <w:rFonts w:ascii="TNR" w:eastAsia="FS" w:hAnsi="TNR" w:cs="TNR"/>
                <w:sz w:val="20"/>
                <w:szCs w:val="20"/>
                <w:lang w:eastAsia="zh-CN"/>
              </w:rPr>
              <w:t>35</w:t>
            </w:r>
            <w:r>
              <w:rPr>
                <w:rFonts w:ascii="TNR" w:eastAsia="FS" w:hAnsi="TNR" w:cs="TNR"/>
                <w:sz w:val="20"/>
                <w:szCs w:val="20"/>
                <w:lang w:eastAsia="zh-CN"/>
              </w:rPr>
              <w:t>次预实验（含戴维营参照组）、</w:t>
            </w:r>
            <w:r>
              <w:rPr>
                <w:rFonts w:ascii="TNR" w:eastAsia="FS" w:hAnsi="TNR" w:cs="TNR"/>
                <w:sz w:val="20"/>
                <w:szCs w:val="20"/>
                <w:lang w:eastAsia="zh-CN"/>
              </w:rPr>
              <w:br/>
            </w:r>
            <w:r>
              <w:rPr>
                <w:rFonts w:ascii="TNR" w:eastAsia="FS" w:hAnsi="TNR" w:cs="TNR"/>
                <w:sz w:val="20"/>
                <w:szCs w:val="20"/>
                <w:lang w:eastAsia="zh-CN"/>
              </w:rPr>
              <w:t>校准提示词参数、验证操作检查</w:t>
            </w:r>
          </w:p>
        </w:tc>
        <w:tc>
          <w:tcPr>
            <w:tcW w:w="2078" w:type="dxa"/>
          </w:tcPr>
          <w:p w14:paraId="5DE97C04"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rPr>
                <w:lang w:eastAsia="zh-CN"/>
              </w:rPr>
            </w:pPr>
            <w:r>
              <w:rPr>
                <w:rFonts w:ascii="TNR" w:eastAsia="FS" w:hAnsi="TNR" w:cs="TNR"/>
                <w:sz w:val="20"/>
                <w:szCs w:val="20"/>
                <w:lang w:eastAsia="zh-CN"/>
              </w:rPr>
              <w:t>最终实验配置</w:t>
            </w:r>
            <w:r>
              <w:rPr>
                <w:rFonts w:ascii="TNR" w:eastAsia="FS" w:hAnsi="TNR" w:cs="TNR"/>
                <w:sz w:val="20"/>
                <w:szCs w:val="20"/>
                <w:lang w:eastAsia="zh-CN"/>
              </w:rPr>
              <w:br/>
            </w:r>
            <w:r>
              <w:rPr>
                <w:rFonts w:ascii="TNR" w:eastAsia="FS" w:hAnsi="TNR" w:cs="TNR"/>
                <w:sz w:val="20"/>
                <w:szCs w:val="20"/>
                <w:lang w:eastAsia="zh-CN"/>
              </w:rPr>
              <w:t>评估校准报告</w:t>
            </w:r>
          </w:p>
        </w:tc>
      </w:tr>
      <w:tr w:rsidR="00142F43" w14:paraId="20CAEFEA" w14:textId="77777777" w:rsidTr="0014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0F38CE6E" w14:textId="77777777" w:rsidR="00142F43" w:rsidRDefault="00000000">
            <w:pPr>
              <w:spacing w:line="288" w:lineRule="auto"/>
            </w:pPr>
            <w:r>
              <w:rPr>
                <w:rFonts w:ascii="TNR" w:eastAsia="FS" w:hAnsi="TNR" w:cs="TNR"/>
                <w:sz w:val="20"/>
                <w:szCs w:val="20"/>
              </w:rPr>
              <w:t>主实验</w:t>
            </w:r>
          </w:p>
        </w:tc>
        <w:tc>
          <w:tcPr>
            <w:tcW w:w="2078" w:type="dxa"/>
          </w:tcPr>
          <w:p w14:paraId="115408D0"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第</w:t>
            </w:r>
            <w:r>
              <w:rPr>
                <w:rFonts w:ascii="TNR" w:eastAsia="FS" w:hAnsi="TNR" w:cs="TNR"/>
                <w:sz w:val="20"/>
                <w:szCs w:val="20"/>
              </w:rPr>
              <w:t>6-9</w:t>
            </w:r>
            <w:r>
              <w:rPr>
                <w:rFonts w:ascii="TNR" w:eastAsia="FS" w:hAnsi="TNR" w:cs="TNR"/>
                <w:sz w:val="20"/>
                <w:szCs w:val="20"/>
              </w:rPr>
              <w:t>天</w:t>
            </w:r>
          </w:p>
        </w:tc>
        <w:tc>
          <w:tcPr>
            <w:tcW w:w="2078" w:type="dxa"/>
          </w:tcPr>
          <w:p w14:paraId="5FE2C58A"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rPr>
                <w:lang w:eastAsia="zh-CN"/>
              </w:rPr>
            </w:pPr>
            <w:r>
              <w:rPr>
                <w:rFonts w:ascii="TNR" w:eastAsia="FS" w:hAnsi="TNR" w:cs="TNR"/>
                <w:sz w:val="20"/>
                <w:szCs w:val="20"/>
                <w:lang w:eastAsia="zh-CN"/>
              </w:rPr>
              <w:t>运行</w:t>
            </w:r>
            <w:r>
              <w:rPr>
                <w:rFonts w:ascii="TNR" w:eastAsia="FS" w:hAnsi="TNR" w:cs="TNR"/>
                <w:sz w:val="20"/>
                <w:szCs w:val="20"/>
                <w:lang w:eastAsia="zh-CN"/>
              </w:rPr>
              <w:t>210</w:t>
            </w:r>
            <w:r>
              <w:rPr>
                <w:rFonts w:ascii="TNR" w:eastAsia="FS" w:hAnsi="TNR" w:cs="TNR"/>
                <w:sz w:val="20"/>
                <w:szCs w:val="20"/>
                <w:lang w:eastAsia="zh-CN"/>
              </w:rPr>
              <w:t>次正式实验</w:t>
            </w:r>
            <w:r>
              <w:rPr>
                <w:rFonts w:ascii="TNR" w:eastAsia="FS" w:hAnsi="TNR" w:cs="TNR"/>
                <w:sz w:val="20"/>
                <w:szCs w:val="20"/>
                <w:lang w:eastAsia="zh-CN"/>
              </w:rPr>
              <w:br/>
            </w:r>
            <w:r>
              <w:rPr>
                <w:rFonts w:ascii="TNR" w:eastAsia="FS" w:hAnsi="TNR" w:cs="TNR"/>
                <w:sz w:val="20"/>
                <w:szCs w:val="20"/>
                <w:lang w:eastAsia="zh-CN"/>
              </w:rPr>
              <w:t>每</w:t>
            </w:r>
            <w:r>
              <w:rPr>
                <w:rFonts w:ascii="TNR" w:eastAsia="FS" w:hAnsi="TNR" w:cs="TNR"/>
                <w:sz w:val="20"/>
                <w:szCs w:val="20"/>
                <w:lang w:eastAsia="zh-CN"/>
              </w:rPr>
              <w:t>10</w:t>
            </w:r>
            <w:r>
              <w:rPr>
                <w:rFonts w:ascii="TNR" w:eastAsia="FS" w:hAnsi="TNR" w:cs="TNR"/>
                <w:sz w:val="20"/>
                <w:szCs w:val="20"/>
                <w:lang w:eastAsia="zh-CN"/>
              </w:rPr>
              <w:t>次快速迭代、每</w:t>
            </w:r>
            <w:r>
              <w:rPr>
                <w:rFonts w:ascii="TNR" w:eastAsia="FS" w:hAnsi="TNR" w:cs="TNR"/>
                <w:sz w:val="20"/>
                <w:szCs w:val="20"/>
                <w:lang w:eastAsia="zh-CN"/>
              </w:rPr>
              <w:t>30</w:t>
            </w:r>
            <w:r>
              <w:rPr>
                <w:rFonts w:ascii="TNR" w:eastAsia="FS" w:hAnsi="TNR" w:cs="TNR"/>
                <w:sz w:val="20"/>
                <w:szCs w:val="20"/>
                <w:lang w:eastAsia="zh-CN"/>
              </w:rPr>
              <w:t>次中期迭代</w:t>
            </w:r>
          </w:p>
        </w:tc>
        <w:tc>
          <w:tcPr>
            <w:tcW w:w="2078" w:type="dxa"/>
          </w:tcPr>
          <w:p w14:paraId="19C11EE5"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rPr>
                <w:lang w:eastAsia="zh-CN"/>
              </w:rPr>
            </w:pPr>
            <w:r>
              <w:rPr>
                <w:rFonts w:ascii="TNR" w:eastAsia="FS" w:hAnsi="TNR" w:cs="TNR"/>
                <w:sz w:val="20"/>
                <w:szCs w:val="20"/>
                <w:lang w:eastAsia="zh-CN"/>
              </w:rPr>
              <w:t>主实验数据集</w:t>
            </w:r>
            <w:r>
              <w:rPr>
                <w:rFonts w:ascii="TNR" w:eastAsia="FS" w:hAnsi="TNR" w:cs="TNR"/>
                <w:sz w:val="20"/>
                <w:szCs w:val="20"/>
                <w:lang w:eastAsia="zh-CN"/>
              </w:rPr>
              <w:br/>
              <w:t>30</w:t>
            </w:r>
            <w:r>
              <w:rPr>
                <w:rFonts w:ascii="TNR" w:eastAsia="FS" w:hAnsi="TNR" w:cs="TNR"/>
                <w:sz w:val="20"/>
                <w:szCs w:val="20"/>
                <w:lang w:eastAsia="zh-CN"/>
              </w:rPr>
              <w:t>次评估快照</w:t>
            </w:r>
          </w:p>
        </w:tc>
      </w:tr>
      <w:tr w:rsidR="00142F43" w14:paraId="74C2D481" w14:textId="77777777" w:rsidTr="00142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462AABE" w14:textId="77777777" w:rsidR="00142F43" w:rsidRDefault="00000000">
            <w:pPr>
              <w:spacing w:line="288" w:lineRule="auto"/>
            </w:pPr>
            <w:r>
              <w:rPr>
                <w:rFonts w:ascii="TNR" w:eastAsia="FS" w:hAnsi="TNR" w:cs="TNR"/>
                <w:sz w:val="20"/>
                <w:szCs w:val="20"/>
              </w:rPr>
              <w:t>中介机制检验</w:t>
            </w:r>
          </w:p>
        </w:tc>
        <w:tc>
          <w:tcPr>
            <w:tcW w:w="2078" w:type="dxa"/>
          </w:tcPr>
          <w:p w14:paraId="783D007B"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pPr>
            <w:r>
              <w:rPr>
                <w:rFonts w:ascii="TNR" w:eastAsia="FS" w:hAnsi="TNR" w:cs="TNR"/>
                <w:sz w:val="20"/>
                <w:szCs w:val="20"/>
              </w:rPr>
              <w:t>第</w:t>
            </w:r>
            <w:r>
              <w:rPr>
                <w:rFonts w:ascii="TNR" w:eastAsia="FS" w:hAnsi="TNR" w:cs="TNR"/>
                <w:sz w:val="20"/>
                <w:szCs w:val="20"/>
              </w:rPr>
              <w:t>10-12</w:t>
            </w:r>
            <w:r>
              <w:rPr>
                <w:rFonts w:ascii="TNR" w:eastAsia="FS" w:hAnsi="TNR" w:cs="TNR"/>
                <w:sz w:val="20"/>
                <w:szCs w:val="20"/>
              </w:rPr>
              <w:t>天</w:t>
            </w:r>
          </w:p>
        </w:tc>
        <w:tc>
          <w:tcPr>
            <w:tcW w:w="2078" w:type="dxa"/>
          </w:tcPr>
          <w:p w14:paraId="57485722"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rPr>
                <w:lang w:eastAsia="zh-CN"/>
              </w:rPr>
            </w:pPr>
            <w:r>
              <w:rPr>
                <w:rFonts w:ascii="TNR" w:eastAsia="FS" w:hAnsi="TNR" w:cs="TNR"/>
                <w:sz w:val="20"/>
                <w:szCs w:val="20"/>
                <w:lang w:eastAsia="zh-CN"/>
              </w:rPr>
              <w:t>运行禁用附带支付对照实验</w:t>
            </w:r>
            <w:r>
              <w:rPr>
                <w:rFonts w:ascii="TNR" w:eastAsia="FS" w:hAnsi="TNR" w:cs="TNR"/>
                <w:sz w:val="20"/>
                <w:szCs w:val="20"/>
                <w:lang w:eastAsia="zh-CN"/>
              </w:rPr>
              <w:br/>
            </w:r>
            <w:r>
              <w:rPr>
                <w:rFonts w:ascii="TNR" w:eastAsia="FS" w:hAnsi="TNR" w:cs="TNR"/>
                <w:sz w:val="20"/>
                <w:szCs w:val="20"/>
                <w:lang w:eastAsia="zh-CN"/>
              </w:rPr>
              <w:t>收集</w:t>
            </w:r>
            <w:r>
              <w:rPr>
                <w:rFonts w:ascii="TNR" w:eastAsia="FS" w:hAnsi="TNR" w:cs="TNR"/>
                <w:sz w:val="20"/>
                <w:szCs w:val="20"/>
                <w:lang w:eastAsia="zh-CN"/>
              </w:rPr>
              <w:t>Bootstrap</w:t>
            </w:r>
            <w:r>
              <w:rPr>
                <w:rFonts w:ascii="TNR" w:eastAsia="FS" w:hAnsi="TNR" w:cs="TNR"/>
                <w:sz w:val="20"/>
                <w:szCs w:val="20"/>
                <w:lang w:eastAsia="zh-CN"/>
              </w:rPr>
              <w:t>中介效应数据</w:t>
            </w:r>
          </w:p>
        </w:tc>
        <w:tc>
          <w:tcPr>
            <w:tcW w:w="2078" w:type="dxa"/>
          </w:tcPr>
          <w:p w14:paraId="0D439549"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pPr>
            <w:r>
              <w:rPr>
                <w:rFonts w:ascii="TNR" w:eastAsia="FS" w:hAnsi="TNR" w:cs="TNR"/>
                <w:sz w:val="20"/>
                <w:szCs w:val="20"/>
              </w:rPr>
              <w:t>中介效应数据集</w:t>
            </w:r>
          </w:p>
        </w:tc>
      </w:tr>
      <w:tr w:rsidR="00142F43" w14:paraId="1EEF4CAE" w14:textId="77777777" w:rsidTr="0014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715F4189" w14:textId="77777777" w:rsidR="00142F43" w:rsidRDefault="00000000">
            <w:pPr>
              <w:spacing w:line="288" w:lineRule="auto"/>
            </w:pPr>
            <w:r>
              <w:rPr>
                <w:rFonts w:ascii="TNR" w:eastAsia="FS" w:hAnsi="TNR" w:cs="TNR"/>
                <w:sz w:val="20"/>
                <w:szCs w:val="20"/>
              </w:rPr>
              <w:t>持久性分析</w:t>
            </w:r>
          </w:p>
        </w:tc>
        <w:tc>
          <w:tcPr>
            <w:tcW w:w="2078" w:type="dxa"/>
          </w:tcPr>
          <w:p w14:paraId="6E621B87"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第</w:t>
            </w:r>
            <w:r>
              <w:rPr>
                <w:rFonts w:ascii="TNR" w:eastAsia="FS" w:hAnsi="TNR" w:cs="TNR"/>
                <w:sz w:val="20"/>
                <w:szCs w:val="20"/>
              </w:rPr>
              <w:t>13-14</w:t>
            </w:r>
            <w:r>
              <w:rPr>
                <w:rFonts w:ascii="TNR" w:eastAsia="FS" w:hAnsi="TNR" w:cs="TNR"/>
                <w:sz w:val="20"/>
                <w:szCs w:val="20"/>
              </w:rPr>
              <w:t>天</w:t>
            </w:r>
          </w:p>
        </w:tc>
        <w:tc>
          <w:tcPr>
            <w:tcW w:w="2078" w:type="dxa"/>
          </w:tcPr>
          <w:p w14:paraId="44C70680"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rPr>
                <w:lang w:eastAsia="zh-CN"/>
              </w:rPr>
            </w:pPr>
            <w:r>
              <w:rPr>
                <w:rFonts w:ascii="TNR" w:eastAsia="FS" w:hAnsi="TNR" w:cs="TNR"/>
                <w:sz w:val="20"/>
                <w:szCs w:val="20"/>
                <w:lang w:eastAsia="zh-CN"/>
              </w:rPr>
              <w:t>运行执行期追加模拟</w:t>
            </w:r>
            <w:r>
              <w:rPr>
                <w:rFonts w:ascii="TNR" w:eastAsia="FS" w:hAnsi="TNR" w:cs="TNR"/>
                <w:sz w:val="20"/>
                <w:szCs w:val="20"/>
                <w:lang w:eastAsia="zh-CN"/>
              </w:rPr>
              <w:br/>
            </w:r>
            <w:r>
              <w:rPr>
                <w:rFonts w:ascii="TNR" w:eastAsia="FS" w:hAnsi="TNR" w:cs="TNR"/>
                <w:sz w:val="20"/>
                <w:szCs w:val="20"/>
                <w:lang w:eastAsia="zh-CN"/>
              </w:rPr>
              <w:t>收集生存分析数据</w:t>
            </w:r>
          </w:p>
        </w:tc>
        <w:tc>
          <w:tcPr>
            <w:tcW w:w="2078" w:type="dxa"/>
          </w:tcPr>
          <w:p w14:paraId="22512B1A"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生存分析数据集</w:t>
            </w:r>
          </w:p>
        </w:tc>
      </w:tr>
      <w:tr w:rsidR="00142F43" w14:paraId="72F26F92" w14:textId="77777777" w:rsidTr="00142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5D5D6695" w14:textId="77777777" w:rsidR="00142F43" w:rsidRDefault="00000000">
            <w:pPr>
              <w:spacing w:line="288" w:lineRule="auto"/>
            </w:pPr>
            <w:r>
              <w:rPr>
                <w:rFonts w:ascii="TNR" w:eastAsia="FS" w:hAnsi="TNR" w:cs="TNR"/>
                <w:sz w:val="20"/>
                <w:szCs w:val="20"/>
              </w:rPr>
              <w:t>统计分析</w:t>
            </w:r>
          </w:p>
        </w:tc>
        <w:tc>
          <w:tcPr>
            <w:tcW w:w="2078" w:type="dxa"/>
          </w:tcPr>
          <w:p w14:paraId="633544E2"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pPr>
            <w:r>
              <w:rPr>
                <w:rFonts w:ascii="TNR" w:eastAsia="FS" w:hAnsi="TNR" w:cs="TNR"/>
                <w:sz w:val="20"/>
                <w:szCs w:val="20"/>
              </w:rPr>
              <w:t>第</w:t>
            </w:r>
            <w:r>
              <w:rPr>
                <w:rFonts w:ascii="TNR" w:eastAsia="FS" w:hAnsi="TNR" w:cs="TNR"/>
                <w:sz w:val="20"/>
                <w:szCs w:val="20"/>
              </w:rPr>
              <w:t>15-17</w:t>
            </w:r>
            <w:r>
              <w:rPr>
                <w:rFonts w:ascii="TNR" w:eastAsia="FS" w:hAnsi="TNR" w:cs="TNR"/>
                <w:sz w:val="20"/>
                <w:szCs w:val="20"/>
              </w:rPr>
              <w:t>天</w:t>
            </w:r>
          </w:p>
        </w:tc>
        <w:tc>
          <w:tcPr>
            <w:tcW w:w="2078" w:type="dxa"/>
          </w:tcPr>
          <w:p w14:paraId="0DA07B61"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rPr>
                <w:lang w:eastAsia="zh-CN"/>
              </w:rPr>
            </w:pPr>
            <w:r>
              <w:rPr>
                <w:rFonts w:ascii="TNR" w:eastAsia="FS" w:hAnsi="TNR" w:cs="TNR"/>
                <w:sz w:val="20"/>
                <w:szCs w:val="20"/>
                <w:lang w:eastAsia="zh-CN"/>
              </w:rPr>
              <w:t>四项假设检验、效应量计算、</w:t>
            </w:r>
            <w:r>
              <w:rPr>
                <w:rFonts w:ascii="TNR" w:eastAsia="FS" w:hAnsi="TNR" w:cs="TNR"/>
                <w:sz w:val="20"/>
                <w:szCs w:val="20"/>
                <w:lang w:eastAsia="zh-CN"/>
              </w:rPr>
              <w:br/>
            </w:r>
            <w:r>
              <w:rPr>
                <w:rFonts w:ascii="TNR" w:eastAsia="FS" w:hAnsi="TNR" w:cs="TNR"/>
                <w:sz w:val="20"/>
                <w:szCs w:val="20"/>
                <w:lang w:eastAsia="zh-CN"/>
              </w:rPr>
              <w:t>模拟</w:t>
            </w:r>
            <w:r>
              <w:rPr>
                <w:rFonts w:ascii="TNR" w:eastAsia="FS" w:hAnsi="TNR" w:cs="TNR"/>
                <w:sz w:val="20"/>
                <w:szCs w:val="20"/>
                <w:lang w:eastAsia="zh-CN"/>
              </w:rPr>
              <w:t>-</w:t>
            </w:r>
            <w:r>
              <w:rPr>
                <w:rFonts w:ascii="TNR" w:eastAsia="FS" w:hAnsi="TNR" w:cs="TNR"/>
                <w:sz w:val="20"/>
                <w:szCs w:val="20"/>
                <w:lang w:eastAsia="zh-CN"/>
              </w:rPr>
              <w:t>案例印证分析、生成图表</w:t>
            </w:r>
          </w:p>
        </w:tc>
        <w:tc>
          <w:tcPr>
            <w:tcW w:w="2078" w:type="dxa"/>
          </w:tcPr>
          <w:p w14:paraId="60A9F394" w14:textId="77777777" w:rsidR="00142F43" w:rsidRDefault="00000000">
            <w:pPr>
              <w:spacing w:line="288" w:lineRule="auto"/>
              <w:cnfStyle w:val="000000010000" w:firstRow="0" w:lastRow="0" w:firstColumn="0" w:lastColumn="0" w:oddVBand="0" w:evenVBand="0" w:oddHBand="0" w:evenHBand="1" w:firstRowFirstColumn="0" w:firstRowLastColumn="0" w:lastRowFirstColumn="0" w:lastRowLastColumn="0"/>
              <w:rPr>
                <w:lang w:eastAsia="zh-CN"/>
              </w:rPr>
            </w:pPr>
            <w:r>
              <w:rPr>
                <w:rFonts w:ascii="TNR" w:eastAsia="FS" w:hAnsi="TNR" w:cs="TNR"/>
                <w:sz w:val="20"/>
                <w:szCs w:val="20"/>
                <w:lang w:eastAsia="zh-CN"/>
              </w:rPr>
              <w:t>完整分析结果</w:t>
            </w:r>
            <w:r>
              <w:rPr>
                <w:rFonts w:ascii="TNR" w:eastAsia="FS" w:hAnsi="TNR" w:cs="TNR"/>
                <w:sz w:val="20"/>
                <w:szCs w:val="20"/>
                <w:lang w:eastAsia="zh-CN"/>
              </w:rPr>
              <w:br/>
            </w:r>
            <w:r>
              <w:rPr>
                <w:rFonts w:ascii="TNR" w:eastAsia="FS" w:hAnsi="TNR" w:cs="TNR"/>
                <w:sz w:val="20"/>
                <w:szCs w:val="20"/>
                <w:lang w:eastAsia="zh-CN"/>
              </w:rPr>
              <w:t>案例印证报告</w:t>
            </w:r>
          </w:p>
        </w:tc>
      </w:tr>
      <w:tr w:rsidR="00142F43" w14:paraId="781E2DBD" w14:textId="77777777" w:rsidTr="0014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59AF2913" w14:textId="77777777" w:rsidR="00142F43" w:rsidRDefault="00000000">
            <w:pPr>
              <w:spacing w:line="288" w:lineRule="auto"/>
            </w:pPr>
            <w:r>
              <w:rPr>
                <w:rFonts w:ascii="TNR" w:eastAsia="FS" w:hAnsi="TNR" w:cs="TNR"/>
                <w:sz w:val="20"/>
                <w:szCs w:val="20"/>
              </w:rPr>
              <w:t>论文撰写</w:t>
            </w:r>
          </w:p>
        </w:tc>
        <w:tc>
          <w:tcPr>
            <w:tcW w:w="2078" w:type="dxa"/>
          </w:tcPr>
          <w:p w14:paraId="2FC7B39E"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第</w:t>
            </w:r>
            <w:r>
              <w:rPr>
                <w:rFonts w:ascii="TNR" w:eastAsia="FS" w:hAnsi="TNR" w:cs="TNR"/>
                <w:sz w:val="20"/>
                <w:szCs w:val="20"/>
              </w:rPr>
              <w:t>18-20</w:t>
            </w:r>
            <w:r>
              <w:rPr>
                <w:rFonts w:ascii="TNR" w:eastAsia="FS" w:hAnsi="TNR" w:cs="TNR"/>
                <w:sz w:val="20"/>
                <w:szCs w:val="20"/>
              </w:rPr>
              <w:t>天</w:t>
            </w:r>
          </w:p>
        </w:tc>
        <w:tc>
          <w:tcPr>
            <w:tcW w:w="2078" w:type="dxa"/>
          </w:tcPr>
          <w:p w14:paraId="1B427597"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rPr>
                <w:lang w:eastAsia="zh-CN"/>
              </w:rPr>
            </w:pPr>
            <w:r>
              <w:rPr>
                <w:rFonts w:ascii="TNR" w:eastAsia="FS" w:hAnsi="TNR" w:cs="TNR"/>
                <w:sz w:val="20"/>
                <w:szCs w:val="20"/>
                <w:lang w:eastAsia="zh-CN"/>
              </w:rPr>
              <w:t>撰写正文、整理图表、</w:t>
            </w:r>
            <w:r>
              <w:rPr>
                <w:rFonts w:ascii="TNR" w:eastAsia="FS" w:hAnsi="TNR" w:cs="TNR"/>
                <w:sz w:val="20"/>
                <w:szCs w:val="20"/>
                <w:lang w:eastAsia="zh-CN"/>
              </w:rPr>
              <w:br/>
            </w:r>
            <w:r>
              <w:rPr>
                <w:rFonts w:ascii="TNR" w:eastAsia="FS" w:hAnsi="TNR" w:cs="TNR"/>
                <w:sz w:val="20"/>
                <w:szCs w:val="20"/>
                <w:lang w:eastAsia="zh-CN"/>
              </w:rPr>
              <w:t>参考文献管理与格式检查</w:t>
            </w:r>
          </w:p>
        </w:tc>
        <w:tc>
          <w:tcPr>
            <w:tcW w:w="2078" w:type="dxa"/>
          </w:tcPr>
          <w:p w14:paraId="5FA5D661" w14:textId="77777777" w:rsidR="00142F43" w:rsidRDefault="00000000">
            <w:pPr>
              <w:spacing w:line="288" w:lineRule="auto"/>
              <w:cnfStyle w:val="000000100000" w:firstRow="0" w:lastRow="0" w:firstColumn="0" w:lastColumn="0" w:oddVBand="0" w:evenVBand="0" w:oddHBand="1" w:evenHBand="0" w:firstRowFirstColumn="0" w:firstRowLastColumn="0" w:lastRowFirstColumn="0" w:lastRowLastColumn="0"/>
            </w:pPr>
            <w:r>
              <w:rPr>
                <w:rFonts w:ascii="TNR" w:eastAsia="FS" w:hAnsi="TNR" w:cs="TNR"/>
                <w:sz w:val="20"/>
                <w:szCs w:val="20"/>
              </w:rPr>
              <w:t>论文终稿</w:t>
            </w:r>
          </w:p>
        </w:tc>
      </w:tr>
    </w:tbl>
    <w:p w14:paraId="38CD9815" w14:textId="77777777" w:rsidR="00142F43" w:rsidRDefault="00142F43"/>
    <w:p w14:paraId="4250312D" w14:textId="77777777" w:rsidR="00142F43" w:rsidRDefault="00000000">
      <w:pPr>
        <w:rPr>
          <w:lang w:eastAsia="zh-CN"/>
        </w:rPr>
      </w:pPr>
      <w:r>
        <w:rPr>
          <w:rFonts w:ascii="TNR" w:eastAsia="FS" w:hAnsi="TNR" w:cs="TNR"/>
          <w:sz w:val="24"/>
          <w:szCs w:val="24"/>
          <w:lang w:eastAsia="zh-CN"/>
        </w:rPr>
        <w:t>核心代码量预计</w:t>
      </w:r>
      <w:r>
        <w:rPr>
          <w:rFonts w:ascii="TNR" w:eastAsia="FS" w:hAnsi="TNR" w:cs="TNR"/>
          <w:sz w:val="24"/>
          <w:szCs w:val="24"/>
          <w:lang w:eastAsia="zh-CN"/>
        </w:rPr>
        <w:t>1500</w:t>
      </w:r>
      <w:r>
        <w:rPr>
          <w:rFonts w:ascii="TNR" w:eastAsia="FS" w:hAnsi="TNR" w:cs="TNR"/>
          <w:sz w:val="24"/>
          <w:szCs w:val="24"/>
          <w:lang w:eastAsia="zh-CN"/>
        </w:rPr>
        <w:t>至</w:t>
      </w:r>
      <w:r>
        <w:rPr>
          <w:rFonts w:ascii="TNR" w:eastAsia="FS" w:hAnsi="TNR" w:cs="TNR"/>
          <w:sz w:val="24"/>
          <w:szCs w:val="24"/>
          <w:lang w:eastAsia="zh-CN"/>
        </w:rPr>
        <w:t>2000</w:t>
      </w:r>
      <w:r>
        <w:rPr>
          <w:rFonts w:ascii="TNR" w:eastAsia="FS" w:hAnsi="TNR" w:cs="TNR"/>
          <w:sz w:val="24"/>
          <w:szCs w:val="24"/>
          <w:lang w:eastAsia="zh-CN"/>
        </w:rPr>
        <w:t>行</w:t>
      </w:r>
      <w:r>
        <w:rPr>
          <w:rFonts w:ascii="TNR" w:eastAsia="FS" w:hAnsi="TNR" w:cs="TNR"/>
          <w:sz w:val="24"/>
          <w:szCs w:val="24"/>
          <w:lang w:eastAsia="zh-CN"/>
        </w:rPr>
        <w:t>Python</w:t>
      </w:r>
      <w:r>
        <w:rPr>
          <w:rFonts w:ascii="TNR" w:eastAsia="FS" w:hAnsi="TNR" w:cs="TNR"/>
          <w:sz w:val="24"/>
          <w:szCs w:val="24"/>
          <w:lang w:eastAsia="zh-CN"/>
        </w:rPr>
        <w:t>代码。每日实验和数据分析工作预估四至六小时。大量模拟实验可以并行运行（每个条件组使用独立的</w:t>
      </w:r>
      <w:r>
        <w:rPr>
          <w:rFonts w:ascii="TNR" w:eastAsia="FS" w:hAnsi="TNR" w:cs="TNR"/>
          <w:sz w:val="24"/>
          <w:szCs w:val="24"/>
          <w:lang w:eastAsia="zh-CN"/>
        </w:rPr>
        <w:t>API</w:t>
      </w:r>
      <w:r>
        <w:rPr>
          <w:rFonts w:ascii="TNR" w:eastAsia="FS" w:hAnsi="TNR" w:cs="TNR"/>
          <w:sz w:val="24"/>
          <w:szCs w:val="24"/>
          <w:lang w:eastAsia="zh-CN"/>
        </w:rPr>
        <w:t>会话），实际执行时间可进一步压缩。戴维营案例的参数整理和文献综述工作已在本提纲撰写阶段基本完成，可以作为</w:t>
      </w:r>
      <w:r>
        <w:rPr>
          <w:rFonts w:ascii="TNR" w:eastAsia="FS" w:hAnsi="TNR" w:cs="TNR"/>
          <w:sz w:val="24"/>
          <w:szCs w:val="24"/>
          <w:lang w:eastAsia="zh-CN"/>
        </w:rPr>
        <w:t>Phase 0</w:t>
      </w:r>
      <w:r>
        <w:rPr>
          <w:rFonts w:ascii="TNR" w:eastAsia="FS" w:hAnsi="TNR" w:cs="TNR"/>
          <w:sz w:val="24"/>
          <w:szCs w:val="24"/>
          <w:lang w:eastAsia="zh-CN"/>
        </w:rPr>
        <w:t>的工作基础直接使用。</w:t>
      </w:r>
    </w:p>
    <w:p w14:paraId="197B5322" w14:textId="77777777" w:rsidR="00142F43" w:rsidRDefault="00000000">
      <w:pPr>
        <w:rPr>
          <w:lang w:eastAsia="zh-CN"/>
        </w:rPr>
      </w:pPr>
      <w:r>
        <w:rPr>
          <w:lang w:eastAsia="zh-CN"/>
        </w:rPr>
        <w:br w:type="page"/>
      </w:r>
    </w:p>
    <w:p w14:paraId="2B30F347" w14:textId="77777777" w:rsidR="00142F43" w:rsidRDefault="00000000">
      <w:pPr>
        <w:jc w:val="center"/>
      </w:pPr>
      <w:r>
        <w:rPr>
          <w:rFonts w:ascii="TNR" w:eastAsia="SH" w:hAnsi="TNR" w:cs="TNR"/>
          <w:b/>
          <w:sz w:val="32"/>
          <w:szCs w:val="32"/>
        </w:rPr>
        <w:lastRenderedPageBreak/>
        <w:t>参考文献</w:t>
      </w:r>
    </w:p>
    <w:p w14:paraId="0FF1BFEA" w14:textId="77777777" w:rsidR="00142F43" w:rsidRDefault="00000000">
      <w:pPr>
        <w:spacing w:line="312" w:lineRule="auto"/>
      </w:pPr>
      <w:r>
        <w:rPr>
          <w:rFonts w:ascii="TNR" w:eastAsia="FS" w:hAnsi="TNR" w:cs="TNR"/>
          <w:sz w:val="20"/>
          <w:szCs w:val="20"/>
        </w:rPr>
        <w:t>[1] Bercovitch, J. (Ed.). Resolving international conflicts: The theory and practice of mediation. Lynne Rienner, 1997.</w:t>
      </w:r>
    </w:p>
    <w:p w14:paraId="485C34AC" w14:textId="77777777" w:rsidR="00142F43" w:rsidRDefault="00000000">
      <w:pPr>
        <w:spacing w:line="312" w:lineRule="auto"/>
      </w:pPr>
      <w:r>
        <w:rPr>
          <w:rFonts w:ascii="TNR" w:eastAsia="FS" w:hAnsi="TNR" w:cs="TNR"/>
          <w:sz w:val="20"/>
          <w:szCs w:val="20"/>
        </w:rPr>
        <w:t>[2] Beardsley, K. Pain, pressure and political cover: Explaining mediation incidence. Journal of Peace Research, 2010, 47(4): 395-406.</w:t>
      </w:r>
    </w:p>
    <w:p w14:paraId="145D7AF6" w14:textId="77777777" w:rsidR="00142F43" w:rsidRDefault="00000000">
      <w:pPr>
        <w:spacing w:line="312" w:lineRule="auto"/>
      </w:pPr>
      <w:r>
        <w:rPr>
          <w:rFonts w:ascii="TNR" w:eastAsia="FS" w:hAnsi="TNR" w:cs="TNR"/>
          <w:sz w:val="20"/>
          <w:szCs w:val="20"/>
        </w:rPr>
        <w:t>[3] Kim, J. Y. Biased mediation: Selection and effectiveness. Journal of Economic Theory, 2025, 229: 105960.</w:t>
      </w:r>
    </w:p>
    <w:p w14:paraId="6142E5FD" w14:textId="77777777" w:rsidR="00142F43" w:rsidRDefault="00000000">
      <w:pPr>
        <w:spacing w:line="312" w:lineRule="auto"/>
      </w:pPr>
      <w:r>
        <w:rPr>
          <w:rFonts w:ascii="TNR" w:eastAsia="FS" w:hAnsi="TNR" w:cs="TNR"/>
          <w:sz w:val="20"/>
          <w:szCs w:val="20"/>
        </w:rPr>
        <w:t>[4] Kydd, A. Which side are you on? Bias, credibility, and mediation. American Journal of Political Science, 2003, 47(4): 597-611.</w:t>
      </w:r>
    </w:p>
    <w:p w14:paraId="5E7E04B5" w14:textId="77777777" w:rsidR="00142F43" w:rsidRDefault="00000000">
      <w:pPr>
        <w:spacing w:line="312" w:lineRule="auto"/>
      </w:pPr>
      <w:r>
        <w:rPr>
          <w:rFonts w:ascii="TNR" w:eastAsia="FS" w:hAnsi="TNR" w:cs="TNR"/>
          <w:sz w:val="20"/>
          <w:szCs w:val="20"/>
        </w:rPr>
        <w:t>[5] Savun, B. Information, bias, and mediation success. International Studies Quarterly, 2008, 52(1): 25-47.</w:t>
      </w:r>
    </w:p>
    <w:p w14:paraId="23877FE1" w14:textId="77777777" w:rsidR="00142F43" w:rsidRDefault="00000000">
      <w:pPr>
        <w:spacing w:line="312" w:lineRule="auto"/>
      </w:pPr>
      <w:r>
        <w:rPr>
          <w:rFonts w:ascii="TNR" w:eastAsia="FS" w:hAnsi="TNR" w:cs="TNR"/>
          <w:sz w:val="20"/>
          <w:szCs w:val="20"/>
        </w:rPr>
        <w:t>[6] Quandt, W. B. Camp David: Peacemaking and Politics. Brookings Institution Press, 1986.</w:t>
      </w:r>
    </w:p>
    <w:p w14:paraId="20419256" w14:textId="77777777" w:rsidR="00142F43" w:rsidRDefault="00000000">
      <w:pPr>
        <w:spacing w:line="312" w:lineRule="auto"/>
      </w:pPr>
      <w:r>
        <w:rPr>
          <w:rFonts w:ascii="TNR" w:eastAsia="FS" w:hAnsi="TNR" w:cs="TNR"/>
          <w:sz w:val="20"/>
          <w:szCs w:val="20"/>
        </w:rPr>
        <w:t>[7] Quandt, W. B. Peace Process: American Diplomacy and the Arab-Israeli Conflict Since 1967. Brookings, 2005.</w:t>
      </w:r>
    </w:p>
    <w:p w14:paraId="0E97BE8B" w14:textId="77777777" w:rsidR="00142F43" w:rsidRDefault="00000000">
      <w:pPr>
        <w:spacing w:line="312" w:lineRule="auto"/>
      </w:pPr>
      <w:r>
        <w:rPr>
          <w:rFonts w:ascii="TNR" w:eastAsia="FS" w:hAnsi="TNR" w:cs="TNR"/>
          <w:sz w:val="20"/>
          <w:szCs w:val="20"/>
        </w:rPr>
        <w:t>[8] Telhami, S. Power and Leadership in International Bargaining: The Path to the Camp David Accords. Columbia University Press, 1990.</w:t>
      </w:r>
    </w:p>
    <w:p w14:paraId="6E75910B" w14:textId="77777777" w:rsidR="00142F43" w:rsidRDefault="00000000">
      <w:pPr>
        <w:spacing w:line="312" w:lineRule="auto"/>
      </w:pPr>
      <w:r>
        <w:rPr>
          <w:rFonts w:ascii="TNR" w:eastAsia="FS" w:hAnsi="TNR" w:cs="TNR"/>
          <w:sz w:val="20"/>
          <w:szCs w:val="20"/>
        </w:rPr>
        <w:t>[9] Stein, K. W. Heroic Diplomacy: Sadat, Kissinger, Carter, Begin and the Quest for Arab-Israeli Peace. Routledge, 1999.</w:t>
      </w:r>
    </w:p>
    <w:p w14:paraId="2F4A35D4" w14:textId="77777777" w:rsidR="00142F43" w:rsidRDefault="00000000">
      <w:pPr>
        <w:spacing w:line="312" w:lineRule="auto"/>
      </w:pPr>
      <w:r>
        <w:rPr>
          <w:rFonts w:ascii="TNR" w:eastAsia="FS" w:hAnsi="TNR" w:cs="TNR"/>
          <w:sz w:val="20"/>
          <w:szCs w:val="20"/>
        </w:rPr>
        <w:t>[10] Park, J. S., et al. Generative agents: Interactive simulacra of human behavior. UIST 2023.</w:t>
      </w:r>
    </w:p>
    <w:p w14:paraId="4CFFCFF8" w14:textId="77777777" w:rsidR="00142F43" w:rsidRDefault="00000000">
      <w:pPr>
        <w:spacing w:line="312" w:lineRule="auto"/>
      </w:pPr>
      <w:r>
        <w:rPr>
          <w:rFonts w:ascii="TNR" w:eastAsia="FS" w:hAnsi="TNR" w:cs="TNR"/>
          <w:sz w:val="20"/>
          <w:szCs w:val="20"/>
        </w:rPr>
        <w:t>[11] FAIR Meta. CICERO: An AI agent that negotiates, persuades, and cooperates with people. Meta AI Blog, 2022.</w:t>
      </w:r>
    </w:p>
    <w:p w14:paraId="0CDA41A7" w14:textId="77777777" w:rsidR="00142F43" w:rsidRDefault="00000000">
      <w:pPr>
        <w:spacing w:line="312" w:lineRule="auto"/>
      </w:pPr>
      <w:r>
        <w:rPr>
          <w:rFonts w:ascii="TNR" w:eastAsia="FS" w:hAnsi="TNR" w:cs="TNR"/>
          <w:sz w:val="20"/>
          <w:szCs w:val="20"/>
        </w:rPr>
        <w:t>[12] Chawla, K., et al. Explicit Cooperation Shapes Human-Like Multi-agent LLM Negotiation. ICWSM 2025.</w:t>
      </w:r>
    </w:p>
    <w:p w14:paraId="2C154E01" w14:textId="77777777" w:rsidR="00142F43" w:rsidRDefault="00000000">
      <w:pPr>
        <w:spacing w:line="312" w:lineRule="auto"/>
      </w:pPr>
      <w:r>
        <w:rPr>
          <w:rFonts w:ascii="TNR" w:eastAsia="FS" w:hAnsi="TNR" w:cs="TNR"/>
          <w:sz w:val="20"/>
          <w:szCs w:val="20"/>
        </w:rPr>
        <w:t>[13] Raman, C., et al. Evaluating Behavioral Alignment in Conflict Dialogue. EMNLP 2025.</w:t>
      </w:r>
    </w:p>
    <w:p w14:paraId="485E47E4" w14:textId="77777777" w:rsidR="00142F43" w:rsidRDefault="00000000">
      <w:pPr>
        <w:spacing w:line="312" w:lineRule="auto"/>
      </w:pPr>
      <w:r>
        <w:rPr>
          <w:rFonts w:ascii="TNR" w:eastAsia="FS" w:hAnsi="TNR" w:cs="TNR"/>
          <w:sz w:val="20"/>
          <w:szCs w:val="20"/>
        </w:rPr>
        <w:t>[14] Zheng, L., et al. Testing Conviction: Measuring LLM Political Stability. arXiv:2504.17052, 2025.</w:t>
      </w:r>
    </w:p>
    <w:p w14:paraId="63F8D343" w14:textId="77777777" w:rsidR="00142F43" w:rsidRDefault="00000000">
      <w:pPr>
        <w:spacing w:line="312" w:lineRule="auto"/>
      </w:pPr>
      <w:r>
        <w:rPr>
          <w:rFonts w:ascii="TNR" w:eastAsia="FS" w:hAnsi="TNR" w:cs="TNR"/>
          <w:sz w:val="20"/>
          <w:szCs w:val="20"/>
        </w:rPr>
        <w:t>[15] Huang, Y., et al. Benchmarking LLMs for Political Science. arXiv:2502.14122, 2025.</w:t>
      </w:r>
    </w:p>
    <w:p w14:paraId="5BCD9E95" w14:textId="77777777" w:rsidR="00142F43" w:rsidRDefault="00000000">
      <w:pPr>
        <w:spacing w:line="312" w:lineRule="auto"/>
      </w:pPr>
      <w:r>
        <w:rPr>
          <w:rFonts w:ascii="TNR" w:eastAsia="FS" w:hAnsi="TNR" w:cs="TNR"/>
          <w:sz w:val="20"/>
          <w:szCs w:val="20"/>
        </w:rPr>
        <w:t>[16] Baron, R. M., &amp; Kenny, D. A. The moderator-mediator variable distinction. JPSP, 1986, 51(6): 1173-1182.</w:t>
      </w:r>
    </w:p>
    <w:p w14:paraId="7A49B3E2" w14:textId="77777777" w:rsidR="00142F43" w:rsidRDefault="00000000">
      <w:pPr>
        <w:spacing w:line="312" w:lineRule="auto"/>
      </w:pPr>
      <w:r>
        <w:rPr>
          <w:rFonts w:ascii="TNR" w:eastAsia="FS" w:hAnsi="TNR" w:cs="TNR"/>
          <w:sz w:val="20"/>
          <w:szCs w:val="20"/>
        </w:rPr>
        <w:t>[17] MacKinnon, D. P., et al. Confidence limits for the indirect effect. Multivariate Behavioral Research, 2004, 39(1): 99-128.</w:t>
      </w:r>
    </w:p>
    <w:p w14:paraId="7886EBAB" w14:textId="77777777" w:rsidR="00142F43" w:rsidRDefault="00000000">
      <w:pPr>
        <w:spacing w:line="312" w:lineRule="auto"/>
      </w:pPr>
      <w:r>
        <w:rPr>
          <w:rFonts w:ascii="TNR" w:eastAsia="FS" w:hAnsi="TNR" w:cs="TNR"/>
          <w:sz w:val="20"/>
          <w:szCs w:val="20"/>
        </w:rPr>
        <w:t>[18] Hayes, A. F. Introduction to Mediation, Moderation, and Conditional Process Analysis. Guilford Press, 2017.</w:t>
      </w:r>
    </w:p>
    <w:p w14:paraId="6B0C0803" w14:textId="77777777" w:rsidR="00142F43" w:rsidRDefault="00000000">
      <w:pPr>
        <w:spacing w:line="312" w:lineRule="auto"/>
      </w:pPr>
      <w:r>
        <w:rPr>
          <w:rFonts w:ascii="TNR" w:eastAsia="FS" w:hAnsi="TNR" w:cs="TNR"/>
          <w:sz w:val="20"/>
          <w:szCs w:val="20"/>
        </w:rPr>
        <w:t>[19] Preacher, K. J., &amp; Hayes, A. F. Asymptotic and resampling strategies for assessing and comparing indirect effects. Behavior Research Methods, 2008, 40(3): 879-891.</w:t>
      </w:r>
    </w:p>
    <w:p w14:paraId="479C55E6" w14:textId="77777777" w:rsidR="00142F43" w:rsidRDefault="00000000">
      <w:pPr>
        <w:spacing w:line="312" w:lineRule="auto"/>
      </w:pPr>
      <w:r>
        <w:rPr>
          <w:rFonts w:ascii="TNR" w:eastAsia="FS" w:hAnsi="TNR" w:cs="TNR"/>
          <w:sz w:val="20"/>
          <w:szCs w:val="20"/>
        </w:rPr>
        <w:t>[20] Fritz, M. S., &amp; MacKinnon, D. P. Required sample size to detect the mediated effect. Psychological Science, 2007, 18(3): 233-239.</w:t>
      </w:r>
    </w:p>
    <w:p w14:paraId="5398274E" w14:textId="77777777" w:rsidR="00142F43" w:rsidRDefault="00000000">
      <w:pPr>
        <w:spacing w:line="312" w:lineRule="auto"/>
      </w:pPr>
      <w:r>
        <w:rPr>
          <w:rFonts w:ascii="TNR" w:eastAsia="FS" w:hAnsi="TNR" w:cs="TNR"/>
          <w:sz w:val="20"/>
          <w:szCs w:val="20"/>
        </w:rPr>
        <w:t>[21] Cohen, J. Statistical Power Analysis for the Behavioral Sciences. Lawrence Erlbaum, 1988.</w:t>
      </w:r>
    </w:p>
    <w:p w14:paraId="0F28B182" w14:textId="77777777" w:rsidR="00142F43" w:rsidRDefault="00000000">
      <w:pPr>
        <w:spacing w:line="312" w:lineRule="auto"/>
      </w:pPr>
      <w:r>
        <w:rPr>
          <w:rFonts w:ascii="TNR" w:eastAsia="FS" w:hAnsi="TNR" w:cs="TNR"/>
          <w:sz w:val="20"/>
          <w:szCs w:val="20"/>
        </w:rPr>
        <w:t>[22] Kaplan, E. L., &amp; Meier, P. Nonparametric estimation from incomplete observations. JASA, 1958, 53(282): 457-481.</w:t>
      </w:r>
    </w:p>
    <w:p w14:paraId="272E775C" w14:textId="77777777" w:rsidR="00142F43" w:rsidRDefault="00000000">
      <w:pPr>
        <w:spacing w:line="312" w:lineRule="auto"/>
      </w:pPr>
      <w:r>
        <w:rPr>
          <w:rFonts w:ascii="TNR" w:eastAsia="FS" w:hAnsi="TNR" w:cs="TNR"/>
          <w:sz w:val="20"/>
          <w:szCs w:val="20"/>
        </w:rPr>
        <w:t>[23] Cox, D. R. Regression models and life-tables. JRSS(B), 1972, 34(2): 187-202.</w:t>
      </w:r>
    </w:p>
    <w:sectPr w:rsidR="00142F43"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NR">
    <w:altName w:val="Cambria"/>
    <w:panose1 w:val="00000000000000000000"/>
    <w:charset w:val="00"/>
    <w:family w:val="roman"/>
    <w:notTrueType/>
    <w:pitch w:val="default"/>
  </w:font>
  <w:font w:name="SH">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FS">
    <w:altName w:val="Cambria"/>
    <w:panose1 w:val="00000000000000000000"/>
    <w:charset w:val="00"/>
    <w:family w:val="roman"/>
    <w:notTrueType/>
    <w:pitch w:val="default"/>
  </w:font>
  <w:font w:name="K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4158586">
    <w:abstractNumId w:val="8"/>
  </w:num>
  <w:num w:numId="2" w16cid:durableId="383523902">
    <w:abstractNumId w:val="6"/>
  </w:num>
  <w:num w:numId="3" w16cid:durableId="1869025150">
    <w:abstractNumId w:val="5"/>
  </w:num>
  <w:num w:numId="4" w16cid:durableId="378432818">
    <w:abstractNumId w:val="4"/>
  </w:num>
  <w:num w:numId="5" w16cid:durableId="350648620">
    <w:abstractNumId w:val="7"/>
  </w:num>
  <w:num w:numId="6" w16cid:durableId="1326587968">
    <w:abstractNumId w:val="3"/>
  </w:num>
  <w:num w:numId="7" w16cid:durableId="992180637">
    <w:abstractNumId w:val="2"/>
  </w:num>
  <w:num w:numId="8" w16cid:durableId="576669015">
    <w:abstractNumId w:val="1"/>
  </w:num>
  <w:num w:numId="9" w16cid:durableId="201222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F43"/>
    <w:rsid w:val="0015074B"/>
    <w:rsid w:val="001A231D"/>
    <w:rsid w:val="0029639D"/>
    <w:rsid w:val="00326F90"/>
    <w:rsid w:val="00A239A5"/>
    <w:rsid w:val="00AA1D8D"/>
    <w:rsid w:val="00AE573C"/>
    <w:rsid w:val="00B47730"/>
    <w:rsid w:val="00CB0664"/>
    <w:rsid w:val="00D07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BED41"/>
  <w14:defaultImageDpi w14:val="300"/>
  <w15:docId w15:val="{7CAA1734-0D11-4CB3-97F0-F4BB9215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yh yang</cp:lastModifiedBy>
  <cp:revision>5</cp:revision>
  <dcterms:created xsi:type="dcterms:W3CDTF">2013-12-23T23:15:00Z</dcterms:created>
  <dcterms:modified xsi:type="dcterms:W3CDTF">2026-06-20T07:43:00Z</dcterms:modified>
  <cp:category/>
</cp:coreProperties>
</file>