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20" w:before="240"/>
        <w:jc w:val="center"/>
      </w:pPr>
      <w:r>
        <w:rPr>
          <w:rFonts w:ascii="Times New Roman" w:cs="Times New Roman" w:eastAsia="Times New Roman" w:hAnsi="Times New Roman"/>
          <w:b/>
          <w:bCs/>
          <w:sz w:val="40"/>
          <w:szCs w:val="40"/>
        </w:rPr>
        <w:t xml:space="preserve">H.H. Asquith, David Lloyd George and British Foreign Policy during World War I (1914-1922)</w:t>
      </w:r>
    </w:p>
    <w:p>
      <w:pPr>
        <w:pStyle w:val="Heading1"/>
        <w:spacing w:after="120" w:before="360"/>
      </w:pPr>
      <w:r>
        <w:rPr>
          <w:rFonts w:ascii="Times New Roman" w:cs="Times New Roman" w:eastAsia="Times New Roman" w:hAnsi="Times New Roman"/>
          <w:b/>
          <w:bCs/>
          <w:sz w:val="28"/>
          <w:szCs w:val="28"/>
        </w:rPr>
        <w:t xml:space="preserve">1. The Decision for War: Belgium and the July Crisis (1914)</w:t>
      </w:r>
    </w:p>
    <w:p>
      <w:pPr>
        <w:pStyle w:val="Heading2"/>
        <w:spacing w:after="80" w:before="240"/>
      </w:pPr>
      <w:r>
        <w:rPr>
          <w:rFonts w:ascii="Times New Roman" w:cs="Times New Roman" w:eastAsia="Times New Roman" w:hAnsi="Times New Roman"/>
          <w:b/>
          <w:bCs/>
          <w:sz w:val="28"/>
          <w:szCs w:val="28"/>
        </w:rPr>
        <w:t xml:space="preserve">The Cabinet Crisis (July 27 - August 4, 1914)</w:t>
      </w:r>
    </w:p>
    <w:p>
      <w:pPr>
        <w:spacing w:after="40" w:before="40"/>
        <w:jc w:val="left"/>
      </w:pPr>
      <w:r>
        <w:rPr>
          <w:rFonts w:ascii="Times New Roman" w:cs="Times New Roman" w:eastAsia="Times New Roman" w:hAnsi="Times New Roman"/>
          <w:b w:val="false"/>
          <w:bCs w:val="false"/>
          <w:i w:val="false"/>
          <w:iCs w:val="false"/>
          <w:sz w:val="24"/>
          <w:szCs w:val="24"/>
        </w:rPr>
        <w:t xml:space="preserve">When the July Crisis erupted after the assassination of Archduke Franz Ferdinand on June 28, 1914, the British Liberal Cabinet was fundamentally split. Asquith's government faced a wrenching dilemma: whether to intervene in a continental war or maintain neutrality.</w:t>
      </w:r>
    </w:p>
    <w:p>
      <w:pPr>
        <w:spacing w:after="40" w:before="40"/>
        <w:jc w:val="left"/>
      </w:pPr>
      <w:r>
        <w:rPr>
          <w:rFonts w:ascii="Times New Roman" w:cs="Times New Roman" w:eastAsia="Times New Roman" w:hAnsi="Times New Roman"/>
          <w:b/>
          <w:bCs/>
          <w:i w:val="false"/>
          <w:iCs w:val="false"/>
          <w:sz w:val="24"/>
          <w:szCs w:val="24"/>
        </w:rPr>
        <w:t xml:space="preserve">The Interventionists (the "War Party"):</w:t>
      </w:r>
      <w:r>
        <w:rPr>
          <w:rFonts w:ascii="Times New Roman" w:cs="Times New Roman" w:eastAsia="Times New Roman" w:hAnsi="Times New Roman"/>
          <w:b w:val="false"/>
          <w:bCs w:val="false"/>
          <w:i w:val="false"/>
          <w:iCs w:val="false"/>
          <w:sz w:val="24"/>
          <w:szCs w:val="24"/>
        </w:rPr>
        <w:t xml:space="preserve"> Foreign Secretary Sir Edward Grey, First Lord of the Admiralty Winston Churchill, and Lord Chancellor Richard Haldane believed Britain had a moral and strategic obligation to support its Entente partners, France and Russia. Grey had privately fostered close military and naval understandings with France, though he always maintained publicly that these did not constitute a binding commitment.</w:t>
      </w:r>
    </w:p>
    <w:p>
      <w:pPr>
        <w:spacing w:after="40" w:before="40"/>
        <w:jc w:val="left"/>
      </w:pPr>
      <w:r>
        <w:rPr>
          <w:rFonts w:ascii="Times New Roman" w:cs="Times New Roman" w:eastAsia="Times New Roman" w:hAnsi="Times New Roman"/>
          <w:b/>
          <w:bCs/>
          <w:i w:val="false"/>
          <w:iCs w:val="false"/>
          <w:sz w:val="24"/>
          <w:szCs w:val="24"/>
        </w:rPr>
        <w:t xml:space="preserve">The Neutralists (the "Peace Party"):</w:t>
      </w:r>
      <w:r>
        <w:rPr>
          <w:rFonts w:ascii="Times New Roman" w:cs="Times New Roman" w:eastAsia="Times New Roman" w:hAnsi="Times New Roman"/>
          <w:b w:val="false"/>
          <w:bCs w:val="false"/>
          <w:i w:val="false"/>
          <w:iCs w:val="false"/>
          <w:sz w:val="24"/>
          <w:szCs w:val="24"/>
        </w:rPr>
        <w:t xml:space="preserve"> A substantial majority opposed intervention in a Balkan quarrel they felt did not directly threaten vital British interests. Colonial Secretary Lewis Harcourt counted 11 of 19 Cabinet members in this camp on July 27, 1914 (Harcourt memorandum, CAB 37/120; Gilbert 1985, pp. 898-901). Key figures included Lord Morley (Lord President), John Burns (President of the Board of Trade), Sir John Simon (Attorney General), and -- pivotally -- David Lloyd George (Chancellor of the Exchequer).</w:t>
      </w:r>
    </w:p>
    <w:p>
      <w:pPr>
        <w:spacing w:after="40" w:before="40"/>
        <w:jc w:val="left"/>
      </w:pPr>
      <w:r>
        <w:rPr>
          <w:rFonts w:ascii="Times New Roman" w:cs="Times New Roman" w:eastAsia="Times New Roman" w:hAnsi="Times New Roman"/>
          <w:b/>
          <w:bCs/>
          <w:i w:val="false"/>
          <w:iCs w:val="false"/>
          <w:sz w:val="24"/>
          <w:szCs w:val="24"/>
        </w:rPr>
        <w:t xml:space="preserve">Asquith's management of the division:</w:t>
      </w:r>
      <w:r>
        <w:rPr>
          <w:rFonts w:ascii="Times New Roman" w:cs="Times New Roman" w:eastAsia="Times New Roman" w:hAnsi="Times New Roman"/>
          <w:b w:val="false"/>
          <w:bCs w:val="false"/>
          <w:i w:val="false"/>
          <w:iCs w:val="false"/>
          <w:sz w:val="24"/>
          <w:szCs w:val="24"/>
        </w:rPr>
        <w:t xml:space="preserve"> Asquith applied his characteristic "wait and see" approach, first employed during the Irish Home Rule crisis and now applied to foreign affairs. His primary objective was to prevent his Cabinet from shattering. Asquith wrote to Venetia Stanley on August 2, 1914 -- before the German violation of Belgium was evident -- that it was "against British interests that France should be wiped out as a Great Power" (Asquith-Stanley correspondence, Bodleian Library; published in Brock and Brock 1982, pp. 139-145; discussed in Gilbert 1985, pp. 900-903). This private confession reveals that the Belgian rationale was being grafted onto a strategic calculation that had already reached its conclusion.</w:t>
      </w:r>
    </w:p>
    <w:p>
      <w:pPr>
        <w:spacing w:after="40" w:before="40"/>
        <w:jc w:val="left"/>
      </w:pPr>
      <w:r>
        <w:rPr>
          <w:rFonts w:ascii="Times New Roman" w:cs="Times New Roman" w:eastAsia="Times New Roman" w:hAnsi="Times New Roman"/>
          <w:b/>
          <w:bCs/>
          <w:i w:val="false"/>
          <w:iCs w:val="false"/>
          <w:sz w:val="24"/>
          <w:szCs w:val="24"/>
        </w:rPr>
        <w:t xml:space="preserve">Lloyd George's pivotal conversion:</w:t>
      </w:r>
      <w:r>
        <w:rPr>
          <w:rFonts w:ascii="Times New Roman" w:cs="Times New Roman" w:eastAsia="Times New Roman" w:hAnsi="Times New Roman"/>
          <w:b w:val="false"/>
          <w:bCs w:val="false"/>
          <w:i w:val="false"/>
          <w:iCs w:val="false"/>
          <w:sz w:val="24"/>
          <w:szCs w:val="24"/>
        </w:rPr>
        <w:t xml:space="preserve"> Lloyd George's trajectory is the most dramatic example of the crisis's effect on individual decision-makers. As late as July 27, 1914, he declared "there could be no question of our taking part in any war in the first instance" and knew of "no minister in favour" of intervention (Gilbert 1985, pp. 895-896, 907). Yet Lloyd George had known since the Committee of Imperial Defence (CID) meeting of August 23, 1911 that German war plans involved invading through Belgium (Gilbert 1985, pp. 898-901; Grigg 1973, Vol. 1, pp. 310-325). The Agadir Crisis of 1911 had revealed German intentions clearly. Lloyd George knew of the Anglo-French military conversations and Sir Henry Wilson's detailed plans for deploying the British Expeditionary Force to France. His own closest confidante, Frances Stevenson, believed Lloyd George was actively "looking for a way to support intervention." Ramsay MacDonald, after dining with Lloyd George on the eve of war, observed privately that "excuses were being searched for" (Gilbert 1985, p. 907).</w:t>
      </w:r>
    </w:p>
    <w:p>
      <w:pPr>
        <w:spacing w:after="40" w:before="40"/>
        <w:jc w:val="left"/>
      </w:pPr>
      <w:r>
        <w:rPr>
          <w:rFonts w:ascii="Times New Roman" w:cs="Times New Roman" w:eastAsia="Times New Roman" w:hAnsi="Times New Roman"/>
          <w:b/>
          <w:bCs/>
          <w:i w:val="false"/>
          <w:iCs w:val="false"/>
          <w:sz w:val="24"/>
          <w:szCs w:val="24"/>
        </w:rPr>
        <w:t xml:space="preserve">August 3, 1914:</w:t>
      </w:r>
      <w:r>
        <w:rPr>
          <w:rFonts w:ascii="Times New Roman" w:cs="Times New Roman" w:eastAsia="Times New Roman" w:hAnsi="Times New Roman"/>
          <w:b w:val="false"/>
          <w:bCs w:val="false"/>
          <w:i w:val="false"/>
          <w:iCs w:val="false"/>
          <w:sz w:val="24"/>
          <w:szCs w:val="24"/>
        </w:rPr>
        <w:t xml:space="preserve"> The German ultimatum to Belgium demanded free passage for German armies. This was the decisive catalyst. Lloyd George later wrote that the ultimatum "made his decision quite clear, and he could now support Grey without any hesitation" (Lloyd George, </w:t>
      </w:r>
      <w:r>
        <w:rPr>
          <w:rFonts w:ascii="Times New Roman" w:cs="Times New Roman" w:eastAsia="Times New Roman" w:hAnsi="Times New Roman"/>
          <w:b w:val="false"/>
          <w:bCs w:val="false"/>
          <w:i/>
          <w:iCs/>
          <w:sz w:val="24"/>
          <w:szCs w:val="24"/>
        </w:rPr>
        <w:t xml:space="preserve">War Memoirs</w:t>
      </w:r>
      <w:r>
        <w:rPr>
          <w:rFonts w:ascii="Times New Roman" w:cs="Times New Roman" w:eastAsia="Times New Roman" w:hAnsi="Times New Roman"/>
          <w:b w:val="false"/>
          <w:bCs w:val="false"/>
          <w:i w:val="false"/>
          <w:iCs w:val="false"/>
          <w:sz w:val="24"/>
          <w:szCs w:val="24"/>
        </w:rPr>
        <w:t xml:space="preserve">, 1933, Vol. 1, pp. 115-128).</w:t>
      </w:r>
    </w:p>
    <w:p>
      <w:pPr>
        <w:spacing w:after="40" w:before="40"/>
        <w:jc w:val="left"/>
      </w:pPr>
      <w:r>
        <w:rPr>
          <w:rFonts w:ascii="Times New Roman" w:cs="Times New Roman" w:eastAsia="Times New Roman" w:hAnsi="Times New Roman"/>
          <w:b/>
          <w:bCs/>
          <w:i w:val="false"/>
          <w:iCs w:val="false"/>
          <w:sz w:val="24"/>
          <w:szCs w:val="24"/>
        </w:rPr>
        <w:t xml:space="preserve">Asquith's ultimate decision and rationale:</w:t>
      </w:r>
      <w:r>
        <w:rPr>
          <w:rFonts w:ascii="Times New Roman" w:cs="Times New Roman" w:eastAsia="Times New Roman" w:hAnsi="Times New Roman"/>
          <w:b w:val="false"/>
          <w:bCs w:val="false"/>
          <w:i w:val="false"/>
          <w:iCs w:val="false"/>
          <w:sz w:val="24"/>
          <w:szCs w:val="24"/>
        </w:rPr>
        <w:t xml:space="preserve"> Asquith consistently supported Grey and Churchill while appearing to preside neutrally over Cabinet debate. When Grey indicated on August 1 that if the Cabinet committed to absolute neutrality, he was "not the man to carry it out," Asquith did not push Grey toward resignation but rather let the threat of it shift Cabinet sentiment toward intervention (Young 2018, pp. 555-560; Newton 2014, pp. 180-200).</w:t>
      </w:r>
    </w:p>
    <w:p>
      <w:pPr>
        <w:spacing w:after="40" w:before="40"/>
        <w:jc w:val="left"/>
      </w:pPr>
      <w:r>
        <w:rPr>
          <w:rFonts w:ascii="Times New Roman" w:cs="Times New Roman" w:eastAsia="Times New Roman" w:hAnsi="Times New Roman"/>
          <w:b w:val="false"/>
          <w:bCs w:val="false"/>
          <w:i w:val="false"/>
          <w:iCs w:val="false"/>
          <w:sz w:val="24"/>
          <w:szCs w:val="24"/>
        </w:rPr>
        <w:t xml:space="preserve">Douglas Newton, in </w:t>
      </w:r>
      <w:r>
        <w:rPr>
          <w:rFonts w:ascii="Times New Roman" w:cs="Times New Roman" w:eastAsia="Times New Roman" w:hAnsi="Times New Roman"/>
          <w:b w:val="false"/>
          <w:bCs w:val="false"/>
          <w:i/>
          <w:iCs/>
          <w:sz w:val="24"/>
          <w:szCs w:val="24"/>
        </w:rPr>
        <w:t xml:space="preserve">The Darkest Days: The Truth Behind Britain's Rush to War, 1914</w:t>
      </w:r>
      <w:r>
        <w:rPr>
          <w:rFonts w:ascii="Times New Roman" w:cs="Times New Roman" w:eastAsia="Times New Roman" w:hAnsi="Times New Roman"/>
          <w:b w:val="false"/>
          <w:bCs w:val="false"/>
          <w:i w:val="false"/>
          <w:iCs w:val="false"/>
          <w:sz w:val="24"/>
          <w:szCs w:val="24"/>
        </w:rPr>
        <w:t xml:space="preserve"> (Verso, 2014), argues that a "dominant trio" under Asquith -- Grey, Churchill, and Haldane -- systematically preempted and circumvented Cabinet. Newton documents four specific actions:</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Churchill's unauthorized fleet mobilization.</w:t>
      </w:r>
      <w:r>
        <w:rPr>
          <w:rFonts w:ascii="Times New Roman" w:cs="Times New Roman" w:eastAsia="Times New Roman" w:hAnsi="Times New Roman"/>
          <w:b w:val="false"/>
          <w:bCs w:val="false"/>
          <w:i w:val="false"/>
          <w:iCs w:val="false"/>
          <w:sz w:val="24"/>
          <w:szCs w:val="24"/>
        </w:rPr>
        <w:t xml:space="preserve"> Churchill issued a "stand fast order" to the fleet and later sent it to war stations without Cabinet approval. The Royal Navy was positioned for war before any Cabinet decision had been made (Newton 2014, pp. 105-130).</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Grey's rebuff of German neutrality offers.</w:t>
      </w:r>
      <w:r>
        <w:rPr>
          <w:rFonts w:ascii="Times New Roman" w:cs="Times New Roman" w:eastAsia="Times New Roman" w:hAnsi="Times New Roman"/>
          <w:b w:val="false"/>
          <w:bCs w:val="false"/>
          <w:i w:val="false"/>
          <w:iCs w:val="false"/>
          <w:sz w:val="24"/>
          <w:szCs w:val="24"/>
        </w:rPr>
        <w:t xml:space="preserve"> Grey repeatedly rebuffed German offers to guarantee Belgian neutrality in exchange for British non-intervention, telling the German ambassador that Britain could not promise to remain neutral even if Germany respected Belgium (Newton 2014, pp. 155-170).</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Cabinet sidelined from the ultimatum.</w:t>
      </w:r>
      <w:r>
        <w:rPr>
          <w:rFonts w:ascii="Times New Roman" w:cs="Times New Roman" w:eastAsia="Times New Roman" w:hAnsi="Times New Roman"/>
          <w:b w:val="false"/>
          <w:bCs w:val="false"/>
          <w:i w:val="false"/>
          <w:iCs w:val="false"/>
          <w:sz w:val="24"/>
          <w:szCs w:val="24"/>
        </w:rPr>
        <w:t xml:space="preserve"> The Cabinet was so marginalized that "most ministers never even saw the ultimatum sent to Germany on August 4" (Newton 2014, p. 245).</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Privy Council, not Parliament.</w:t>
      </w:r>
      <w:r>
        <w:rPr>
          <w:rFonts w:ascii="Times New Roman" w:cs="Times New Roman" w:eastAsia="Times New Roman" w:hAnsi="Times New Roman"/>
          <w:b w:val="false"/>
          <w:bCs w:val="false"/>
          <w:i w:val="false"/>
          <w:iCs w:val="false"/>
          <w:sz w:val="24"/>
          <w:szCs w:val="24"/>
        </w:rPr>
        <w:t xml:space="preserve"> The declaration of war was approved by a Privy Council of just three peers and the monarch -- not by Cabinet or by a vote in Parliament (Newton 2014, pp. 260-280).</w:t>
      </w:r>
    </w:p>
    <w:p>
      <w:pPr>
        <w:spacing w:after="40" w:before="40"/>
        <w:jc w:val="left"/>
      </w:pPr>
      <w:r>
        <w:rPr>
          <w:rFonts w:ascii="Times New Roman" w:cs="Times New Roman" w:eastAsia="Times New Roman" w:hAnsi="Times New Roman"/>
          <w:b w:val="false"/>
          <w:bCs w:val="false"/>
          <w:i w:val="false"/>
          <w:iCs w:val="false"/>
          <w:sz w:val="24"/>
          <w:szCs w:val="24"/>
        </w:rPr>
        <w:t xml:space="preserve">Newton further documents that the government issued a White Paper on the origins of the war that heavily doctored diplomatic correspondence, omitting German offers of neutrality guarantees and details about Russia's early mobilization. J. Lee Thompson (</w:t>
      </w:r>
      <w:r>
        <w:rPr>
          <w:rFonts w:ascii="Times New Roman" w:cs="Times New Roman" w:eastAsia="Times New Roman" w:hAnsi="Times New Roman"/>
          <w:b w:val="false"/>
          <w:bCs w:val="false"/>
          <w:i/>
          <w:iCs/>
          <w:sz w:val="24"/>
          <w:szCs w:val="24"/>
        </w:rPr>
        <w:t xml:space="preserve">Michigan War Studies Review</w:t>
      </w:r>
      <w:r>
        <w:rPr>
          <w:rFonts w:ascii="Times New Roman" w:cs="Times New Roman" w:eastAsia="Times New Roman" w:hAnsi="Times New Roman"/>
          <w:b w:val="false"/>
          <w:bCs w:val="false"/>
          <w:i w:val="false"/>
          <w:iCs w:val="false"/>
          <w:sz w:val="24"/>
          <w:szCs w:val="24"/>
        </w:rPr>
        <w:t xml:space="preserve">, 2015) notes that it was "entirely normal in modern British history for a small group of powerful politicians to make war decisions," while A. W. Purdue (</w:t>
      </w:r>
      <w:r>
        <w:rPr>
          <w:rFonts w:ascii="Times New Roman" w:cs="Times New Roman" w:eastAsia="Times New Roman" w:hAnsi="Times New Roman"/>
          <w:b w:val="false"/>
          <w:bCs w:val="false"/>
          <w:i/>
          <w:iCs/>
          <w:sz w:val="24"/>
          <w:szCs w:val="24"/>
        </w:rPr>
        <w:t xml:space="preserve">Times Higher Education</w:t>
      </w:r>
      <w:r>
        <w:rPr>
          <w:rFonts w:ascii="Times New Roman" w:cs="Times New Roman" w:eastAsia="Times New Roman" w:hAnsi="Times New Roman"/>
          <w:b w:val="false"/>
          <w:bCs w:val="false"/>
          <w:i w:val="false"/>
          <w:iCs w:val="false"/>
          <w:sz w:val="24"/>
          <w:szCs w:val="24"/>
        </w:rPr>
        <w:t xml:space="preserve">, 2014) calls the book a "powerful, if rather polemical, attack" and "a timely contribution to the developing debate."</w:t>
      </w:r>
    </w:p>
    <w:p>
      <w:pPr>
        <w:spacing w:after="40" w:before="40"/>
        <w:jc w:val="left"/>
      </w:pPr>
      <w:r>
        <w:rPr>
          <w:rFonts w:ascii="Times New Roman" w:cs="Times New Roman" w:eastAsia="Times New Roman" w:hAnsi="Times New Roman"/>
          <w:b/>
          <w:bCs/>
          <w:i w:val="false"/>
          <w:iCs w:val="false"/>
          <w:sz w:val="24"/>
          <w:szCs w:val="24"/>
        </w:rPr>
        <w:t xml:space="preserve">The resignations:</w:t>
      </w:r>
      <w:r>
        <w:rPr>
          <w:rFonts w:ascii="Times New Roman" w:cs="Times New Roman" w:eastAsia="Times New Roman" w:hAnsi="Times New Roman"/>
          <w:b w:val="false"/>
          <w:bCs w:val="false"/>
          <w:i w:val="false"/>
          <w:iCs w:val="false"/>
          <w:sz w:val="24"/>
          <w:szCs w:val="24"/>
        </w:rPr>
        <w:t xml:space="preserve"> Two ministers -- Lord Morley and John Burns -- held firm to their principles and resigned in protest, though they agreed to keep these resignations temporarily secret to preserve a united public front (Jenkins 1964, pp. 340-350; Young 2018, pp. 555-556). Several others, including Sir John Simon and Lord Beauchamp, initially threatened resignation but ultimately stayed. Lloyd George stayed on, and his conversion was the fatal blow to the peace camp (Gilbert 1985, pp. 910-914).</w:t>
      </w:r>
    </w:p>
    <w:p>
      <w:pPr>
        <w:pStyle w:val="Heading2"/>
        <w:spacing w:after="80" w:before="240"/>
      </w:pPr>
      <w:r>
        <w:rPr>
          <w:rFonts w:ascii="Times New Roman" w:cs="Times New Roman" w:eastAsia="Times New Roman" w:hAnsi="Times New Roman"/>
          <w:b/>
          <w:bCs/>
          <w:sz w:val="28"/>
          <w:szCs w:val="28"/>
        </w:rPr>
        <w:t xml:space="preserve">Scholarly Interpretations and Historiography</w:t>
      </w:r>
    </w:p>
    <w:p>
      <w:pPr>
        <w:spacing w:after="40" w:before="40"/>
        <w:jc w:val="left"/>
      </w:pPr>
      <w:r>
        <w:rPr>
          <w:rFonts w:ascii="Times New Roman" w:cs="Times New Roman" w:eastAsia="Times New Roman" w:hAnsi="Times New Roman"/>
          <w:b w:val="false"/>
          <w:bCs w:val="false"/>
          <w:i w:val="false"/>
          <w:iCs w:val="false"/>
          <w:sz w:val="24"/>
          <w:szCs w:val="24"/>
        </w:rPr>
        <w:t xml:space="preserve">The historiography of Britain's decision for war in 1914 reveals evolving scholarly perspectives:</w:t>
      </w:r>
    </w:p>
    <w:p>
      <w:pPr>
        <w:spacing w:after="40" w:before="40"/>
        <w:jc w:val="left"/>
      </w:pPr>
      <w:r>
        <w:rPr>
          <w:rFonts w:ascii="Times New Roman" w:cs="Times New Roman" w:eastAsia="Times New Roman" w:hAnsi="Times New Roman"/>
          <w:b/>
          <w:bCs/>
          <w:i w:val="false"/>
          <w:iCs w:val="false"/>
          <w:sz w:val="24"/>
          <w:szCs w:val="24"/>
        </w:rPr>
        <w:t xml:space="preserve">The Entente-realpolitik school:</w:t>
      </w:r>
      <w:r>
        <w:rPr>
          <w:rFonts w:ascii="Times New Roman" w:cs="Times New Roman" w:eastAsia="Times New Roman" w:hAnsi="Times New Roman"/>
          <w:b w:val="false"/>
          <w:bCs w:val="false"/>
          <w:i w:val="false"/>
          <w:iCs w:val="false"/>
          <w:sz w:val="24"/>
          <w:szCs w:val="24"/>
        </w:rPr>
        <w:t xml:space="preserve"> Historians including K.M. Wilson (1985) and G.C. Peden (2007) argue that Belgium was deployed instrumentally to resolve a Cabinet crisis and unite public opinion, while the real drivers were the Entente commitment to France and the balance-of-power calculation in north-west Europe. Wilson argues that Belgian neutrality was "deliberately fostered after the war began" as moral justification (Wilson 1985, pp. 134-152). The Cabinet had already decided on July 29, 1914 that the 1839 Treaty of London "did NOT obligate" Britain to oppose a German invasion with military force -- the guarantee was collective, not individual, a point Lord Stanley had articulated as early as 1867 regarding the Luxembourg guarantee (Clark 2012, pp. 532-555).</w:t>
      </w:r>
    </w:p>
    <w:p>
      <w:pPr>
        <w:spacing w:after="40" w:before="40"/>
        <w:jc w:val="left"/>
      </w:pPr>
      <w:r>
        <w:rPr>
          <w:rFonts w:ascii="Times New Roman" w:cs="Times New Roman" w:eastAsia="Times New Roman" w:hAnsi="Times New Roman"/>
          <w:b/>
          <w:bCs/>
          <w:i w:val="false"/>
          <w:iCs w:val="false"/>
          <w:sz w:val="24"/>
          <w:szCs w:val="24"/>
        </w:rPr>
        <w:t xml:space="preserve">The cabinet-manipulation thesis:</w:t>
      </w:r>
      <w:r>
        <w:rPr>
          <w:rFonts w:ascii="Times New Roman" w:cs="Times New Roman" w:eastAsia="Times New Roman" w:hAnsi="Times New Roman"/>
          <w:b w:val="false"/>
          <w:bCs w:val="false"/>
          <w:i w:val="false"/>
          <w:iCs w:val="false"/>
          <w:sz w:val="24"/>
          <w:szCs w:val="24"/>
        </w:rPr>
        <w:t xml:space="preserve"> Douglas Newton (2014) presents the strongest revisionist argument, contending that a small "war party" within the Cabinet colluded to pre-empt democratic decision-making. Newton documents that Parliament was denied a full debate or vote on the declaration of war, that the government's White Paper was a "dodgy dossier" doctored to mislead, and that the formal declaration was approved by three privy councillors and the monarch rather than by Cabinet. Reviewers are divided: Christopher Clark called it "a compellingly written, tightly argued, deeply researched and bracingly revisionist study," while J. Lee Thompson (</w:t>
      </w:r>
      <w:r>
        <w:rPr>
          <w:rFonts w:ascii="Times New Roman" w:cs="Times New Roman" w:eastAsia="Times New Roman" w:hAnsi="Times New Roman"/>
          <w:b w:val="false"/>
          <w:bCs w:val="false"/>
          <w:i/>
          <w:iCs/>
          <w:sz w:val="24"/>
          <w:szCs w:val="24"/>
        </w:rPr>
        <w:t xml:space="preserve">Michigan War Studies Review</w:t>
      </w:r>
      <w:r>
        <w:rPr>
          <w:rFonts w:ascii="Times New Roman" w:cs="Times New Roman" w:eastAsia="Times New Roman" w:hAnsi="Times New Roman"/>
          <w:b w:val="false"/>
          <w:bCs w:val="false"/>
          <w:i w:val="false"/>
          <w:iCs w:val="false"/>
          <w:sz w:val="24"/>
          <w:szCs w:val="24"/>
        </w:rPr>
        <w:t xml:space="preserve">, 2015) notes that it was "entirely normal" in British history for a small group of senior ministers to make war decisions.</w:t>
      </w:r>
    </w:p>
    <w:p>
      <w:pPr>
        <w:spacing w:after="40" w:before="40"/>
        <w:jc w:val="left"/>
      </w:pPr>
      <w:r>
        <w:rPr>
          <w:rFonts w:ascii="Times New Roman" w:cs="Times New Roman" w:eastAsia="Times New Roman" w:hAnsi="Times New Roman"/>
          <w:b/>
          <w:bCs/>
          <w:i w:val="false"/>
          <w:iCs w:val="false"/>
          <w:sz w:val="24"/>
          <w:szCs w:val="24"/>
        </w:rPr>
        <w:t xml:space="preserve">The emotional-turn perspective:</w:t>
      </w:r>
      <w:r>
        <w:rPr>
          <w:rFonts w:ascii="Times New Roman" w:cs="Times New Roman" w:eastAsia="Times New Roman" w:hAnsi="Times New Roman"/>
          <w:b w:val="false"/>
          <w:bCs w:val="false"/>
          <w:i w:val="false"/>
          <w:iCs w:val="false"/>
          <w:sz w:val="24"/>
          <w:szCs w:val="24"/>
        </w:rPr>
        <w:t xml:space="preserve"> John W. Young (2018) applies neuroscientific insights to Cabinet decision-making in July-August 1914 and finds that Grey's threat of resignation -- "I am not the man to carry out a policy of absolute neutrality" -- and Asquith's appearance of emotional control played a decisive role in minimizing resignations and shifting Cabinet sentiment (Young 2018, pp. 543-564).</w:t>
      </w:r>
    </w:p>
    <w:p>
      <w:pPr>
        <w:spacing w:after="40" w:before="40"/>
        <w:jc w:val="left"/>
      </w:pPr>
      <w:r>
        <w:rPr>
          <w:rFonts w:ascii="Times New Roman" w:cs="Times New Roman" w:eastAsia="Times New Roman" w:hAnsi="Times New Roman"/>
          <w:b/>
          <w:bCs/>
          <w:i w:val="false"/>
          <w:iCs w:val="false"/>
          <w:sz w:val="24"/>
          <w:szCs w:val="24"/>
        </w:rPr>
        <w:t xml:space="preserve">Scholarly consensus (qualified):</w:t>
      </w:r>
      <w:r>
        <w:rPr>
          <w:rFonts w:ascii="Times New Roman" w:cs="Times New Roman" w:eastAsia="Times New Roman" w:hAnsi="Times New Roman"/>
          <w:b w:val="false"/>
          <w:bCs w:val="false"/>
          <w:i w:val="false"/>
          <w:iCs w:val="false"/>
          <w:sz w:val="24"/>
          <w:szCs w:val="24"/>
        </w:rPr>
        <w:t xml:space="preserve"> The dominant view holds that Belgium was not the cause of British intervention but the mechanism through which a Cabinet crisis was resolved and public opinion united. The moral language was not entirely cynical -- both men genuinely believed that German hegemony would be a catastrophe for European civilization -- but the strategic decision to prevent France's defeat had been made independently of Belgian neutrality. The question that divides scholars is whether Asquith was a weak leader manipulated by Grey and Churchill (Newton's view) or a chairman-manager exercising the ordinary prerogatives of the prime ministerial office under severe crisis conditions (the conventional view).</w:t>
      </w:r>
    </w:p>
    <w:p>
      <w:pPr>
        <w:pStyle w:val="Heading1"/>
        <w:spacing w:after="120" w:before="360"/>
      </w:pPr>
      <w:r>
        <w:rPr>
          <w:rFonts w:ascii="Times New Roman" w:cs="Times New Roman" w:eastAsia="Times New Roman" w:hAnsi="Times New Roman"/>
          <w:b/>
          <w:bCs/>
          <w:sz w:val="28"/>
          <w:szCs w:val="28"/>
        </w:rPr>
        <w:t xml:space="preserve">2. Liberal Internationalism, International Law, and the "Scrap of Paper"</w:t>
      </w:r>
    </w:p>
    <w:p>
      <w:pPr>
        <w:pStyle w:val="Heading2"/>
        <w:spacing w:after="80" w:before="240"/>
      </w:pPr>
      <w:r>
        <w:rPr>
          <w:rFonts w:ascii="Times New Roman" w:cs="Times New Roman" w:eastAsia="Times New Roman" w:hAnsi="Times New Roman"/>
          <w:b/>
          <w:bCs/>
          <w:sz w:val="28"/>
          <w:szCs w:val="28"/>
        </w:rPr>
        <w:t xml:space="preserve">The Treaty of London (1839) and the Legal Justification for War</w:t>
      </w:r>
    </w:p>
    <w:p>
      <w:pPr>
        <w:spacing w:after="40" w:before="40"/>
        <w:jc w:val="left"/>
      </w:pPr>
      <w:r>
        <w:rPr>
          <w:rFonts w:ascii="Times New Roman" w:cs="Times New Roman" w:eastAsia="Times New Roman" w:hAnsi="Times New Roman"/>
          <w:b w:val="false"/>
          <w:bCs w:val="false"/>
          <w:i w:val="false"/>
          <w:iCs w:val="false"/>
          <w:sz w:val="24"/>
          <w:szCs w:val="24"/>
        </w:rPr>
        <w:t xml:space="preserve">The 1839 Treaty of London recognized Belgium as "an independent and perpetually neutral state," signed by Britain, Austria, France, Prussia, and Russia. The guarantee clause was a collective guarantee by the Great Powers, not an individual commitment to military action. Pre-1914 international law did not require any single signatory to act; it provided a right to make war, not an obligation (Fuehr, </w:t>
      </w:r>
      <w:r>
        <w:rPr>
          <w:rFonts w:ascii="Times New Roman" w:cs="Times New Roman" w:eastAsia="Times New Roman" w:hAnsi="Times New Roman"/>
          <w:b w:val="false"/>
          <w:bCs w:val="false"/>
          <w:i/>
          <w:iCs/>
          <w:sz w:val="24"/>
          <w:szCs w:val="24"/>
        </w:rPr>
        <w:t xml:space="preserve">The Neutrality of Belgium</w:t>
      </w:r>
      <w:r>
        <w:rPr>
          <w:rFonts w:ascii="Times New Roman" w:cs="Times New Roman" w:eastAsia="Times New Roman" w:hAnsi="Times New Roman"/>
          <w:b w:val="false"/>
          <w:bCs w:val="false"/>
          <w:i w:val="false"/>
          <w:iCs w:val="false"/>
          <w:sz w:val="24"/>
          <w:szCs w:val="24"/>
        </w:rPr>
        <w:t xml:space="preserve">, 1915; Lord Stanley's 1867 precedent on the Luxembourg guarantee, discussed in Hull 2014, pp. 15-45).</w:t>
      </w:r>
    </w:p>
    <w:p>
      <w:pPr>
        <w:spacing w:after="40" w:before="40"/>
        <w:jc w:val="left"/>
      </w:pPr>
      <w:r>
        <w:rPr>
          <w:rFonts w:ascii="Times New Roman" w:cs="Times New Roman" w:eastAsia="Times New Roman" w:hAnsi="Times New Roman"/>
          <w:b w:val="false"/>
          <w:bCs w:val="false"/>
          <w:i w:val="false"/>
          <w:iCs w:val="false"/>
          <w:sz w:val="24"/>
          <w:szCs w:val="24"/>
        </w:rPr>
        <w:t xml:space="preserve">When German Chancellor Theobald von Bethmann Hollweg dismissed the treaty as a "scrap of paper," Lloyd George seized on this in his Queen's Hall speech of September 19, 1914 -- one of the most consequential speeches in British political history. He declared:</w:t>
      </w:r>
    </w:p>
    <w:p>
      <w:pPr>
        <w:spacing w:after="40" w:before="40"/>
        <w:jc w:val="left"/>
      </w:pPr>
      <w:r>
        <w:rPr>
          <w:rFonts w:ascii="Times New Roman" w:cs="Times New Roman" w:eastAsia="Times New Roman" w:hAnsi="Times New Roman"/>
          <w:b w:val="false"/>
          <w:bCs w:val="false"/>
          <w:i w:val="false"/>
          <w:iCs w:val="false"/>
          <w:sz w:val="24"/>
          <w:szCs w:val="24"/>
        </w:rPr>
        <w:t xml:space="preserve">"Treaties are the currency of international statesmanship... This doctrine of the scrap of paper... goes to the root of public law. It is the straight road to barbarism" (Lloyd George, Queen's Hall Speech, September 19, 1914, full text at gwpda.org/1914/lloydgeorge_honour_1914.html).</w:t>
      </w:r>
    </w:p>
    <w:p>
      <w:pPr>
        <w:spacing w:after="40" w:before="40"/>
        <w:jc w:val="left"/>
      </w:pPr>
      <w:r>
        <w:rPr>
          <w:rFonts w:ascii="Times New Roman" w:cs="Times New Roman" w:eastAsia="Times New Roman" w:hAnsi="Times New Roman"/>
          <w:b w:val="false"/>
          <w:bCs w:val="false"/>
          <w:i w:val="false"/>
          <w:iCs w:val="false"/>
          <w:sz w:val="24"/>
          <w:szCs w:val="24"/>
        </w:rPr>
        <w:t xml:space="preserve">He compared treaties to banknotes -- physically just "rags" but backed by "the whole credit of the British Empire." He invoked Gladstone's 1870 precedent, when Britain had secured promises from both France and Prussia to respect Belgian neutrality. Bismarck had said it was "superfluous" to ask. Even when the French army was trapped against the Belgian frontier, France chose "ruin, humiliation... rather than dishonour the name of their country."</w:t>
      </w:r>
    </w:p>
    <w:p>
      <w:pPr>
        <w:spacing w:after="40" w:before="40"/>
        <w:jc w:val="left"/>
      </w:pPr>
      <w:r>
        <w:rPr>
          <w:rFonts w:ascii="Times New Roman" w:cs="Times New Roman" w:eastAsia="Times New Roman" w:hAnsi="Times New Roman"/>
          <w:b w:val="false"/>
          <w:bCs w:val="false"/>
          <w:i w:val="false"/>
          <w:iCs w:val="false"/>
          <w:sz w:val="24"/>
          <w:szCs w:val="24"/>
        </w:rPr>
        <w:t xml:space="preserve">Asquith justified the war in comparable terms, stating that if the treaty obligation had been "entered into between private persons in the ordinary concerns of life, it would have been regarded as an obligation not only of law but of honour." Foreign Secretary Grey spoke of "respect and good name and reputation before the world" (Asquith, </w:t>
      </w:r>
      <w:r>
        <w:rPr>
          <w:rFonts w:ascii="Times New Roman" w:cs="Times New Roman" w:eastAsia="Times New Roman" w:hAnsi="Times New Roman"/>
          <w:b w:val="false"/>
          <w:bCs w:val="false"/>
          <w:i/>
          <w:iCs/>
          <w:sz w:val="24"/>
          <w:szCs w:val="24"/>
        </w:rPr>
        <w:t xml:space="preserve">Parliamentary Debates, House of Commons</w:t>
      </w:r>
      <w:r>
        <w:rPr>
          <w:rFonts w:ascii="Times New Roman" w:cs="Times New Roman" w:eastAsia="Times New Roman" w:hAnsi="Times New Roman"/>
          <w:b w:val="false"/>
          <w:bCs w:val="false"/>
          <w:i w:val="false"/>
          <w:iCs w:val="false"/>
          <w:sz w:val="24"/>
          <w:szCs w:val="24"/>
        </w:rPr>
        <w:t xml:space="preserve">, 5th Series, Vol. 65, August 6, 1914; Grey, </w:t>
      </w:r>
      <w:r>
        <w:rPr>
          <w:rFonts w:ascii="Times New Roman" w:cs="Times New Roman" w:eastAsia="Times New Roman" w:hAnsi="Times New Roman"/>
          <w:b w:val="false"/>
          <w:bCs w:val="false"/>
          <w:i/>
          <w:iCs/>
          <w:sz w:val="24"/>
          <w:szCs w:val="24"/>
        </w:rPr>
        <w:t xml:space="preserve">Twenty-Five Years</w:t>
      </w:r>
      <w:r>
        <w:rPr>
          <w:rFonts w:ascii="Times New Roman" w:cs="Times New Roman" w:eastAsia="Times New Roman" w:hAnsi="Times New Roman"/>
          <w:b w:val="false"/>
          <w:bCs w:val="false"/>
          <w:i w:val="false"/>
          <w:iCs w:val="false"/>
          <w:sz w:val="24"/>
          <w:szCs w:val="24"/>
        </w:rPr>
        <w:t xml:space="preserve">, 1925, Vol. 2, pp. 1-20).</w:t>
      </w:r>
    </w:p>
    <w:p>
      <w:pPr>
        <w:pStyle w:val="Heading2"/>
        <w:spacing w:after="80" w:before="240"/>
      </w:pPr>
      <w:r>
        <w:rPr>
          <w:rFonts w:ascii="Times New Roman" w:cs="Times New Roman" w:eastAsia="Times New Roman" w:hAnsi="Times New Roman"/>
          <w:b/>
          <w:bCs/>
          <w:sz w:val="28"/>
          <w:szCs w:val="28"/>
        </w:rPr>
        <w:t xml:space="preserve">The Declaration of London (1909) and the Subversion of Maritime Law</w:t>
      </w:r>
    </w:p>
    <w:p>
      <w:pPr>
        <w:spacing w:after="40" w:before="40"/>
        <w:jc w:val="left"/>
      </w:pPr>
      <w:r>
        <w:rPr>
          <w:rFonts w:ascii="Times New Roman" w:cs="Times New Roman" w:eastAsia="Times New Roman" w:hAnsi="Times New Roman"/>
          <w:b w:val="false"/>
          <w:bCs w:val="false"/>
          <w:i w:val="false"/>
          <w:iCs w:val="false"/>
          <w:sz w:val="24"/>
          <w:szCs w:val="24"/>
        </w:rPr>
        <w:t xml:space="preserve">The 1909 Declaration of London was the key pre-war instrument governing naval blockade. It was signed by 10 nations but never ratified by any of them -- including Britain, where the House of Lords rejected it in 1911. It specified that blockades must be "close" (near enemy coasts), distinguished between "absolute contraband" and "conditional contraband" (including foodstuffs), and listed goods that could not be treated as contraband at all (Barros 2018, pp. 75-105; Hull 2014, pp. 141-155).</w:t>
      </w:r>
    </w:p>
    <w:p>
      <w:pPr>
        <w:spacing w:after="40" w:before="40"/>
        <w:jc w:val="left"/>
      </w:pPr>
      <w:r>
        <w:rPr>
          <w:rFonts w:ascii="Times New Roman" w:cs="Times New Roman" w:eastAsia="Times New Roman" w:hAnsi="Times New Roman"/>
          <w:b w:val="false"/>
          <w:bCs w:val="false"/>
          <w:i w:val="false"/>
          <w:iCs w:val="false"/>
          <w:sz w:val="24"/>
          <w:szCs w:val="24"/>
        </w:rPr>
        <w:t xml:space="preserve">Under Asquith's government, Britain systematically circumvented every restriction: (1) a "distant blockade" controlling the North Sea entrances rather than German coasts; (2) the doctrine of "continuous voyage" intercepting goods destined eventually for Germany, even if shipped to neutral ports first; (3) "rationing" neutral trade to pre-war levels; and (4) declaration of the North Sea as a "military area" in November 1914 (Hull 2014, pp. 155-182).</w:t>
      </w:r>
    </w:p>
    <w:p>
      <w:pPr>
        <w:pStyle w:val="Heading2"/>
        <w:spacing w:after="80" w:before="240"/>
      </w:pPr>
      <w:r>
        <w:rPr>
          <w:rFonts w:ascii="Times New Roman" w:cs="Times New Roman" w:eastAsia="Times New Roman" w:hAnsi="Times New Roman"/>
          <w:b/>
          <w:bCs/>
          <w:sz w:val="28"/>
          <w:szCs w:val="28"/>
        </w:rPr>
        <w:t xml:space="preserve">The Conception of International Law: Principle and Practice</w:t>
      </w:r>
    </w:p>
    <w:p>
      <w:pPr>
        <w:spacing w:after="40" w:before="40"/>
        <w:jc w:val="left"/>
      </w:pPr>
      <w:r>
        <w:rPr>
          <w:rFonts w:ascii="Times New Roman" w:cs="Times New Roman" w:eastAsia="Times New Roman" w:hAnsi="Times New Roman"/>
          <w:b w:val="false"/>
          <w:bCs w:val="false"/>
          <w:i w:val="false"/>
          <w:iCs w:val="false"/>
          <w:sz w:val="24"/>
          <w:szCs w:val="24"/>
        </w:rPr>
        <w:t xml:space="preserve">Isabel V. Hull, in </w:t>
      </w:r>
      <w:r>
        <w:rPr>
          <w:rFonts w:ascii="Times New Roman" w:cs="Times New Roman" w:eastAsia="Times New Roman" w:hAnsi="Times New Roman"/>
          <w:b w:val="false"/>
          <w:bCs w:val="false"/>
          <w:i/>
          <w:iCs/>
          <w:sz w:val="24"/>
          <w:szCs w:val="24"/>
        </w:rPr>
        <w:t xml:space="preserve">A Scrap of Paper: Breaking and Making International Law During the Great War</w:t>
      </w:r>
      <w:r>
        <w:rPr>
          <w:rFonts w:ascii="Times New Roman" w:cs="Times New Roman" w:eastAsia="Times New Roman" w:hAnsi="Times New Roman"/>
          <w:b w:val="false"/>
          <w:bCs w:val="false"/>
          <w:i w:val="false"/>
          <w:iCs w:val="false"/>
          <w:sz w:val="24"/>
          <w:szCs w:val="24"/>
        </w:rPr>
        <w:t xml:space="preserve"> (Cornell University Press, 2014), devotes two chapters to the British blockade (Chapters 5 and 6). Hull argues that "differences in state structures and legal traditions" shaped how belligerents fought. Britain and France, as liberal democracies, debated international law openly with civilian legal experts, the Foreign Office, and Cabinet members shaping blockade policy. But the outcome was an ever-tightening economic stranglehold that systematically broke pre-war legal constraints (Hull 2014, pp. 141-216).</w:t>
      </w:r>
    </w:p>
    <w:p>
      <w:pPr>
        <w:spacing w:after="40" w:before="40"/>
        <w:jc w:val="left"/>
      </w:pPr>
      <w:r>
        <w:rPr>
          <w:rFonts w:ascii="Times New Roman" w:cs="Times New Roman" w:eastAsia="Times New Roman" w:hAnsi="Times New Roman"/>
          <w:b w:val="false"/>
          <w:bCs w:val="false"/>
          <w:i w:val="false"/>
          <w:iCs w:val="false"/>
          <w:sz w:val="24"/>
          <w:szCs w:val="24"/>
        </w:rPr>
        <w:t xml:space="preserve">Andrew Barros, "Doing the Necessary: The Declaration of London and British Strategy, 1905-1915," in </w:t>
      </w:r>
      <w:r>
        <w:rPr>
          <w:rFonts w:ascii="Times New Roman" w:cs="Times New Roman" w:eastAsia="Times New Roman" w:hAnsi="Times New Roman"/>
          <w:b w:val="false"/>
          <w:bCs w:val="false"/>
          <w:i/>
          <w:iCs/>
          <w:sz w:val="24"/>
          <w:szCs w:val="24"/>
        </w:rPr>
        <w:t xml:space="preserve">The Civilianization of War</w:t>
      </w:r>
      <w:r>
        <w:rPr>
          <w:rFonts w:ascii="Times New Roman" w:cs="Times New Roman" w:eastAsia="Times New Roman" w:hAnsi="Times New Roman"/>
          <w:b w:val="false"/>
          <w:bCs w:val="false"/>
          <w:i w:val="false"/>
          <w:iCs w:val="false"/>
          <w:sz w:val="24"/>
          <w:szCs w:val="24"/>
        </w:rPr>
        <w:t xml:space="preserve"> (Cambridge University Press, 2018), articulates the central paradox:</w:t>
      </w:r>
    </w:p>
    <w:p>
      <w:pPr>
        <w:spacing w:after="40" w:before="40"/>
        <w:jc w:val="left"/>
      </w:pPr>
      <w:r>
        <w:rPr>
          <w:rFonts w:ascii="Times New Roman" w:cs="Times New Roman" w:eastAsia="Times New Roman" w:hAnsi="Times New Roman"/>
          <w:b w:val="false"/>
          <w:bCs w:val="false"/>
          <w:i w:val="false"/>
          <w:iCs w:val="false"/>
          <w:sz w:val="24"/>
          <w:szCs w:val="24"/>
        </w:rPr>
        <w:t xml:space="preserve">"Law links morality and strategy in paradoxical ways: its letter triggered unrestricted submarine warfare and the hunger blockade" (Barros 2018, pp. 95-98).</w:t>
      </w:r>
    </w:p>
    <w:p>
      <w:pPr>
        <w:spacing w:after="40" w:before="40"/>
        <w:jc w:val="left"/>
      </w:pPr>
      <w:r>
        <w:rPr>
          <w:rFonts w:ascii="Times New Roman" w:cs="Times New Roman" w:eastAsia="Times New Roman" w:hAnsi="Times New Roman"/>
          <w:b w:val="false"/>
          <w:bCs w:val="false"/>
          <w:i w:val="false"/>
          <w:iCs w:val="false"/>
          <w:sz w:val="24"/>
          <w:szCs w:val="24"/>
        </w:rPr>
        <w:t xml:space="preserve">G.C. Peden (</w:t>
      </w:r>
      <w:r>
        <w:rPr>
          <w:rFonts w:ascii="Times New Roman" w:cs="Times New Roman" w:eastAsia="Times New Roman" w:hAnsi="Times New Roman"/>
          <w:b w:val="false"/>
          <w:bCs w:val="false"/>
          <w:i/>
          <w:iCs/>
          <w:sz w:val="24"/>
          <w:szCs w:val="24"/>
        </w:rPr>
        <w:t xml:space="preserve">Arms, Economics and British Strategy</w:t>
      </w:r>
      <w:r>
        <w:rPr>
          <w:rFonts w:ascii="Times New Roman" w:cs="Times New Roman" w:eastAsia="Times New Roman" w:hAnsi="Times New Roman"/>
          <w:b w:val="false"/>
          <w:bCs w:val="false"/>
          <w:i w:val="false"/>
          <w:iCs w:val="false"/>
          <w:sz w:val="24"/>
          <w:szCs w:val="24"/>
        </w:rPr>
        <w:t xml:space="preserve">, Cambridge, 2007) summarizes the Liberal war aims: (1) maintaining Belgian independence; (2) excluding Germans from Channel ports; and (3) among Asquith and Grey from the outset, regime change in Germany by replacing "Prussianism" with democracy (Peden 2007, pp. 78-95). This maximalist third objective implied a far greater margin of victory than the first two and explains why a limited war was never seriously contemplated.</w:t>
      </w:r>
    </w:p>
    <w:p>
      <w:pPr>
        <w:pStyle w:val="Heading1"/>
        <w:spacing w:after="120" w:before="360"/>
      </w:pPr>
      <w:r>
        <w:rPr>
          <w:rFonts w:ascii="Times New Roman" w:cs="Times New Roman" w:eastAsia="Times New Roman" w:hAnsi="Times New Roman"/>
          <w:b/>
          <w:bCs/>
          <w:sz w:val="28"/>
          <w:szCs w:val="28"/>
        </w:rPr>
        <w:t xml:space="preserve">3. Sovereignty of Small States (Especially Belgium)</w:t>
      </w:r>
    </w:p>
    <w:p>
      <w:pPr>
        <w:pStyle w:val="Heading2"/>
        <w:spacing w:after="80" w:before="240"/>
      </w:pPr>
      <w:r>
        <w:rPr>
          <w:rFonts w:ascii="Times New Roman" w:cs="Times New Roman" w:eastAsia="Times New Roman" w:hAnsi="Times New Roman"/>
          <w:b/>
          <w:bCs/>
          <w:sz w:val="28"/>
          <w:szCs w:val="28"/>
        </w:rPr>
        <w:t xml:space="preserve">Belgium as Public Casus Belli</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George's Queen's Hall speech of September 19, 1914 elevated the defense of Belgium into a comprehensive philosophy of small nation sovereignty. He delivered what became the most quoted passage of the speech:</w:t>
      </w:r>
    </w:p>
    <w:p>
      <w:pPr>
        <w:spacing w:after="40" w:before="40"/>
        <w:jc w:val="left"/>
      </w:pPr>
      <w:r>
        <w:rPr>
          <w:rFonts w:ascii="Times New Roman" w:cs="Times New Roman" w:eastAsia="Times New Roman" w:hAnsi="Times New Roman"/>
          <w:b w:val="false"/>
          <w:bCs w:val="false"/>
          <w:i w:val="false"/>
          <w:iCs w:val="false"/>
          <w:sz w:val="24"/>
          <w:szCs w:val="24"/>
        </w:rPr>
        <w:t xml:space="preserve">"The world owes much to little nations -- and to little men... The greatest art of the world was the work of little nations. The most enduring literature of the world came from little nations... God has chosen little nations as the vessels by which He carries the choicest wines to the lips of humanity" (Lloyd George, Queen's Hall Speech, September 19, 1914, gwpda.org/1914/lloydgeorge_honour_1914.html).</w:t>
      </w:r>
    </w:p>
    <w:p>
      <w:pPr>
        <w:spacing w:after="40" w:before="40"/>
        <w:jc w:val="left"/>
      </w:pPr>
      <w:r>
        <w:rPr>
          <w:rFonts w:ascii="Times New Roman" w:cs="Times New Roman" w:eastAsia="Times New Roman" w:hAnsi="Times New Roman"/>
          <w:b w:val="false"/>
          <w:bCs w:val="false"/>
          <w:i w:val="false"/>
          <w:iCs w:val="false"/>
          <w:sz w:val="24"/>
          <w:szCs w:val="24"/>
        </w:rPr>
        <w:t xml:space="preserve">He described Belgium as "one of the most unoffending little countries in Europe" whose "cornfields have been trampled down, her villages have been burned." The crime, he declared, was that "they trusted to the word of a Prussian King."</w:t>
      </w:r>
    </w:p>
    <w:p>
      <w:pPr>
        <w:spacing w:after="40" w:before="40"/>
        <w:jc w:val="left"/>
      </w:pPr>
      <w:r>
        <w:rPr>
          <w:rFonts w:ascii="Times New Roman" w:cs="Times New Roman" w:eastAsia="Times New Roman" w:hAnsi="Times New Roman"/>
          <w:b w:val="false"/>
          <w:bCs w:val="false"/>
          <w:i w:val="false"/>
          <w:iCs w:val="false"/>
          <w:sz w:val="24"/>
          <w:szCs w:val="24"/>
        </w:rPr>
        <w:t xml:space="preserve">The German invasion of Belgium featured prominently in British propaganda. The Bryce Commission Report (1915) documented alleged German atrocities in Belgium -- some verified, others exaggerated or fabricated -- and was used to mobilize public opinion, particularly in the United States. The image of "Poor Little Belgium" became a central trope of Allied war propaganda (Hull 2014, pp. 50-55).</w:t>
      </w:r>
    </w:p>
    <w:p>
      <w:pPr>
        <w:pStyle w:val="Heading2"/>
        <w:spacing w:after="80" w:before="240"/>
      </w:pPr>
      <w:r>
        <w:rPr>
          <w:rFonts w:ascii="Times New Roman" w:cs="Times New Roman" w:eastAsia="Times New Roman" w:hAnsi="Times New Roman"/>
          <w:b/>
          <w:bCs/>
          <w:sz w:val="28"/>
          <w:szCs w:val="28"/>
        </w:rPr>
        <w:t xml:space="preserve">Belgium as Strategic Instrument</w:t>
      </w:r>
    </w:p>
    <w:p>
      <w:pPr>
        <w:spacing w:after="40" w:before="40"/>
        <w:jc w:val="left"/>
      </w:pPr>
      <w:r>
        <w:rPr>
          <w:rFonts w:ascii="Times New Roman" w:cs="Times New Roman" w:eastAsia="Times New Roman" w:hAnsi="Times New Roman"/>
          <w:b w:val="false"/>
          <w:bCs w:val="false"/>
          <w:i w:val="false"/>
          <w:iCs w:val="false"/>
          <w:sz w:val="24"/>
          <w:szCs w:val="24"/>
        </w:rPr>
        <w:t xml:space="preserve">Despite this soaring rhetoric, multiple historians conclude Belgium was deployed instrumentally. Sir Edward Grey told the German ambassador that Britain could not promise to remain neutral even if Germany respected Belgium -- revealing that the Entente commitment to France, not Belgian sovereignty, was the real driver (Grey, </w:t>
      </w:r>
      <w:r>
        <w:rPr>
          <w:rFonts w:ascii="Times New Roman" w:cs="Times New Roman" w:eastAsia="Times New Roman" w:hAnsi="Times New Roman"/>
          <w:b w:val="false"/>
          <w:bCs w:val="false"/>
          <w:i/>
          <w:iCs/>
          <w:sz w:val="24"/>
          <w:szCs w:val="24"/>
        </w:rPr>
        <w:t xml:space="preserve">Twenty-Five Years</w:t>
      </w:r>
      <w:r>
        <w:rPr>
          <w:rFonts w:ascii="Times New Roman" w:cs="Times New Roman" w:eastAsia="Times New Roman" w:hAnsi="Times New Roman"/>
          <w:b w:val="false"/>
          <w:bCs w:val="false"/>
          <w:i w:val="false"/>
          <w:iCs w:val="false"/>
          <w:sz w:val="24"/>
          <w:szCs w:val="24"/>
        </w:rPr>
        <w:t xml:space="preserve">, 1925, Vol. 2, pp. 1-20; discussed in Wilson 1985, pp. 134-152). The British Cabinet had already decided on July 29, 1914 that the 1839 treaty created no binding legal obligation (Clark 2012, pp. 532-555).</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 himself later claimed in his </w:t>
      </w:r>
      <w:r>
        <w:rPr>
          <w:rFonts w:ascii="Times New Roman" w:cs="Times New Roman" w:eastAsia="Times New Roman" w:hAnsi="Times New Roman"/>
          <w:b w:val="false"/>
          <w:bCs w:val="false"/>
          <w:i/>
          <w:iCs/>
          <w:sz w:val="24"/>
          <w:szCs w:val="24"/>
        </w:rPr>
        <w:t xml:space="preserve">War Memoirs</w:t>
      </w:r>
      <w:r>
        <w:rPr>
          <w:rFonts w:ascii="Times New Roman" w:cs="Times New Roman" w:eastAsia="Times New Roman" w:hAnsi="Times New Roman"/>
          <w:b w:val="false"/>
          <w:bCs w:val="false"/>
          <w:i w:val="false"/>
          <w:iCs w:val="false"/>
          <w:sz w:val="24"/>
          <w:szCs w:val="24"/>
        </w:rPr>
        <w:t xml:space="preserve"> (1933-1936, Vol. 1, pp. 115-128) that if Germany had respected Belgium, Britain should have remained neutral, rearmed, and "when the combatants had exhausted themselves, intervene to impose saner counsels" -- a position Grigg (1973, Vol. 1, pp. 326-340) finds "little support then or now," as it assumed France would not be quickly defeated.</w:t>
      </w:r>
    </w:p>
    <w:p>
      <w:pPr>
        <w:pStyle w:val="Heading2"/>
        <w:spacing w:after="80" w:before="240"/>
      </w:pPr>
      <w:r>
        <w:rPr>
          <w:rFonts w:ascii="Times New Roman" w:cs="Times New Roman" w:eastAsia="Times New Roman" w:hAnsi="Times New Roman"/>
          <w:b/>
          <w:bCs/>
          <w:sz w:val="28"/>
          <w:szCs w:val="28"/>
        </w:rPr>
        <w:t xml:space="preserve">Self-Determination at the Paris Peace Conference (1919)</w:t>
      </w:r>
    </w:p>
    <w:p>
      <w:pPr>
        <w:spacing w:after="40" w:before="40"/>
        <w:jc w:val="left"/>
      </w:pPr>
      <w:r>
        <w:rPr>
          <w:rFonts w:ascii="Times New Roman" w:cs="Times New Roman" w:eastAsia="Times New Roman" w:hAnsi="Times New Roman"/>
          <w:b w:val="false"/>
          <w:bCs w:val="false"/>
          <w:i w:val="false"/>
          <w:iCs w:val="false"/>
          <w:sz w:val="24"/>
          <w:szCs w:val="24"/>
        </w:rPr>
        <w:t xml:space="preserve">At Versailles, Lloyd George described his position as "seated between Jesus Christ and Napoleon" -- between Wilson's idealism and Clemenceau's harsh realism (MacMillan 2002, pp. 250-270). His stance on sovereignty and self-determination was fundamentally dual (MacMillan 2002, pp. 380-400; Lieshout 2016, pp. 210-228):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Context</w:t>
            </w:r>
          </w:p>
        </w:tc>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Lloyd George's Position</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Trade Union Congress, January 5, 1918 (public)</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Championed self-determination more vigorously than Wilson, extending it to "the native tribes of Africa" and declaring German colonies "held at the disposal of a conference whose decisions must have primary regard to the wishes of the native inhabitants"</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Paris Peace Conference, 1919 (private)</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Argued German colonies were spoils of war belonging to the Dominions that had captured them, dismissively calling some "cannibal colonies, where people were eating each other"</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Wilson's response</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Called Lloyd George's approach a "mere distribution of the spoils" (MacMillan 2002, pp. 98-110)</w:t>
            </w:r>
          </w:p>
        </w:tc>
      </w:tr>
    </w:tbl>
    <w:p>
      <w:pPr>
        <w:spacing w:after="0" w:before="0"/>
      </w:pPr>
      <w:r>
        <w:rPr>
          <w:rFonts w:ascii="Times New Roman" w:cs="Times New Roman" w:eastAsia="Times New Roman" w:hAnsi="Times New Roman"/>
          <w:sz w:val="12"/>
          <w:szCs w:val="12"/>
        </w:rPr>
        <w:t xml:space="preserve"/>
      </w:r>
    </w:p>
    <w:p>
      <w:pPr>
        <w:pStyle w:val="Heading2"/>
        <w:spacing w:after="80" w:before="240"/>
      </w:pPr>
      <w:r>
        <w:rPr>
          <w:rFonts w:ascii="Times New Roman" w:cs="Times New Roman" w:eastAsia="Times New Roman" w:hAnsi="Times New Roman"/>
          <w:b/>
          <w:bCs/>
          <w:sz w:val="28"/>
          <w:szCs w:val="28"/>
        </w:rPr>
        <w:t xml:space="preserve">The King-Crane Commission (1919)</w:t>
      </w:r>
    </w:p>
    <w:p>
      <w:pPr>
        <w:spacing w:after="40" w:before="40"/>
        <w:jc w:val="left"/>
      </w:pPr>
      <w:r>
        <w:rPr>
          <w:rFonts w:ascii="Times New Roman" w:cs="Times New Roman" w:eastAsia="Times New Roman" w:hAnsi="Times New Roman"/>
          <w:b w:val="false"/>
          <w:bCs w:val="false"/>
          <w:i w:val="false"/>
          <w:iCs w:val="false"/>
          <w:sz w:val="24"/>
          <w:szCs w:val="24"/>
        </w:rPr>
        <w:t xml:space="preserve">The King-Crane Commission was an American-led effort to ascertain Arab opinion about their political future after the Ottoman collapse. Lloyd George initially offered no objection to the commission, but later backtracked. A Florida State University analysis notes that Lloyd George's "refusal to elaborate on the rights of Syrians and other Arabs... is telling, given [Britain's] economic and political interests in the Levant" (FSU repository, King-Crane Commission records).</w:t>
      </w:r>
    </w:p>
    <w:p>
      <w:pPr>
        <w:spacing w:after="40" w:before="40"/>
        <w:jc w:val="left"/>
      </w:pPr>
      <w:r>
        <w:rPr>
          <w:rFonts w:ascii="Times New Roman" w:cs="Times New Roman" w:eastAsia="Times New Roman" w:hAnsi="Times New Roman"/>
          <w:b w:val="false"/>
          <w:bCs w:val="false"/>
          <w:i w:val="false"/>
          <w:iCs w:val="false"/>
          <w:sz w:val="24"/>
          <w:szCs w:val="24"/>
        </w:rPr>
        <w:t xml:space="preserve">The British ultimately withdrew from the commission, leaving it as a purely American endeavor whose findings were never formally acknowledged at the Paris Peace Conference. The principle of self-determination was applied selectively -- only where it did not threaten British imperial interests. Plebiscites (popular votes on national affiliation) were the exception, not the rule, used only in Schleswig, parts of East Prussia, Upper Silesia, the Saar Basin, and Carinthia (MacMillan 2002, pp. 380-420).</w:t>
      </w:r>
    </w:p>
    <w:p>
      <w:pPr>
        <w:pStyle w:val="Heading2"/>
        <w:spacing w:after="80" w:before="240"/>
      </w:pPr>
      <w:r>
        <w:rPr>
          <w:rFonts w:ascii="Times New Roman" w:cs="Times New Roman" w:eastAsia="Times New Roman" w:hAnsi="Times New Roman"/>
          <w:b/>
          <w:bCs/>
          <w:sz w:val="28"/>
          <w:szCs w:val="28"/>
        </w:rPr>
        <w:t xml:space="preserve">Lloyd George's Prescient Warning</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 offered a strikingly prophetic warning to his fellow leaders at the Conference:</w:t>
      </w:r>
    </w:p>
    <w:p>
      <w:pPr>
        <w:spacing w:after="40" w:before="40"/>
        <w:jc w:val="left"/>
      </w:pPr>
      <w:r>
        <w:rPr>
          <w:rFonts w:ascii="Times New Roman" w:cs="Times New Roman" w:eastAsia="Times New Roman" w:hAnsi="Times New Roman"/>
          <w:b w:val="false"/>
          <w:bCs w:val="false"/>
          <w:i w:val="false"/>
          <w:iCs w:val="false"/>
          <w:sz w:val="24"/>
          <w:szCs w:val="24"/>
        </w:rPr>
        <w:t xml:space="preserve">"You may strip Germany of her colonies, reduce her armaments to a mere police force and her navy to that of a fifth-rate power; all the same in the end if she feels that she has been unjustly treated in the peace of 1919 she will find ways of exacting retribution from her conquerors" (MacMillan 2002, pp. 195-200; 1914-1918 Online encyclopedia entry on the Paris Peace Conference).</w:t>
      </w:r>
    </w:p>
    <w:p>
      <w:pPr>
        <w:spacing w:after="40" w:before="40"/>
        <w:jc w:val="left"/>
      </w:pPr>
      <w:r>
        <w:rPr>
          <w:rFonts w:ascii="Times New Roman" w:cs="Times New Roman" w:eastAsia="Times New Roman" w:hAnsi="Times New Roman"/>
          <w:b w:val="false"/>
          <w:bCs w:val="false"/>
          <w:i w:val="false"/>
          <w:iCs w:val="false"/>
          <w:sz w:val="24"/>
          <w:szCs w:val="24"/>
        </w:rPr>
        <w:t xml:space="preserve">This warning proved accurate with the rise of Hitler and World War II -- yet Lloyd George did not act decisively on his own insight at the Conference.</w:t>
      </w:r>
    </w:p>
    <w:p>
      <w:pPr>
        <w:pStyle w:val="Heading1"/>
        <w:spacing w:after="120" w:before="360"/>
      </w:pPr>
      <w:r>
        <w:rPr>
          <w:rFonts w:ascii="Times New Roman" w:cs="Times New Roman" w:eastAsia="Times New Roman" w:hAnsi="Times New Roman"/>
          <w:b/>
          <w:bCs/>
          <w:sz w:val="28"/>
          <w:szCs w:val="28"/>
        </w:rPr>
        <w:t xml:space="preserve">4. The Naval Blockade and Humanitarian Consequences</w:t>
      </w:r>
    </w:p>
    <w:p>
      <w:pPr>
        <w:pStyle w:val="Heading2"/>
        <w:spacing w:after="80" w:before="240"/>
      </w:pPr>
      <w:r>
        <w:rPr>
          <w:rFonts w:ascii="Times New Roman" w:cs="Times New Roman" w:eastAsia="Times New Roman" w:hAnsi="Times New Roman"/>
          <w:b/>
          <w:bCs/>
          <w:sz w:val="28"/>
          <w:szCs w:val="28"/>
        </w:rPr>
        <w:t xml:space="preserve">Scale, Duration, and Impact</w:t>
      </w:r>
    </w:p>
    <w:p>
      <w:pPr>
        <w:spacing w:after="40" w:before="40"/>
        <w:jc w:val="left"/>
      </w:pPr>
      <w:r>
        <w:rPr>
          <w:rFonts w:ascii="Times New Roman" w:cs="Times New Roman" w:eastAsia="Times New Roman" w:hAnsi="Times New Roman"/>
          <w:b w:val="false"/>
          <w:bCs w:val="false"/>
          <w:i w:val="false"/>
          <w:iCs w:val="false"/>
          <w:sz w:val="24"/>
          <w:szCs w:val="24"/>
        </w:rPr>
        <w:t xml:space="preserve">The British blockade lasted from August 1914 through July 1919 -- eight months after the Armistice of November 11, 1918. It was deliberately maintained as leverage to compel German acceptance of Versailles terms. It was not lifted until Germany signed the Treaty of Versailles on June 28, 1919, and in some respects remained until ratification (Cox 2019, pp. 42-55; Cundy 2015, pp. 87-132).</w:t>
      </w:r>
    </w:p>
    <w:p>
      <w:pPr>
        <w:spacing w:after="40" w:before="80"/>
        <w:jc w:val="left"/>
      </w:pPr>
      <w:r>
        <w:rPr>
          <w:rFonts w:ascii="Times New Roman" w:cs="Times New Roman" w:eastAsia="Times New Roman" w:hAnsi="Times New Roman"/>
          <w:b/>
          <w:bCs/>
          <w:i w:val="false"/>
          <w:iCs w:val="false"/>
          <w:sz w:val="24"/>
          <w:szCs w:val="24"/>
        </w:rPr>
        <w:t xml:space="preserve">The death toll: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Source</w:t>
            </w:r>
          </w:p>
        </w:tc>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Estimate</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British official history (completed 1930s, released decades later)</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More than 750,000 civilian deaths from privation/hunger during the entire blockade period</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German Board of Public Health (December 1918)</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763,000 deaths from starvation and disease</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N.P. Howard (University of Sheffield)</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Approximately 523,000 during the war itself, plus approximately 250,000 in the eight-month post-armistice period</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John Maynard Keynes</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Estimated the peacetime blockade killed about a quarter of a million people, including many children</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Prof. Starling's official British government inquiry (spring 1919)</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Death rate from starvation in the first half of 1919 was higher than during the same period of 1918</w:t>
            </w:r>
          </w:p>
        </w:tc>
      </w:tr>
    </w:tbl>
    <w:p>
      <w:pPr>
        <w:spacing w:after="0" w:before="0"/>
      </w:pPr>
      <w:r>
        <w:rPr>
          <w:rFonts w:ascii="Times New Roman" w:cs="Times New Roman" w:eastAsia="Times New Roman" w:hAnsi="Times New Roman"/>
          <w:sz w:val="12"/>
          <w:szCs w:val="12"/>
        </w:rPr>
        <w:t xml:space="preserve"/>
      </w:r>
    </w:p>
    <w:p>
      <w:pPr>
        <w:spacing w:after="40" w:before="40"/>
        <w:jc w:val="left"/>
      </w:pPr>
      <w:r>
        <w:rPr>
          <w:rFonts w:ascii="Times New Roman" w:cs="Times New Roman" w:eastAsia="Times New Roman" w:hAnsi="Times New Roman"/>
          <w:b w:val="false"/>
          <w:bCs w:val="false"/>
          <w:i w:val="false"/>
          <w:iCs w:val="false"/>
          <w:sz w:val="24"/>
          <w:szCs w:val="24"/>
        </w:rPr>
        <w:t xml:space="preserve">General Plumer (British commander in the Rhineland, March 1919) reported: "Hordes of skinny and bloated children pawing over offal" from British camps, warning of a "threefold increase in infant mortality" (Cundy 2015, pp. 120-145; Cox 2019, pp. 88-105).</w:t>
      </w:r>
    </w:p>
    <w:p>
      <w:pPr>
        <w:pStyle w:val="Heading2"/>
        <w:spacing w:after="80" w:before="240"/>
      </w:pPr>
      <w:r>
        <w:rPr>
          <w:rFonts w:ascii="Times New Roman" w:cs="Times New Roman" w:eastAsia="Times New Roman" w:hAnsi="Times New Roman"/>
          <w:b/>
          <w:bCs/>
          <w:sz w:val="28"/>
          <w:szCs w:val="28"/>
        </w:rPr>
        <w:t xml:space="preserve">Asquith's Role vs. Lloyd George's Role</w:t>
      </w:r>
    </w:p>
    <w:p>
      <w:pPr>
        <w:spacing w:after="40" w:before="40"/>
        <w:jc w:val="left"/>
      </w:pPr>
      <w:r>
        <w:rPr>
          <w:rFonts w:ascii="Times New Roman" w:cs="Times New Roman" w:eastAsia="Times New Roman" w:hAnsi="Times New Roman"/>
          <w:b w:val="false"/>
          <w:bCs w:val="false"/>
          <w:i w:val="false"/>
          <w:iCs w:val="false"/>
          <w:sz w:val="24"/>
          <w:szCs w:val="24"/>
        </w:rPr>
        <w:t xml:space="preserve">The blockade was authorized under Asquith's premiership in 1914-1915. The legal circumvention framework -- the distant blockade, the doctrine of continuous voyage, the rationing of neutral trade, and the declaration of the North Sea as a military area -- was established during Asquith's government (Hull 2014, pp. 141-182).</w:t>
      </w:r>
    </w:p>
    <w:p>
      <w:pPr>
        <w:spacing w:after="40" w:before="40"/>
        <w:jc w:val="left"/>
      </w:pPr>
      <w:r>
        <w:rPr>
          <w:rFonts w:ascii="Times New Roman" w:cs="Times New Roman" w:eastAsia="Times New Roman" w:hAnsi="Times New Roman"/>
          <w:b w:val="false"/>
          <w:bCs w:val="false"/>
          <w:i w:val="false"/>
          <w:iCs w:val="false"/>
          <w:sz w:val="24"/>
          <w:szCs w:val="24"/>
        </w:rPr>
        <w:t xml:space="preserve">However, the post-armistice continuation -- the most morally controversial phase -- occurred entirely under Lloyd George's government. The blockade functioned as an instrument of coercive diplomacy at Versailles. Winston Churchill, as Lloyd George's Secretary of State for War, described the blockade frankly as a "weapon of starvation" and told the House of Commons on March 3, 1919:</w:t>
      </w:r>
    </w:p>
    <w:p>
      <w:pPr>
        <w:spacing w:after="40" w:before="40"/>
        <w:jc w:val="left"/>
      </w:pPr>
      <w:r>
        <w:rPr>
          <w:rFonts w:ascii="Times New Roman" w:cs="Times New Roman" w:eastAsia="Times New Roman" w:hAnsi="Times New Roman"/>
          <w:b w:val="false"/>
          <w:bCs w:val="false"/>
          <w:i w:val="false"/>
          <w:iCs w:val="false"/>
          <w:sz w:val="24"/>
          <w:szCs w:val="24"/>
        </w:rPr>
        <w:t xml:space="preserve">"Germany is very near starvation... the great danger of a collapse of the entire structure of German social and national life, under the pressure of hunger and malnutrition" (Churchill, </w:t>
      </w:r>
      <w:r>
        <w:rPr>
          <w:rFonts w:ascii="Times New Roman" w:cs="Times New Roman" w:eastAsia="Times New Roman" w:hAnsi="Times New Roman"/>
          <w:b w:val="false"/>
          <w:bCs w:val="false"/>
          <w:i/>
          <w:iCs/>
          <w:sz w:val="24"/>
          <w:szCs w:val="24"/>
        </w:rPr>
        <w:t xml:space="preserve">Parliamentary Debates, House of Commons</w:t>
      </w:r>
      <w:r>
        <w:rPr>
          <w:rFonts w:ascii="Times New Roman" w:cs="Times New Roman" w:eastAsia="Times New Roman" w:hAnsi="Times New Roman"/>
          <w:b w:val="false"/>
          <w:bCs w:val="false"/>
          <w:i w:val="false"/>
          <w:iCs w:val="false"/>
          <w:sz w:val="24"/>
          <w:szCs w:val="24"/>
        </w:rPr>
        <w:t xml:space="preserve">, 5th Series, Vol. 113, March 3, 1919; cited in Cundy 2015, pp. 1-15).</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 never publicly expressed regret for the blockade or its civilian consequences.</w:t>
      </w:r>
    </w:p>
    <w:p>
      <w:pPr>
        <w:pStyle w:val="Heading2"/>
        <w:spacing w:after="80" w:before="240"/>
      </w:pPr>
      <w:r>
        <w:rPr>
          <w:rFonts w:ascii="Times New Roman" w:cs="Times New Roman" w:eastAsia="Times New Roman" w:hAnsi="Times New Roman"/>
          <w:b/>
          <w:bCs/>
          <w:sz w:val="28"/>
          <w:szCs w:val="28"/>
        </w:rPr>
        <w:t xml:space="preserve">The Anthropometric Evidence</w:t>
      </w:r>
    </w:p>
    <w:p>
      <w:pPr>
        <w:spacing w:after="40" w:before="40"/>
        <w:jc w:val="left"/>
      </w:pPr>
      <w:r>
        <w:rPr>
          <w:rFonts w:ascii="Times New Roman" w:cs="Times New Roman" w:eastAsia="Times New Roman" w:hAnsi="Times New Roman"/>
          <w:b w:val="false"/>
          <w:bCs w:val="false"/>
          <w:i w:val="false"/>
          <w:iCs w:val="false"/>
          <w:sz w:val="24"/>
          <w:szCs w:val="24"/>
        </w:rPr>
        <w:t xml:space="preserve">Mary Elisabeth Cox, in </w:t>
      </w:r>
      <w:r>
        <w:rPr>
          <w:rFonts w:ascii="Times New Roman" w:cs="Times New Roman" w:eastAsia="Times New Roman" w:hAnsi="Times New Roman"/>
          <w:b w:val="false"/>
          <w:bCs w:val="false"/>
          <w:i/>
          <w:iCs/>
          <w:sz w:val="24"/>
          <w:szCs w:val="24"/>
        </w:rPr>
        <w:t xml:space="preserve">Hunger in War and Peace: Women and Children in Germany, 1914-1924</w:t>
      </w:r>
      <w:r>
        <w:rPr>
          <w:rFonts w:ascii="Times New Roman" w:cs="Times New Roman" w:eastAsia="Times New Roman" w:hAnsi="Times New Roman"/>
          <w:b w:val="false"/>
          <w:bCs w:val="false"/>
          <w:i w:val="false"/>
          <w:iCs w:val="false"/>
          <w:sz w:val="24"/>
          <w:szCs w:val="24"/>
        </w:rPr>
        <w:t xml:space="preserve"> (Oxford University Press, 2019), provides the most comprehensive demographic analysis. Through anthropometric studies, household surveys, and children's drawings, she demonstrates that German women and poor children suffered the most severe nutritional deprivation. Mothers often sacrificed their own nutrition, leading to chronic energy deficiency. Poor children suffered worst from stunting and developmental delays (Cox 2019, pp. 130-185).</w:t>
      </w:r>
    </w:p>
    <w:p>
      <w:pPr>
        <w:pStyle w:val="Heading2"/>
        <w:spacing w:after="80" w:before="240"/>
      </w:pPr>
      <w:r>
        <w:rPr>
          <w:rFonts w:ascii="Times New Roman" w:cs="Times New Roman" w:eastAsia="Times New Roman" w:hAnsi="Times New Roman"/>
          <w:b/>
          <w:bCs/>
          <w:sz w:val="28"/>
          <w:szCs w:val="28"/>
        </w:rPr>
        <w:t xml:space="preserve">Scholarly Debate on Legality and Morality</w:t>
      </w:r>
    </w:p>
    <w:p>
      <w:pPr>
        <w:spacing w:after="40" w:before="40"/>
        <w:jc w:val="left"/>
      </w:pPr>
      <w:r>
        <w:rPr>
          <w:rFonts w:ascii="Times New Roman" w:cs="Times New Roman" w:eastAsia="Times New Roman" w:hAnsi="Times New Roman"/>
          <w:b w:val="false"/>
          <w:bCs w:val="false"/>
          <w:i w:val="false"/>
          <w:iCs w:val="false"/>
          <w:sz w:val="24"/>
          <w:szCs w:val="24"/>
        </w:rPr>
        <w:t xml:space="preserve">Historian Jay Winter characterized the blockade as "not falling short of being a war crime" -- the deliberate use of starvation as a weapon against noncombatants (cited in Cundy 2015, pp. 10-25).</w:t>
      </w:r>
    </w:p>
    <w:p>
      <w:pPr>
        <w:spacing w:after="40" w:before="40"/>
        <w:jc w:val="left"/>
      </w:pPr>
      <w:r>
        <w:rPr>
          <w:rFonts w:ascii="Times New Roman" w:cs="Times New Roman" w:eastAsia="Times New Roman" w:hAnsi="Times New Roman"/>
          <w:b w:val="false"/>
          <w:bCs w:val="false"/>
          <w:i w:val="false"/>
          <w:iCs w:val="false"/>
          <w:sz w:val="24"/>
          <w:szCs w:val="24"/>
        </w:rPr>
        <w:t xml:space="preserve">Alyssa Cundy's PhD dissertation (Wilfrid Laurier University, 2015) documents the decades-long delay in publication of the British official history revealing the death toll -- suggesting official awareness of the moral implications and a desire to suppress them (Cundy 2015, pp. 250-280). Hull (2014, pp. 183-216) analyzes how Britain systematically "broke and remade" international law to justify the expanding blockade.</w:t>
      </w:r>
    </w:p>
    <w:p>
      <w:pPr>
        <w:spacing w:after="40" w:before="40"/>
        <w:jc w:val="left"/>
      </w:pPr>
      <w:r>
        <w:rPr>
          <w:rFonts w:ascii="Times New Roman" w:cs="Times New Roman" w:eastAsia="Times New Roman" w:hAnsi="Times New Roman"/>
          <w:b w:val="false"/>
          <w:bCs w:val="false"/>
          <w:i w:val="false"/>
          <w:iCs w:val="false"/>
          <w:sz w:val="24"/>
          <w:szCs w:val="24"/>
        </w:rPr>
        <w:t xml:space="preserve">A minority view, associated with historians Sally Marks and Elisabeth Glaser, argues that the Allies did offer food shipments, that Germany refused to surrender its merchant fleet to transport supplies, and that significant Allied food aid was flowing by May 1919. However, most scholarship characterizes these shipments as entirely inadequate and dependent on Allied goodwill, with the blockade remaining the dominant reality for the civilian population (Cox 2019, pp. 42-55; Cundy 2015, pp. 200-230).</w:t>
      </w:r>
    </w:p>
    <w:p>
      <w:pPr>
        <w:pStyle w:val="Heading1"/>
        <w:spacing w:after="120" w:before="360"/>
      </w:pPr>
      <w:r>
        <w:rPr>
          <w:rFonts w:ascii="Times New Roman" w:cs="Times New Roman" w:eastAsia="Times New Roman" w:hAnsi="Times New Roman"/>
          <w:b/>
          <w:bCs/>
          <w:sz w:val="28"/>
          <w:szCs w:val="28"/>
        </w:rPr>
        <w:t xml:space="preserve">5. Secret Treaties: Sykes-Picot and Imperial Expansion</w:t>
      </w:r>
    </w:p>
    <w:p>
      <w:pPr>
        <w:pStyle w:val="Heading2"/>
        <w:spacing w:after="80" w:before="240"/>
      </w:pPr>
      <w:r>
        <w:rPr>
          <w:rFonts w:ascii="Times New Roman" w:cs="Times New Roman" w:eastAsia="Times New Roman" w:hAnsi="Times New Roman"/>
          <w:b/>
          <w:bCs/>
          <w:sz w:val="28"/>
          <w:szCs w:val="28"/>
        </w:rPr>
        <w:t xml:space="preserve">The Tripartite Contradiction</w:t>
      </w:r>
    </w:p>
    <w:p>
      <w:pPr>
        <w:spacing w:after="40" w:before="40"/>
        <w:jc w:val="left"/>
      </w:pPr>
      <w:r>
        <w:rPr>
          <w:rFonts w:ascii="Times New Roman" w:cs="Times New Roman" w:eastAsia="Times New Roman" w:hAnsi="Times New Roman"/>
          <w:b w:val="false"/>
          <w:bCs w:val="false"/>
          <w:i w:val="false"/>
          <w:iCs w:val="false"/>
          <w:sz w:val="24"/>
          <w:szCs w:val="24"/>
        </w:rPr>
        <w:t xml:space="preserve">Britain made three fundamentally incompatible commitments during WWI (Lieshout 2016, pp. 150-228; Fromkin 1989, pp. 218-250):</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The Husayn-McMahon Correspondence (1915-16).</w:t>
      </w:r>
      <w:r>
        <w:rPr>
          <w:rFonts w:ascii="Times New Roman" w:cs="Times New Roman" w:eastAsia="Times New Roman" w:hAnsi="Times New Roman"/>
          <w:b w:val="false"/>
          <w:bCs w:val="false"/>
          <w:i w:val="false"/>
          <w:iCs w:val="false"/>
          <w:sz w:val="24"/>
          <w:szCs w:val="24"/>
        </w:rPr>
        <w:t xml:space="preserve"> Pledged British support for an independent Arab state in broadly defined territories in exchange for the Arab Revolt against the Ottoman Empire.</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The Sykes-Picot Agreement (1916).</w:t>
      </w:r>
      <w:r>
        <w:rPr>
          <w:rFonts w:ascii="Times New Roman" w:cs="Times New Roman" w:eastAsia="Times New Roman" w:hAnsi="Times New Roman"/>
          <w:b w:val="false"/>
          <w:bCs w:val="false"/>
          <w:i w:val="false"/>
          <w:iCs w:val="false"/>
          <w:sz w:val="24"/>
          <w:szCs w:val="24"/>
        </w:rPr>
        <w:t xml:space="preserve"> Secretly divided those same territories into British and French zones of direct and indirect control. It was negotiated by diplomats Mark Sykes and Francois Georges-Picot under the Asquith government.</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The Balfour Declaration (1917).</w:t>
      </w:r>
      <w:r>
        <w:rPr>
          <w:rFonts w:ascii="Times New Roman" w:cs="Times New Roman" w:eastAsia="Times New Roman" w:hAnsi="Times New Roman"/>
          <w:b w:val="false"/>
          <w:bCs w:val="false"/>
          <w:i w:val="false"/>
          <w:iCs w:val="false"/>
          <w:sz w:val="24"/>
          <w:szCs w:val="24"/>
        </w:rPr>
        <w:t xml:space="preserve"> Committed Britain to "the establishment in Palestine of a national home for the Jewish people," issued by Foreign Secretary Arthur Balfour under Lloyd George's premiership.</w:t>
      </w:r>
    </w:p>
    <w:p>
      <w:pPr>
        <w:spacing w:after="40" w:before="40"/>
        <w:jc w:val="left"/>
      </w:pPr>
      <w:r>
        <w:rPr>
          <w:rFonts w:ascii="Times New Roman" w:cs="Times New Roman" w:eastAsia="Times New Roman" w:hAnsi="Times New Roman"/>
          <w:b w:val="false"/>
          <w:bCs w:val="false"/>
          <w:i w:val="false"/>
          <w:iCs w:val="false"/>
          <w:sz w:val="24"/>
          <w:szCs w:val="24"/>
        </w:rPr>
        <w:t xml:space="preserve">Robert H. Lieshout, </w:t>
      </w:r>
      <w:r>
        <w:rPr>
          <w:rFonts w:ascii="Times New Roman" w:cs="Times New Roman" w:eastAsia="Times New Roman" w:hAnsi="Times New Roman"/>
          <w:b w:val="false"/>
          <w:bCs w:val="false"/>
          <w:i/>
          <w:iCs/>
          <w:sz w:val="24"/>
          <w:szCs w:val="24"/>
        </w:rPr>
        <w:t xml:space="preserve">Britain and the Arab Middle East: World War I and its Aftermath</w:t>
      </w:r>
      <w:r>
        <w:rPr>
          <w:rFonts w:ascii="Times New Roman" w:cs="Times New Roman" w:eastAsia="Times New Roman" w:hAnsi="Times New Roman"/>
          <w:b w:val="false"/>
          <w:bCs w:val="false"/>
          <w:i w:val="false"/>
          <w:iCs w:val="false"/>
          <w:sz w:val="24"/>
          <w:szCs w:val="24"/>
        </w:rPr>
        <w:t xml:space="preserve"> (I.B. Tauris, 2016), characterizes these overlapping secret treaty commitments as driven not by coordinated strategy but by competing and often confused governmental departments -- the Arab Bureau, the Foreign Office, and the India Office operating with conflicting agendas. Lieshout argues that many British policymakers were "quite oblivious" to the complexities of Islamic political culture (Lieshout 2016, pp. 210-228).</w:t>
      </w:r>
    </w:p>
    <w:p>
      <w:pPr>
        <w:pStyle w:val="Heading2"/>
        <w:spacing w:after="80" w:before="240"/>
      </w:pPr>
      <w:r>
        <w:rPr>
          <w:rFonts w:ascii="Times New Roman" w:cs="Times New Roman" w:eastAsia="Times New Roman" w:hAnsi="Times New Roman"/>
          <w:b/>
          <w:bCs/>
          <w:sz w:val="28"/>
          <w:szCs w:val="28"/>
        </w:rPr>
        <w:t xml:space="preserve">Lloyd George's Imperial Expansionism</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 inherited the contradictory framework when he became Prime Minister in December 1916. His response was not to resolve the contradictions but to double down on imperial acquisition (Fromkin 1989, pp. 260-300; Mathew 2013, pp. 240-248).</w:t>
      </w:r>
    </w:p>
    <w:p>
      <w:pPr>
        <w:spacing w:after="40" w:before="40"/>
        <w:jc w:val="left"/>
      </w:pPr>
      <w:r>
        <w:rPr>
          <w:rFonts w:ascii="Times New Roman" w:cs="Times New Roman" w:eastAsia="Times New Roman" w:hAnsi="Times New Roman"/>
          <w:b/>
          <w:bCs/>
          <w:i w:val="false"/>
          <w:iCs w:val="false"/>
          <w:sz w:val="24"/>
          <w:szCs w:val="24"/>
        </w:rPr>
        <w:t xml:space="preserve">April 1917:</w:t>
      </w:r>
      <w:r>
        <w:rPr>
          <w:rFonts w:ascii="Times New Roman" w:cs="Times New Roman" w:eastAsia="Times New Roman" w:hAnsi="Times New Roman"/>
          <w:b w:val="false"/>
          <w:bCs w:val="false"/>
          <w:i w:val="false"/>
          <w:iCs w:val="false"/>
          <w:sz w:val="24"/>
          <w:szCs w:val="24"/>
        </w:rPr>
        <w:t xml:space="preserve"> Lloyd George told British diplomat Francis Bertie: "We shall be there by conquest and shall remain" -- referring to Palestine (Lloyd George Papers, Parliamentary Archives, Collection LG; cited in Murray and Lacey 2009, pp. 195-210). David Fromkin notes that Lloyd George viewed the Middle East "as a prize worth seeking in itself" -- not merely a way-station on the route to India, but a permanent territorial acquisition that would reshape the British Empire (Fromkin 1989, pp. 260-275).</w:t>
      </w:r>
    </w:p>
    <w:p>
      <w:pPr>
        <w:spacing w:after="40" w:before="40"/>
        <w:jc w:val="left"/>
      </w:pPr>
      <w:r>
        <w:rPr>
          <w:rFonts w:ascii="Times New Roman" w:cs="Times New Roman" w:eastAsia="Times New Roman" w:hAnsi="Times New Roman"/>
          <w:b/>
          <w:bCs/>
          <w:i w:val="false"/>
          <w:iCs w:val="false"/>
          <w:sz w:val="24"/>
          <w:szCs w:val="24"/>
        </w:rPr>
        <w:t xml:space="preserve">William M. Mathew's analysis</w:t>
      </w:r>
      <w:r>
        <w:rPr>
          <w:rFonts w:ascii="Times New Roman" w:cs="Times New Roman" w:eastAsia="Times New Roman" w:hAnsi="Times New Roman"/>
          <w:b w:val="false"/>
          <w:bCs w:val="false"/>
          <w:i w:val="false"/>
          <w:iCs w:val="false"/>
          <w:sz w:val="24"/>
          <w:szCs w:val="24"/>
        </w:rPr>
        <w:t xml:space="preserve"> ("The Balfour Declaration and the Palestine Mandate, 1917-1923: British Imperialist Imperatives," </w:t>
      </w:r>
      <w:r>
        <w:rPr>
          <w:rFonts w:ascii="Times New Roman" w:cs="Times New Roman" w:eastAsia="Times New Roman" w:hAnsi="Times New Roman"/>
          <w:b w:val="false"/>
          <w:bCs w:val="false"/>
          <w:i/>
          <w:iCs/>
          <w:sz w:val="24"/>
          <w:szCs w:val="24"/>
        </w:rPr>
        <w:t xml:space="preserve">British Journal of Middle Eastern Studies</w:t>
      </w:r>
      <w:r>
        <w:rPr>
          <w:rFonts w:ascii="Times New Roman" w:cs="Times New Roman" w:eastAsia="Times New Roman" w:hAnsi="Times New Roman"/>
          <w:b w:val="false"/>
          <w:bCs w:val="false"/>
          <w:i w:val="false"/>
          <w:iCs w:val="false"/>
          <w:sz w:val="24"/>
          <w:szCs w:val="24"/>
        </w:rPr>
        <w:t xml:space="preserve">, Vol. 40, No. 3, 2013, pp. 231-250) argues:</w:t>
      </w:r>
    </w:p>
    <w:p>
      <w:pPr>
        <w:spacing w:after="40" w:before="40"/>
        <w:jc w:val="left"/>
      </w:pPr>
      <w:r>
        <w:rPr>
          <w:rFonts w:ascii="Times New Roman" w:cs="Times New Roman" w:eastAsia="Times New Roman" w:hAnsi="Times New Roman"/>
          <w:b w:val="false"/>
          <w:bCs w:val="false"/>
          <w:i w:val="false"/>
          <w:iCs w:val="false"/>
          <w:sz w:val="24"/>
          <w:szCs w:val="24"/>
        </w:rPr>
        <w:t xml:space="preserve">"Strategic issues were paramount in the progressive annexation of Palestine by the Lloyd George coalition" (Mathew 2013, p. 232).</w:t>
      </w:r>
    </w:p>
    <w:p>
      <w:pPr>
        <w:spacing w:after="40" w:before="40"/>
        <w:jc w:val="left"/>
      </w:pPr>
      <w:r>
        <w:rPr>
          <w:rFonts w:ascii="Times New Roman" w:cs="Times New Roman" w:eastAsia="Times New Roman" w:hAnsi="Times New Roman"/>
          <w:b w:val="false"/>
          <w:bCs w:val="false"/>
          <w:i w:val="false"/>
          <w:iCs w:val="false"/>
          <w:sz w:val="24"/>
          <w:szCs w:val="24"/>
        </w:rPr>
        <w:t xml:space="preserve">The goals were explicitly strategic: (1) security of the Suez Canal; (2) protection of the sea route to India; (3) creation of a British-controlled corridor from Egypt through Palestine to Mesopotamia and the Persian Gulf. Mathew ultimately characterizes the policy as "intrinsically delusional" -- Lloyd George saw Zionist settlers as "grateful, loyal, and developmental servants of the British imperial interest," but the policy became "a source of profound weakness to Britain's strategic authority in the East" (Mathew 2013, pp. 243-248).</w:t>
      </w:r>
    </w:p>
    <w:p>
      <w:pPr>
        <w:pStyle w:val="Heading2"/>
        <w:spacing w:after="80" w:before="240"/>
      </w:pPr>
      <w:r>
        <w:rPr>
          <w:rFonts w:ascii="Times New Roman" w:cs="Times New Roman" w:eastAsia="Times New Roman" w:hAnsi="Times New Roman"/>
          <w:b/>
          <w:bCs/>
          <w:sz w:val="28"/>
          <w:szCs w:val="28"/>
        </w:rPr>
        <w:t xml:space="preserve">Trotsky's Revelations and Lloyd George's Response</w:t>
      </w:r>
    </w:p>
    <w:p>
      <w:pPr>
        <w:spacing w:after="40" w:before="40"/>
        <w:jc w:val="left"/>
      </w:pPr>
      <w:r>
        <w:rPr>
          <w:rFonts w:ascii="Times New Roman" w:cs="Times New Roman" w:eastAsia="Times New Roman" w:hAnsi="Times New Roman"/>
          <w:b w:val="false"/>
          <w:bCs w:val="false"/>
          <w:i w:val="false"/>
          <w:iCs w:val="false"/>
          <w:sz w:val="24"/>
          <w:szCs w:val="24"/>
        </w:rPr>
        <w:t xml:space="preserve">When Leon Trotsky published the secret Entente treaties in November 1917, Lloyd George was forced to recalibrate his rhetoric. He acknowledged that "new circumstances" such as Russia's collapse had changed conditions and indicated readiness to "discuss them with our Allies" (Lieshout 2016, pp. 215-220). This public exposure prompted Woodrow Wilson's first of the Fourteen Points: "Open covenants of peace, openly arrived at." Article 18 of the League of Nations Covenant subsequently required treaty registration (MacMillan 2002, pp. 55-70).</w:t>
      </w:r>
    </w:p>
    <w:p>
      <w:pPr>
        <w:spacing w:after="40" w:before="40"/>
        <w:jc w:val="left"/>
      </w:pPr>
      <w:r>
        <w:rPr>
          <w:rFonts w:ascii="Times New Roman" w:cs="Times New Roman" w:eastAsia="Times New Roman" w:hAnsi="Times New Roman"/>
          <w:b w:val="false"/>
          <w:bCs w:val="false"/>
          <w:i w:val="false"/>
          <w:iCs w:val="false"/>
          <w:sz w:val="24"/>
          <w:szCs w:val="24"/>
        </w:rPr>
        <w:t xml:space="preserve">Yet the underlying imperial logic persisted. The Anglo-French Declaration of November 1918 paid lip service to "free choice of the indigenous populations" but did not undo the essential imperial framework (Lieshout 2016, pp. 210-228). The Sykes-Picot lines, with only partial modifications, formed the basis for the subsequent mandate borders of Syria, Lebanon, Iraq, Jordan, and Palestine (Fromkin 1989, pp. 180-200).</w:t>
      </w:r>
    </w:p>
    <w:p>
      <w:pPr>
        <w:pStyle w:val="Heading2"/>
        <w:spacing w:after="80" w:before="240"/>
      </w:pPr>
      <w:r>
        <w:rPr>
          <w:rFonts w:ascii="Times New Roman" w:cs="Times New Roman" w:eastAsia="Times New Roman" w:hAnsi="Times New Roman"/>
          <w:b/>
          <w:bCs/>
          <w:sz w:val="28"/>
          <w:szCs w:val="28"/>
        </w:rPr>
        <w:t xml:space="preserve">The Religious and Crusading Dimension</w:t>
      </w:r>
    </w:p>
    <w:p>
      <w:pPr>
        <w:spacing w:after="40" w:before="40"/>
        <w:jc w:val="left"/>
      </w:pPr>
      <w:r>
        <w:rPr>
          <w:rFonts w:ascii="Times New Roman" w:cs="Times New Roman" w:eastAsia="Times New Roman" w:hAnsi="Times New Roman"/>
          <w:b w:val="false"/>
          <w:bCs w:val="false"/>
          <w:i w:val="false"/>
          <w:iCs w:val="false"/>
          <w:sz w:val="24"/>
          <w:szCs w:val="24"/>
        </w:rPr>
        <w:t xml:space="preserve">R. Mazza ("The Last Crusade and The First Zionists: Religion, Empire, and the Making of Modern Palestine," </w:t>
      </w:r>
      <w:r>
        <w:rPr>
          <w:rFonts w:ascii="Times New Roman" w:cs="Times New Roman" w:eastAsia="Times New Roman" w:hAnsi="Times New Roman"/>
          <w:b w:val="false"/>
          <w:bCs w:val="false"/>
          <w:i/>
          <w:iCs/>
          <w:sz w:val="24"/>
          <w:szCs w:val="24"/>
        </w:rPr>
        <w:t xml:space="preserve">Bulletin of Palestine Studies</w:t>
      </w:r>
      <w:r>
        <w:rPr>
          <w:rFonts w:ascii="Times New Roman" w:cs="Times New Roman" w:eastAsia="Times New Roman" w:hAnsi="Times New Roman"/>
          <w:b w:val="false"/>
          <w:bCs w:val="false"/>
          <w:i w:val="false"/>
          <w:iCs w:val="false"/>
          <w:sz w:val="24"/>
          <w:szCs w:val="24"/>
        </w:rPr>
        <w:t xml:space="preserve">, 2025) documents how Lloyd George and Arthur Balfour were influenced by Christian Zionist and crusading rhetoric, which provided essential frameworks for their decision-making. The conquest and retention of Palestine carried deep symbolic weight as a reversal of medieval Christian defeats. General Allenby's capture of Jerusalem in December 1917 and Damascus in October 1918 were presented as crusading victories, with Lloyd George deliberately framing them in religious-historical terms (Mazza 2025).</w:t>
      </w:r>
    </w:p>
    <w:p>
      <w:pPr>
        <w:pStyle w:val="Heading1"/>
        <w:spacing w:after="120" w:before="360"/>
      </w:pPr>
      <w:r>
        <w:rPr>
          <w:rFonts w:ascii="Times New Roman" w:cs="Times New Roman" w:eastAsia="Times New Roman" w:hAnsi="Times New Roman"/>
          <w:b/>
          <w:bCs/>
          <w:sz w:val="28"/>
          <w:szCs w:val="28"/>
        </w:rPr>
        <w:t xml:space="preserve">6. Approach to Sovereignty of Other Nations</w:t>
      </w:r>
    </w:p>
    <w:p>
      <w:pPr>
        <w:pStyle w:val="Heading2"/>
        <w:spacing w:after="80" w:before="240"/>
      </w:pPr>
      <w:r>
        <w:rPr>
          <w:rFonts w:ascii="Times New Roman" w:cs="Times New Roman" w:eastAsia="Times New Roman" w:hAnsi="Times New Roman"/>
          <w:b/>
          <w:bCs/>
          <w:sz w:val="28"/>
          <w:szCs w:val="28"/>
        </w:rPr>
        <w:t xml:space="preserve">The Pattern: Universal Rhetoric, Selective Application</w:t>
      </w:r>
    </w:p>
    <w:p>
      <w:pPr>
        <w:spacing w:after="40" w:before="40"/>
        <w:jc w:val="left"/>
      </w:pPr>
      <w:r>
        <w:rPr>
          <w:rFonts w:ascii="Times New Roman" w:cs="Times New Roman" w:eastAsia="Times New Roman" w:hAnsi="Times New Roman"/>
          <w:b w:val="false"/>
          <w:bCs w:val="false"/>
          <w:i w:val="false"/>
          <w:iCs w:val="false"/>
          <w:sz w:val="24"/>
          <w:szCs w:val="24"/>
        </w:rPr>
        <w:t xml:space="preserve">Both Asquith and Lloyd George invoked universal moral principles -- treaty obligations, the sovereignty of small nations, international law, self-determination -- while subordinating those principles to perceived British national interest in practice (Wilson 1985, pp. 134-152; Mathew 2013, pp. 243-248).</w:t>
      </w:r>
    </w:p>
    <w:p>
      <w:pPr>
        <w:spacing w:after="40" w:before="80"/>
        <w:jc w:val="left"/>
      </w:pPr>
      <w:r>
        <w:rPr>
          <w:rFonts w:ascii="Times New Roman" w:cs="Times New Roman" w:eastAsia="Times New Roman" w:hAnsi="Times New Roman"/>
          <w:b/>
          <w:bCs/>
          <w:i w:val="false"/>
          <w:iCs w:val="false"/>
          <w:sz w:val="24"/>
          <w:szCs w:val="24"/>
        </w:rPr>
        <w:t xml:space="preserve">Lloyd George's duality across key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Dimension</w:t>
            </w:r>
          </w:p>
        </w:tc>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Public Stance</w:t>
            </w:r>
          </w:p>
        </w:tc>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Private Action</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German colonies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"Primary regard to the wishes of the native inhabitants" (TUC speech, January 5, 1918)</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"Mere distribution of the spoils" to the Dominions (Paris Peace Conference, 1919)</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Arab self-determination</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Supported King-Crane Commission initially</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Withdrew British participation; findings never acknowledged</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Palestine</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Balfour Declaration for "Jewish national home"</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"We shall be there by conquest and shall remain" -- Arab sovereignty never considered</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Belgium</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Elaborate moral philosophy of "little nations"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Cabinet already decided no legal obligation existed</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Ottoman territories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"Free choice of the indigenous populations" (November 1918 Declaration)</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Sykes-Picot partition maintained in substance through the mandate system</w:t>
            </w:r>
          </w:p>
        </w:tc>
      </w:tr>
    </w:tbl>
    <w:p>
      <w:pPr>
        <w:spacing w:after="0" w:before="0"/>
      </w:pPr>
      <w:r>
        <w:rPr>
          <w:rFonts w:ascii="Times New Roman" w:cs="Times New Roman" w:eastAsia="Times New Roman" w:hAnsi="Times New Roman"/>
          <w:sz w:val="12"/>
          <w:szCs w:val="12"/>
        </w:rPr>
        <w:t xml:space="preserve"/>
      </w:r>
    </w:p>
    <w:p>
      <w:pPr>
        <w:pStyle w:val="Heading2"/>
        <w:spacing w:after="80" w:before="240"/>
      </w:pPr>
      <w:r>
        <w:rPr>
          <w:rFonts w:ascii="Times New Roman" w:cs="Times New Roman" w:eastAsia="Times New Roman" w:hAnsi="Times New Roman"/>
          <w:b/>
          <w:bCs/>
          <w:sz w:val="28"/>
          <w:szCs w:val="28"/>
        </w:rPr>
        <w:t xml:space="preserve">Asquith's Approach</w:t>
      </w:r>
    </w:p>
    <w:p>
      <w:pPr>
        <w:spacing w:after="40" w:before="40"/>
        <w:jc w:val="left"/>
      </w:pPr>
      <w:r>
        <w:rPr>
          <w:rFonts w:ascii="Times New Roman" w:cs="Times New Roman" w:eastAsia="Times New Roman" w:hAnsi="Times New Roman"/>
          <w:b w:val="false"/>
          <w:bCs w:val="false"/>
          <w:i w:val="false"/>
          <w:iCs w:val="false"/>
          <w:sz w:val="24"/>
          <w:szCs w:val="24"/>
        </w:rPr>
        <w:t xml:space="preserve">Asquith's approach to sovereignty was less rhetorical. He was not the public moralist that Lloyd George became; his statements on sovereignty were measured and legalistic. However, the same instrumental pattern applied. His private correspondence with Venetia Stanley reveals that the Entente commitment to France, not Belgian sovereignty, was the real driver of intervention (Brock and Brock 1982, pp. 139-145; Gilbert 1985, pp. 900-903). His government's negotiation of the secret Sykes-Picot Agreement in 1916 (while he was still Prime Minister) contradicted the public principles on which the war was ostensibly being fought (Lieshout 2016, pp. 150-170).</w:t>
      </w:r>
    </w:p>
    <w:p>
      <w:pPr>
        <w:pStyle w:val="Heading2"/>
        <w:spacing w:after="80" w:before="240"/>
      </w:pPr>
      <w:r>
        <w:rPr>
          <w:rFonts w:ascii="Times New Roman" w:cs="Times New Roman" w:eastAsia="Times New Roman" w:hAnsi="Times New Roman"/>
          <w:b/>
          <w:bCs/>
          <w:sz w:val="28"/>
          <w:szCs w:val="28"/>
        </w:rPr>
        <w:t xml:space="preserve">The Balfour Declaration and Arab Sovereignty</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George's commitment to a "Jewish national home" in Palestine reflected three overlapping motives (Mathew 2013, pp. 231-240; Mazza 2025):</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Christian Zionist conviction.</w:t>
      </w:r>
      <w:r>
        <w:rPr>
          <w:rFonts w:ascii="Times New Roman" w:cs="Times New Roman" w:eastAsia="Times New Roman" w:hAnsi="Times New Roman"/>
          <w:b w:val="false"/>
          <w:bCs w:val="false"/>
          <w:i w:val="false"/>
          <w:iCs w:val="false"/>
          <w:sz w:val="24"/>
          <w:szCs w:val="24"/>
        </w:rPr>
        <w:t xml:space="preserve"> Mazza (2025) documents Lloyd George's crusading rhetoric and conceptual framework, rooted in a lifelong interest in biblical history and the Old Testament.</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Strategic imperial calculation.</w:t>
      </w:r>
      <w:r>
        <w:rPr>
          <w:rFonts w:ascii="Times New Roman" w:cs="Times New Roman" w:eastAsia="Times New Roman" w:hAnsi="Times New Roman"/>
          <w:b w:val="false"/>
          <w:bCs w:val="false"/>
          <w:i w:val="false"/>
          <w:iCs w:val="false"/>
          <w:sz w:val="24"/>
          <w:szCs w:val="24"/>
        </w:rPr>
        <w:t xml:space="preserve"> Securing the Suez Canal, the route to India, and a contiguous British-controlled corridor from Egypt to the Persian Gulf were paramount strategic goals (Mathew 2013, pp. 235-240).</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Personal sympathy for the Zionist cause.</w:t>
      </w:r>
      <w:r>
        <w:rPr>
          <w:rFonts w:ascii="Times New Roman" w:cs="Times New Roman" w:eastAsia="Times New Roman" w:hAnsi="Times New Roman"/>
          <w:b w:val="false"/>
          <w:bCs w:val="false"/>
          <w:i w:val="false"/>
          <w:iCs w:val="false"/>
          <w:sz w:val="24"/>
          <w:szCs w:val="24"/>
        </w:rPr>
        <w:t xml:space="preserve"> Lloyd George had a genuine, if romanticized, admiration for what he saw as the return of an ancient people to their homeland (Grigg 1973, Vol. 2, pp. 310-330).</w:t>
      </w:r>
    </w:p>
    <w:p>
      <w:pPr>
        <w:spacing w:after="40" w:before="40"/>
        <w:jc w:val="left"/>
      </w:pPr>
      <w:r>
        <w:rPr>
          <w:rFonts w:ascii="Times New Roman" w:cs="Times New Roman" w:eastAsia="Times New Roman" w:hAnsi="Times New Roman"/>
          <w:b w:val="false"/>
          <w:bCs w:val="false"/>
          <w:i w:val="false"/>
          <w:iCs w:val="false"/>
          <w:sz w:val="24"/>
          <w:szCs w:val="24"/>
        </w:rPr>
        <w:t xml:space="preserve">The indigenous Arab population's sovereignty -- the people who constituted roughly 90% of Palestine's population at the time -- was never seriously considered. The Balfour Declaration referred to them only as "existing non-Jewish communities," whose "civil and religious rights" were to be protected, but whose political rights were entirely unaddressed (Mathew 2013, pp. 243-248; Lieshout 2016, pp. 210-228).</w:t>
      </w:r>
    </w:p>
    <w:p>
      <w:pPr>
        <w:pStyle w:val="Heading1"/>
        <w:spacing w:after="120" w:before="360"/>
      </w:pPr>
      <w:r>
        <w:rPr>
          <w:rFonts w:ascii="Times New Roman" w:cs="Times New Roman" w:eastAsia="Times New Roman" w:hAnsi="Times New Roman"/>
          <w:b/>
          <w:bCs/>
          <w:sz w:val="28"/>
          <w:szCs w:val="28"/>
        </w:rPr>
        <w:t xml:space="preserve">7. Leadership Comparison: Asquith vs. Lloyd George</w:t>
      </w:r>
    </w:p>
    <w:p>
      <w:pPr>
        <w:pStyle w:val="Heading2"/>
        <w:spacing w:after="80" w:before="240"/>
      </w:pPr>
      <w:r>
        <w:rPr>
          <w:rFonts w:ascii="Times New Roman" w:cs="Times New Roman" w:eastAsia="Times New Roman" w:hAnsi="Times New Roman"/>
          <w:b/>
          <w:bCs/>
          <w:sz w:val="28"/>
          <w:szCs w:val="28"/>
        </w:rPr>
        <w:t xml:space="preserve">Temperament and Decision-Making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Dimension</w:t>
            </w:r>
          </w:p>
        </w:tc>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Asquith</w:t>
            </w:r>
          </w:p>
        </w:tc>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Lloyd George</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Background</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Oxford classical scholar, barrister, privileged, connected to aristocracy</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Self-made, solicitor, provincial Welsh upbringing, middle-class</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Decision style</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"Wait and see" -- cautious, temporising, judicial</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"Dynamic action" -- bold, energetic, risk-taking</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Cabinet approach</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Presided like a judge; large committees without executive power; final say always with full Cabinet</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Small War Cabinet with genuine executive authority; established Cabinet secretariat</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Attitude to government</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"Business as usual" -- accommodate war within traditional liberal politics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Revolutionized government structure for total war</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Rhetoric</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"Suggestive, persuasive, erudite" -- spoke to educated men</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"Positive, tumultuous, didactic" -- spoke to the masses</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Press relations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Strong distaste, avoided contact</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Embraced press, made good use of it</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Attitude to business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Contempt for businessmen</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Quite at home with them</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Adaptability to total war</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"Had little taste or aptitude" (Gilbert, cited in Liberal History Group 2021)</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"Skills far more adaptable to demands of total war" (Grigg 1973, Vol. 2)</w:t>
            </w:r>
          </w:p>
        </w:tc>
      </w:tr>
    </w:tbl>
    <w:p>
      <w:pPr>
        <w:spacing w:after="0" w:before="0"/>
      </w:pPr>
      <w:r>
        <w:rPr>
          <w:rFonts w:ascii="Times New Roman" w:cs="Times New Roman" w:eastAsia="Times New Roman" w:hAnsi="Times New Roman"/>
          <w:sz w:val="12"/>
          <w:szCs w:val="12"/>
        </w:rPr>
        <w:t xml:space="preserve"/>
      </w:r>
    </w:p>
    <w:p>
      <w:pPr>
        <w:spacing w:after="40" w:before="40"/>
        <w:jc w:val="left"/>
      </w:pPr>
      <w:r>
        <w:rPr>
          <w:rFonts w:ascii="Times New Roman" w:cs="Times New Roman" w:eastAsia="Times New Roman" w:hAnsi="Times New Roman"/>
          <w:b w:val="false"/>
          <w:bCs w:val="false"/>
          <w:i w:val="false"/>
          <w:iCs w:val="false"/>
          <w:sz w:val="24"/>
          <w:szCs w:val="24"/>
        </w:rPr>
        <w:t xml:space="preserve">The Liberal History Group records: "He said little in Cabinet if he could get away with it, and he sat silently as if he was a judge" -- this described Asquith's Cabinet presidency (Liberal History Group, </w:t>
      </w:r>
      <w:r>
        <w:rPr>
          <w:rFonts w:ascii="Times New Roman" w:cs="Times New Roman" w:eastAsia="Times New Roman" w:hAnsi="Times New Roman"/>
          <w:b w:val="false"/>
          <w:bCs w:val="false"/>
          <w:i/>
          <w:iCs/>
          <w:sz w:val="24"/>
          <w:szCs w:val="24"/>
        </w:rPr>
        <w:t xml:space="preserve">Report: Gallant Asquith vs Lloyd George</w:t>
      </w:r>
      <w:r>
        <w:rPr>
          <w:rFonts w:ascii="Times New Roman" w:cs="Times New Roman" w:eastAsia="Times New Roman" w:hAnsi="Times New Roman"/>
          <w:b w:val="false"/>
          <w:bCs w:val="false"/>
          <w:i w:val="false"/>
          <w:iCs w:val="false"/>
          <w:sz w:val="24"/>
          <w:szCs w:val="24"/>
        </w:rPr>
        <w:t xml:space="preserve">, 2021). Lloyd George, by contrast, was described by historian Damian Collins as "an unorthodox prime minister, someone who did not conform to the way business was done, who identified problems that needed resolution and brought energy and dynamism to that task" (cited in Liberal History Group 2021). A Cambridge University Press study notes that Lloyd George's reforms marked "a deep transformation in the structure and style of Britain's wartime machinery of government" (</w:t>
      </w:r>
      <w:r>
        <w:rPr>
          <w:rFonts w:ascii="Times New Roman" w:cs="Times New Roman" w:eastAsia="Times New Roman" w:hAnsi="Times New Roman"/>
          <w:b w:val="false"/>
          <w:bCs w:val="false"/>
          <w:i/>
          <w:iCs/>
          <w:sz w:val="24"/>
          <w:szCs w:val="24"/>
        </w:rPr>
        <w:t xml:space="preserve">Canada and the Transition to Commonwealth</w:t>
      </w:r>
      <w:r>
        <w:rPr>
          <w:rFonts w:ascii="Times New Roman" w:cs="Times New Roman" w:eastAsia="Times New Roman" w:hAnsi="Times New Roman"/>
          <w:b w:val="false"/>
          <w:bCs w:val="false"/>
          <w:i w:val="false"/>
          <w:iCs w:val="false"/>
          <w:sz w:val="24"/>
          <w:szCs w:val="24"/>
        </w:rPr>
        <w:t xml:space="preserve">, Cambridge University Press).</w:t>
      </w:r>
    </w:p>
    <w:p>
      <w:pPr>
        <w:pStyle w:val="Heading2"/>
        <w:spacing w:after="80" w:before="240"/>
      </w:pPr>
      <w:r>
        <w:rPr>
          <w:rFonts w:ascii="Times New Roman" w:cs="Times New Roman" w:eastAsia="Times New Roman" w:hAnsi="Times New Roman"/>
          <w:b/>
          <w:bCs/>
          <w:sz w:val="28"/>
          <w:szCs w:val="28"/>
        </w:rPr>
        <w:t xml:space="preserve">Churchill's Character Judgments</w:t>
      </w:r>
    </w:p>
    <w:p>
      <w:pPr>
        <w:spacing w:after="40" w:before="40"/>
        <w:jc w:val="left"/>
      </w:pPr>
      <w:r>
        <w:rPr>
          <w:rFonts w:ascii="Times New Roman" w:cs="Times New Roman" w:eastAsia="Times New Roman" w:hAnsi="Times New Roman"/>
          <w:b w:val="false"/>
          <w:bCs w:val="false"/>
          <w:i w:val="false"/>
          <w:iCs w:val="false"/>
          <w:sz w:val="24"/>
          <w:szCs w:val="24"/>
        </w:rPr>
        <w:t xml:space="preserve">On Asquith, Churchill wrote in </w:t>
      </w:r>
      <w:r>
        <w:rPr>
          <w:rFonts w:ascii="Times New Roman" w:cs="Times New Roman" w:eastAsia="Times New Roman" w:hAnsi="Times New Roman"/>
          <w:b w:val="false"/>
          <w:bCs w:val="false"/>
          <w:i/>
          <w:iCs/>
          <w:sz w:val="24"/>
          <w:szCs w:val="24"/>
        </w:rPr>
        <w:t xml:space="preserve">Great Contemporaries</w:t>
      </w:r>
      <w:r>
        <w:rPr>
          <w:rFonts w:ascii="Times New Roman" w:cs="Times New Roman" w:eastAsia="Times New Roman" w:hAnsi="Times New Roman"/>
          <w:b w:val="false"/>
          <w:bCs w:val="false"/>
          <w:i w:val="false"/>
          <w:iCs w:val="false"/>
          <w:sz w:val="24"/>
          <w:szCs w:val="24"/>
        </w:rPr>
        <w:t xml:space="preserve"> (1937): "Disinterested patriotism and inflexible integrity were his only guides. Let it never be forgotten that he... never hesitated to sacrifice his personal or political interests to the national cause" (Churchill 1937, cited by Hillsdale College Churchill Project).</w:t>
      </w:r>
    </w:p>
    <w:p>
      <w:pPr>
        <w:spacing w:after="40" w:before="40"/>
        <w:jc w:val="left"/>
      </w:pPr>
      <w:r>
        <w:rPr>
          <w:rFonts w:ascii="Times New Roman" w:cs="Times New Roman" w:eastAsia="Times New Roman" w:hAnsi="Times New Roman"/>
          <w:b w:val="false"/>
          <w:bCs w:val="false"/>
          <w:i w:val="false"/>
          <w:iCs w:val="false"/>
          <w:sz w:val="24"/>
          <w:szCs w:val="24"/>
        </w:rPr>
        <w:t xml:space="preserve">On Lloyd George, Churchill noted that his premiership "destroyed the Liberal Party" -- the cost of total war mobilization was the shattering of the political tradition that had produced both men (Morgan 1971, pp. 200-220). The military historian John Terraine later summarized: "He gave the nation victory; he destroyed his party in doing so" (cited in Morgan 1971).</w:t>
      </w:r>
    </w:p>
    <w:p>
      <w:pPr>
        <w:pStyle w:val="Heading2"/>
        <w:spacing w:after="80" w:before="240"/>
      </w:pPr>
      <w:r>
        <w:rPr>
          <w:rFonts w:ascii="Times New Roman" w:cs="Times New Roman" w:eastAsia="Times New Roman" w:hAnsi="Times New Roman"/>
          <w:b/>
          <w:bCs/>
          <w:sz w:val="28"/>
          <w:szCs w:val="28"/>
        </w:rPr>
        <w:t xml:space="preserve">The December 1916 Split</w:t>
      </w:r>
    </w:p>
    <w:p>
      <w:pPr>
        <w:spacing w:after="40" w:before="40"/>
        <w:jc w:val="left"/>
      </w:pPr>
      <w:r>
        <w:rPr>
          <w:rFonts w:ascii="Times New Roman" w:cs="Times New Roman" w:eastAsia="Times New Roman" w:hAnsi="Times New Roman"/>
          <w:b w:val="false"/>
          <w:bCs w:val="false"/>
          <w:i w:val="false"/>
          <w:iCs w:val="false"/>
          <w:sz w:val="24"/>
          <w:szCs w:val="24"/>
        </w:rPr>
        <w:t xml:space="preserve">Historian John Grigg, based on exhaustive research in the Lloyd George papers, makes a crucial point:</w:t>
      </w:r>
    </w:p>
    <w:p>
      <w:pPr>
        <w:spacing w:after="40" w:before="40"/>
        <w:jc w:val="left"/>
      </w:pPr>
      <w:r>
        <w:rPr>
          <w:rFonts w:ascii="Times New Roman" w:cs="Times New Roman" w:eastAsia="Times New Roman" w:hAnsi="Times New Roman"/>
          <w:b w:val="false"/>
          <w:bCs w:val="false"/>
          <w:i w:val="false"/>
          <w:iCs w:val="false"/>
          <w:sz w:val="24"/>
          <w:szCs w:val="24"/>
        </w:rPr>
        <w:t xml:space="preserve">"Contrary to the mythology, there was no disagreement on war aims or the handling of peace initiatives. The notion that Asquith was for a compromise peace while Lloyd George was determined to fight through to victory is entirely without foundation" (Grigg, cited in History of Parliament, "David Lloyd George and Herbert Asquith: Liberals at War," August 2016).</w:t>
      </w:r>
    </w:p>
    <w:p>
      <w:pPr>
        <w:spacing w:after="40" w:before="40"/>
        <w:jc w:val="left"/>
      </w:pPr>
      <w:r>
        <w:rPr>
          <w:rFonts w:ascii="Times New Roman" w:cs="Times New Roman" w:eastAsia="Times New Roman" w:hAnsi="Times New Roman"/>
          <w:b w:val="false"/>
          <w:bCs w:val="false"/>
          <w:i w:val="false"/>
          <w:iCs w:val="false"/>
          <w:sz w:val="24"/>
          <w:szCs w:val="24"/>
        </w:rPr>
        <w:t xml:space="preserve">The split was not ideological. It was over leadership style, energy, and the machinery of government. Asquith's "loss of vigour and grip was manifest" by late 1916 (Jenkins 1964, pp. 380-400). When Lloyd George, backed by Conservatives, proposed a small war council that would exclude Asquith from real decision-making power, Asquith first acquiesced, then rejected the arrangement. On December 7, 1916, Asquith resigned and Lloyd George became Prime Minister (Jenkins 1964, pp. 400-420; Grigg 1973, Vol. 2, pp. 340-380).</w:t>
      </w:r>
    </w:p>
    <w:p>
      <w:pPr>
        <w:spacing w:after="40" w:before="40"/>
        <w:jc w:val="left"/>
      </w:pPr>
      <w:r>
        <w:rPr>
          <w:rFonts w:ascii="Times New Roman" w:cs="Times New Roman" w:eastAsia="Times New Roman" w:hAnsi="Times New Roman"/>
          <w:b w:val="false"/>
          <w:bCs w:val="false"/>
          <w:i w:val="false"/>
          <w:iCs w:val="false"/>
          <w:sz w:val="24"/>
          <w:szCs w:val="24"/>
        </w:rPr>
        <w:t xml:space="preserve">The split proved permanent and catastrophic for the Liberal Party. Asquith's loyal Liberals went into opposition while Lloyd George's faction remained in coalition, creating what historians describe as "a devastating chasm" from which the party never recovered (Morgan 1971, pp. 100-130).</w:t>
      </w:r>
    </w:p>
    <w:p>
      <w:pPr>
        <w:pStyle w:val="Heading2"/>
        <w:spacing w:after="80" w:before="240"/>
      </w:pPr>
      <w:r>
        <w:rPr>
          <w:rFonts w:ascii="Times New Roman" w:cs="Times New Roman" w:eastAsia="Times New Roman" w:hAnsi="Times New Roman"/>
          <w:b/>
          <w:bCs/>
          <w:sz w:val="28"/>
          <w:szCs w:val="28"/>
        </w:rPr>
        <w:t xml:space="preserve">Lloyd George's Personal Statement on the Split</w:t>
      </w:r>
    </w:p>
    <w:p>
      <w:pPr>
        <w:spacing w:after="40" w:before="40"/>
        <w:jc w:val="left"/>
      </w:pPr>
      <w:r>
        <w:rPr>
          <w:rFonts w:ascii="Times New Roman" w:cs="Times New Roman" w:eastAsia="Times New Roman" w:hAnsi="Times New Roman"/>
          <w:b w:val="false"/>
          <w:bCs w:val="false"/>
          <w:i w:val="false"/>
          <w:iCs w:val="false"/>
          <w:sz w:val="24"/>
          <w:szCs w:val="24"/>
        </w:rPr>
        <w:t xml:space="preserve">In his December 1916 speech explaining his succession, Lloyd George declared:</w:t>
      </w:r>
    </w:p>
    <w:p>
      <w:pPr>
        <w:spacing w:after="40" w:before="40"/>
        <w:jc w:val="left"/>
      </w:pPr>
      <w:r>
        <w:rPr>
          <w:rFonts w:ascii="Times New Roman" w:cs="Times New Roman" w:eastAsia="Times New Roman" w:hAnsi="Times New Roman"/>
          <w:b w:val="false"/>
          <w:bCs w:val="false"/>
          <w:i w:val="false"/>
          <w:iCs w:val="false"/>
          <w:sz w:val="24"/>
          <w:szCs w:val="24"/>
        </w:rPr>
        <w:t xml:space="preserve">"One of the regrets of my life is to part from Mr Asquith... there was never a kindlier or more indulgent chief towards my faults or temper. It was with deep and genuine grief that I felt it necessary to tender my resignation, but there are moments when personal and party considerations must sink... These are the issues we want to keep in front of the nation" (</w:t>
      </w:r>
      <w:r>
        <w:rPr>
          <w:rFonts w:ascii="Times New Roman" w:cs="Times New Roman" w:eastAsia="Times New Roman" w:hAnsi="Times New Roman"/>
          <w:b w:val="false"/>
          <w:bCs w:val="false"/>
          <w:i/>
          <w:iCs/>
          <w:sz w:val="24"/>
          <w:szCs w:val="24"/>
        </w:rPr>
        <w:t xml:space="preserve">Hawera &amp; Normanby Star</w:t>
      </w:r>
      <w:r>
        <w:rPr>
          <w:rFonts w:ascii="Times New Roman" w:cs="Times New Roman" w:eastAsia="Times New Roman" w:hAnsi="Times New Roman"/>
          <w:b w:val="false"/>
          <w:bCs w:val="false"/>
          <w:i w:val="false"/>
          <w:iCs w:val="false"/>
          <w:sz w:val="24"/>
          <w:szCs w:val="24"/>
        </w:rPr>
        <w:t xml:space="preserve">, December 22, 1916; also recorded in WWI Document Archive, BYU Library).</w:t>
      </w:r>
    </w:p>
    <w:p>
      <w:pPr>
        <w:pStyle w:val="Heading1"/>
        <w:spacing w:after="120" w:before="360"/>
      </w:pPr>
      <w:r>
        <w:rPr>
          <w:rFonts w:ascii="Times New Roman" w:cs="Times New Roman" w:eastAsia="Times New Roman" w:hAnsi="Times New Roman"/>
          <w:b/>
          <w:bCs/>
          <w:sz w:val="28"/>
          <w:szCs w:val="28"/>
        </w:rPr>
        <w:t xml:space="preserve">8. Balancing National Interest, Morality, and Personal Considerations</w:t>
      </w:r>
    </w:p>
    <w:p>
      <w:pPr>
        <w:pStyle w:val="Heading2"/>
        <w:spacing w:after="80" w:before="240"/>
      </w:pPr>
      <w:r>
        <w:rPr>
          <w:rFonts w:ascii="Times New Roman" w:cs="Times New Roman" w:eastAsia="Times New Roman" w:hAnsi="Times New Roman"/>
          <w:b/>
          <w:bCs/>
          <w:sz w:val="28"/>
          <w:szCs w:val="28"/>
        </w:rPr>
        <w:t xml:space="preserve">The Framing Mechanism</w:t>
      </w:r>
    </w:p>
    <w:p>
      <w:pPr>
        <w:spacing w:after="40" w:before="40"/>
        <w:jc w:val="left"/>
      </w:pPr>
      <w:r>
        <w:rPr>
          <w:rFonts w:ascii="Times New Roman" w:cs="Times New Roman" w:eastAsia="Times New Roman" w:hAnsi="Times New Roman"/>
          <w:b w:val="false"/>
          <w:bCs w:val="false"/>
          <w:i w:val="false"/>
          <w:iCs w:val="false"/>
          <w:sz w:val="24"/>
          <w:szCs w:val="24"/>
        </w:rPr>
        <w:t xml:space="preserve">Both prime ministers consistently framed British national interest as moral -- arguing that what was good for Britain was what international law, honour, and humanitarian values demanded. The </w:t>
      </w:r>
      <w:r>
        <w:rPr>
          <w:rFonts w:ascii="Times New Roman" w:cs="Times New Roman" w:eastAsia="Times New Roman" w:hAnsi="Times New Roman"/>
          <w:b w:val="false"/>
          <w:bCs w:val="false"/>
          <w:i/>
          <w:iCs/>
          <w:sz w:val="24"/>
          <w:szCs w:val="24"/>
        </w:rPr>
        <w:t xml:space="preserve">Evening Post</w:t>
      </w:r>
      <w:r>
        <w:rPr>
          <w:rFonts w:ascii="Times New Roman" w:cs="Times New Roman" w:eastAsia="Times New Roman" w:hAnsi="Times New Roman"/>
          <w:b w:val="false"/>
          <w:bCs w:val="false"/>
          <w:i w:val="false"/>
          <w:iCs w:val="false"/>
          <w:sz w:val="24"/>
          <w:szCs w:val="24"/>
        </w:rPr>
        <w:t xml:space="preserve"> (January 8, 1918) captured Lloyd George's characteristic mode of reasoning:</w:t>
      </w:r>
    </w:p>
    <w:p>
      <w:pPr>
        <w:spacing w:after="40" w:before="40"/>
        <w:jc w:val="left"/>
      </w:pPr>
      <w:r>
        <w:rPr>
          <w:rFonts w:ascii="Times New Roman" w:cs="Times New Roman" w:eastAsia="Times New Roman" w:hAnsi="Times New Roman"/>
          <w:b w:val="false"/>
          <w:bCs w:val="false"/>
          <w:i w:val="false"/>
          <w:iCs w:val="false"/>
          <w:sz w:val="24"/>
          <w:szCs w:val="24"/>
        </w:rPr>
        <w:t xml:space="preserve">"Even if we were prepared to imitate the cynicism of Germany... self-interest would lead us to the same conclusion as that moral sense" (</w:t>
      </w:r>
      <w:r>
        <w:rPr>
          <w:rFonts w:ascii="Times New Roman" w:cs="Times New Roman" w:eastAsia="Times New Roman" w:hAnsi="Times New Roman"/>
          <w:b w:val="false"/>
          <w:bCs w:val="false"/>
          <w:i/>
          <w:iCs/>
          <w:sz w:val="24"/>
          <w:szCs w:val="24"/>
        </w:rPr>
        <w:t xml:space="preserve">Evening Post</w:t>
      </w:r>
      <w:r>
        <w:rPr>
          <w:rFonts w:ascii="Times New Roman" w:cs="Times New Roman" w:eastAsia="Times New Roman" w:hAnsi="Times New Roman"/>
          <w:b w:val="false"/>
          <w:bCs w:val="false"/>
          <w:i w:val="false"/>
          <w:iCs w:val="false"/>
          <w:sz w:val="24"/>
          <w:szCs w:val="24"/>
        </w:rPr>
        <w:t xml:space="preserve">, January 8, 1918, reporting on Lloyd George's war aims speech to trade unionists).</w:t>
      </w:r>
    </w:p>
    <w:p>
      <w:pPr>
        <w:spacing w:after="40" w:before="40"/>
        <w:jc w:val="left"/>
      </w:pPr>
      <w:r>
        <w:rPr>
          <w:rFonts w:ascii="Times New Roman" w:cs="Times New Roman" w:eastAsia="Times New Roman" w:hAnsi="Times New Roman"/>
          <w:b w:val="false"/>
          <w:bCs w:val="false"/>
          <w:i w:val="false"/>
          <w:iCs w:val="false"/>
          <w:sz w:val="24"/>
          <w:szCs w:val="24"/>
        </w:rPr>
        <w:t xml:space="preserve">This conflation of morality and national interest is the central mechanism through which both leaders managed the tension between principle and power (Hull 2014, pp. 15-45; Wilson 1985, pp. 134-152). It allowed decisions driven by strategic calculation to be presented -- and likely experienced -- as decisions driven by moral obligation.</w:t>
      </w:r>
    </w:p>
    <w:p>
      <w:pPr>
        <w:pStyle w:val="Heading2"/>
        <w:spacing w:after="80" w:before="240"/>
      </w:pPr>
      <w:r>
        <w:rPr>
          <w:rFonts w:ascii="Times New Roman" w:cs="Times New Roman" w:eastAsia="Times New Roman" w:hAnsi="Times New Roman"/>
          <w:b/>
          <w:bCs/>
          <w:sz w:val="28"/>
          <w:szCs w:val="28"/>
        </w:rPr>
        <w:t xml:space="preserve">Asquith: Personal Integrity Within Strategic Deception</w:t>
      </w:r>
    </w:p>
    <w:p>
      <w:pPr>
        <w:spacing w:after="40" w:before="40"/>
        <w:jc w:val="left"/>
      </w:pPr>
      <w:r>
        <w:rPr>
          <w:rFonts w:ascii="Times New Roman" w:cs="Times New Roman" w:eastAsia="Times New Roman" w:hAnsi="Times New Roman"/>
          <w:b w:val="false"/>
          <w:bCs w:val="false"/>
          <w:i w:val="false"/>
          <w:iCs w:val="false"/>
          <w:sz w:val="24"/>
          <w:szCs w:val="24"/>
        </w:rPr>
        <w:t xml:space="preserve">The paradox of Asquith is acute. Churchill's assessment of his "inflexible integrity" coexists with Newton's documented evidence that Asquith presided over a Cabinet that was systematically misled and a Parliament that was denied a vote on the most consequential decision in British history (Newton 2014, pp. 180-260). The moral framing of Belgium as casus belli was, in significant part, instrumental.</w:t>
      </w:r>
    </w:p>
    <w:p>
      <w:pPr>
        <w:spacing w:after="40" w:before="40"/>
        <w:jc w:val="left"/>
      </w:pPr>
      <w:r>
        <w:rPr>
          <w:rFonts w:ascii="Times New Roman" w:cs="Times New Roman" w:eastAsia="Times New Roman" w:hAnsi="Times New Roman"/>
          <w:b w:val="false"/>
          <w:bCs w:val="false"/>
          <w:i w:val="false"/>
          <w:iCs w:val="false"/>
          <w:sz w:val="24"/>
          <w:szCs w:val="24"/>
        </w:rPr>
        <w:t xml:space="preserve">This can be resolved by understanding Asquith's conception of integrity as personal probity rather than institutional transparency (Jenkins 1964, pp. 340-365). He was not personally corrupt; he was not enriching himself; he was not lying to colleagues in private. But he was managing a political crisis by allowing Grey and Churchill to set the course while maintaining the appearance of Cabinet deliberation. Derek Coombs (</w:t>
      </w:r>
      <w:r>
        <w:rPr>
          <w:rFonts w:ascii="Times New Roman" w:cs="Times New Roman" w:eastAsia="Times New Roman" w:hAnsi="Times New Roman"/>
          <w:b w:val="false"/>
          <w:bCs w:val="false"/>
          <w:i/>
          <w:iCs/>
          <w:sz w:val="24"/>
          <w:szCs w:val="24"/>
        </w:rPr>
        <w:t xml:space="preserve">Prospect</w:t>
      </w:r>
      <w:r>
        <w:rPr>
          <w:rFonts w:ascii="Times New Roman" w:cs="Times New Roman" w:eastAsia="Times New Roman" w:hAnsi="Times New Roman"/>
          <w:b w:val="false"/>
          <w:bCs w:val="false"/>
          <w:i w:val="false"/>
          <w:iCs w:val="false"/>
          <w:sz w:val="24"/>
          <w:szCs w:val="24"/>
        </w:rPr>
        <w:t xml:space="preserve">, 1998) judges that Asquith delegated foreign policy almost entirely to Grey, paid little attention to the threat of war, and "lacked the resolution to overrule Grey, and said that he would resign if Grey did."</w:t>
      </w:r>
    </w:p>
    <w:p>
      <w:pPr>
        <w:pStyle w:val="Heading2"/>
        <w:spacing w:after="80" w:before="240"/>
      </w:pPr>
      <w:r>
        <w:rPr>
          <w:rFonts w:ascii="Times New Roman" w:cs="Times New Roman" w:eastAsia="Times New Roman" w:hAnsi="Times New Roman"/>
          <w:b/>
          <w:bCs/>
          <w:sz w:val="28"/>
          <w:szCs w:val="28"/>
        </w:rPr>
        <w:t xml:space="preserve">Lloyd George: Energy at Any Cost</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 sacrificed Liberal Party unity, personal friendships, and traditional party principles in pursuit of what he believed the war required (Morgan 1971, pp. 100-130). His willingness to work with Conservatives alienated lifelong Liberals. His acceptance of conscription horrified the Gladstonian tradition.</w:t>
      </w:r>
    </w:p>
    <w:p>
      <w:pPr>
        <w:spacing w:after="40" w:before="40"/>
        <w:jc w:val="left"/>
      </w:pPr>
      <w:r>
        <w:rPr>
          <w:rFonts w:ascii="Times New Roman" w:cs="Times New Roman" w:eastAsia="Times New Roman" w:hAnsi="Times New Roman"/>
          <w:b w:val="false"/>
          <w:bCs w:val="false"/>
          <w:i w:val="false"/>
          <w:iCs w:val="false"/>
          <w:sz w:val="24"/>
          <w:szCs w:val="24"/>
        </w:rPr>
        <w:t xml:space="preserve">In his own December 1916 words, which capture the core of his philosophy: "There are moments when personal and party considerations must sink... These are the issues we want to keep in front of the nation" (Lloyd George, speech to the House of Commons, December 19, 1916, recorded in WWI Document Archive, BYU Library).</w:t>
      </w:r>
    </w:p>
    <w:p>
      <w:pPr>
        <w:pStyle w:val="Heading2"/>
        <w:spacing w:after="80" w:before="240"/>
      </w:pPr>
      <w:r>
        <w:rPr>
          <w:rFonts w:ascii="Times New Roman" w:cs="Times New Roman" w:eastAsia="Times New Roman" w:hAnsi="Times New Roman"/>
          <w:b/>
          <w:bCs/>
          <w:sz w:val="28"/>
          <w:szCs w:val="28"/>
        </w:rPr>
        <w:t xml:space="preserve">The Chanak Crisis as Revealing Case (1919-1922)</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George's Greek-Turkish policy is the clearest example of personal conviction overriding strategic calculation -- with catastrophic results (Churchill 1929, pp. 380-420; Glasgow University thesis, "Britain and the Greek-Turkish War and Settlement of 1919-1923").</w:t>
      </w:r>
    </w:p>
    <w:p>
      <w:pPr>
        <w:spacing w:after="40" w:before="40"/>
        <w:jc w:val="left"/>
      </w:pPr>
      <w:r>
        <w:rPr>
          <w:rFonts w:ascii="Times New Roman" w:cs="Times New Roman" w:eastAsia="Times New Roman" w:hAnsi="Times New Roman"/>
          <w:b/>
          <w:bCs/>
          <w:i w:val="false"/>
          <w:iCs w:val="false"/>
          <w:sz w:val="24"/>
          <w:szCs w:val="24"/>
        </w:rPr>
        <w:t xml:space="preserve">The policy:</w:t>
      </w:r>
      <w:r>
        <w:rPr>
          <w:rFonts w:ascii="Times New Roman" w:cs="Times New Roman" w:eastAsia="Times New Roman" w:hAnsi="Times New Roman"/>
          <w:b w:val="false"/>
          <w:bCs w:val="false"/>
          <w:i w:val="false"/>
          <w:iCs w:val="false"/>
          <w:sz w:val="24"/>
          <w:szCs w:val="24"/>
        </w:rPr>
        <w:t xml:space="preserve"> Lloyd George pursued a pro-Greek, anti-Turkish policy after WWI, against the advice of the War Office, Colonial Office, India Office, and Churchill himself. His justifications combined genuine philhellenism (he declared that since 1914 Turks had "in cold blood slaughtered 1,500,000 Armenians and 500,000 Greeks"), a strategy of using Greece as a cost-effective "proxy" for British interests in the Eastern Mediterranean, and resistance to Mustafa Kemal's Turkish Nationalist movement, which had emerged as a challenge to the punitive 1920 Treaty of Sevres (Churchill 1929, pp. 360-380).</w:t>
      </w:r>
    </w:p>
    <w:p>
      <w:pPr>
        <w:spacing w:after="40" w:before="40"/>
        <w:jc w:val="left"/>
      </w:pPr>
      <w:r>
        <w:rPr>
          <w:rFonts w:ascii="Times New Roman" w:cs="Times New Roman" w:eastAsia="Times New Roman" w:hAnsi="Times New Roman"/>
          <w:b/>
          <w:bCs/>
          <w:i w:val="false"/>
          <w:iCs w:val="false"/>
          <w:sz w:val="24"/>
          <w:szCs w:val="24"/>
        </w:rPr>
        <w:t xml:space="preserve">Churchill's opposition:</w:t>
      </w:r>
      <w:r>
        <w:rPr>
          <w:rFonts w:ascii="Times New Roman" w:cs="Times New Roman" w:eastAsia="Times New Roman" w:hAnsi="Times New Roman"/>
          <w:b w:val="false"/>
          <w:bCs w:val="false"/>
          <w:i w:val="false"/>
          <w:iCs w:val="false"/>
          <w:sz w:val="24"/>
          <w:szCs w:val="24"/>
        </w:rPr>
        <w:t xml:space="preserve"> Churchill, who consistently opposed the pro-Greek policy, wrote in </w:t>
      </w:r>
      <w:r>
        <w:rPr>
          <w:rFonts w:ascii="Times New Roman" w:cs="Times New Roman" w:eastAsia="Times New Roman" w:hAnsi="Times New Roman"/>
          <w:b w:val="false"/>
          <w:bCs w:val="false"/>
          <w:i/>
          <w:iCs/>
          <w:sz w:val="24"/>
          <w:szCs w:val="24"/>
        </w:rPr>
        <w:t xml:space="preserve">The Aftermath</w:t>
      </w:r>
      <w:r>
        <w:rPr>
          <w:rFonts w:ascii="Times New Roman" w:cs="Times New Roman" w:eastAsia="Times New Roman" w:hAnsi="Times New Roman"/>
          <w:b w:val="false"/>
          <w:bCs w:val="false"/>
          <w:i w:val="false"/>
          <w:iCs w:val="false"/>
          <w:sz w:val="24"/>
          <w:szCs w:val="24"/>
        </w:rPr>
        <w:t xml:space="preserve"> (1929): "Having done my utmost for three years to procure a friendly peace with Mustapha Kemal and the withdrawal of the Greeks from Asia Minor, and having consistently opposed my friend the Prime Minister upon this issue, I now found myself wholeheartedly upon his side" (Churchill 1929, pp. 420-430). The latter clause referred only to the 1922 Chanak Crisis when Turkish forces threatened British garrisons -- Churchill supported defending British troops once they were threatened, but had opposed the policy that put them there. He had warned in December 1921 that Lloyd George's "vendetta against the Turks" was directly frustrating Britain's desire to retain Mosul and Mesopotamia (Churchill 1929, pp. 400-410).</w:t>
      </w:r>
    </w:p>
    <w:p>
      <w:pPr>
        <w:spacing w:after="40" w:before="40"/>
        <w:jc w:val="left"/>
      </w:pPr>
      <w:r>
        <w:rPr>
          <w:rFonts w:ascii="Times New Roman" w:cs="Times New Roman" w:eastAsia="Times New Roman" w:hAnsi="Times New Roman"/>
          <w:b/>
          <w:bCs/>
          <w:i w:val="false"/>
          <w:iCs w:val="false"/>
          <w:sz w:val="24"/>
          <w:szCs w:val="24"/>
        </w:rPr>
        <w:t xml:space="preserve">The policy's collapse:</w:t>
      </w:r>
      <w:r>
        <w:rPr>
          <w:rFonts w:ascii="Times New Roman" w:cs="Times New Roman" w:eastAsia="Times New Roman" w:hAnsi="Times New Roman"/>
          <w:b w:val="false"/>
          <w:bCs w:val="false"/>
          <w:i w:val="false"/>
          <w:iCs w:val="false"/>
          <w:sz w:val="24"/>
          <w:szCs w:val="24"/>
        </w:rPr>
        <w:t xml:space="preserve"> Greek forces proved incapable of defeating Turkish Nationalist forces. The Chanak Crisis (September-October 1922) brought Britain to the brink of renewed war with Turkey. Dominion support was lukewarm; France and Italy withdrew troops from Chanak; British public opinion turned against war. Lloyd George's policy collapsed entirely, contributing directly to the fall of his coalition government in October 1922 (Churchill 1929, pp. 420-450).</w:t>
      </w:r>
    </w:p>
    <w:p>
      <w:pPr>
        <w:spacing w:after="40" w:before="40"/>
        <w:jc w:val="left"/>
      </w:pPr>
      <w:r>
        <w:rPr>
          <w:rFonts w:ascii="Times New Roman" w:cs="Times New Roman" w:eastAsia="Times New Roman" w:hAnsi="Times New Roman"/>
          <w:b/>
          <w:bCs/>
          <w:i w:val="false"/>
          <w:iCs w:val="false"/>
          <w:sz w:val="24"/>
          <w:szCs w:val="24"/>
        </w:rPr>
        <w:t xml:space="preserve">The outcome:</w:t>
      </w:r>
      <w:r>
        <w:rPr>
          <w:rFonts w:ascii="Times New Roman" w:cs="Times New Roman" w:eastAsia="Times New Roman" w:hAnsi="Times New Roman"/>
          <w:b w:val="false"/>
          <w:bCs w:val="false"/>
          <w:i w:val="false"/>
          <w:iCs w:val="false"/>
          <w:sz w:val="24"/>
          <w:szCs w:val="24"/>
        </w:rPr>
        <w:t xml:space="preserve"> The Treaty of Lausanne (1923) reversed the punitive 1920 Treaty of Sevres and established modern Turkey's borders. British policy came full circle, returning to the traditional support of Turkey as British proxy. </w:t>
      </w:r>
      <w:r>
        <w:rPr>
          <w:rFonts w:ascii="Times New Roman" w:cs="Times New Roman" w:eastAsia="Times New Roman" w:hAnsi="Times New Roman"/>
          <w:b w:val="false"/>
          <w:bCs w:val="false"/>
          <w:i/>
          <w:iCs/>
          <w:sz w:val="24"/>
          <w:szCs w:val="24"/>
        </w:rPr>
        <w:t xml:space="preserve">Time</w:t>
      </w:r>
      <w:r>
        <w:rPr>
          <w:rFonts w:ascii="Times New Roman" w:cs="Times New Roman" w:eastAsia="Times New Roman" w:hAnsi="Times New Roman"/>
          <w:b w:val="false"/>
          <w:bCs w:val="false"/>
          <w:i w:val="false"/>
          <w:iCs w:val="false"/>
          <w:sz w:val="24"/>
          <w:szCs w:val="24"/>
        </w:rPr>
        <w:t xml:space="preserve"> magazine described Lausanne as "the first conspicuous failure of British diplomacy in more than a century." Lloyd George -- "the genius of the Greek policy" and "bitterest foe of the Turk" -- was ousted, and the Conservatives under Lord Curzon made peace.</w:t>
      </w:r>
    </w:p>
    <w:p>
      <w:pPr>
        <w:spacing w:after="40" w:before="40"/>
        <w:jc w:val="left"/>
      </w:pPr>
      <w:r>
        <w:rPr>
          <w:rFonts w:ascii="Times New Roman" w:cs="Times New Roman" w:eastAsia="Times New Roman" w:hAnsi="Times New Roman"/>
          <w:b/>
          <w:bCs/>
          <w:i w:val="false"/>
          <w:iCs w:val="false"/>
          <w:sz w:val="24"/>
          <w:szCs w:val="24"/>
        </w:rPr>
        <w:t xml:space="preserve">Lloyd George's own framing of the policy:</w:t>
      </w:r>
      <w:r>
        <w:rPr>
          <w:rFonts w:ascii="Times New Roman" w:cs="Times New Roman" w:eastAsia="Times New Roman" w:hAnsi="Times New Roman"/>
          <w:b w:val="false"/>
          <w:bCs w:val="false"/>
          <w:i w:val="false"/>
          <w:iCs w:val="false"/>
          <w:sz w:val="24"/>
          <w:szCs w:val="24"/>
        </w:rPr>
        <w:t xml:space="preserve"> He declared in October 1922: "I did not improvise the policy regarding Turkey. I inherited it" (cited in Glasgow University thesis). This was partly accurate -- pre-existing wartime agreements with Russia, France, Italy, and Greece aimed to leave Turkey only "a strip of Anatolia" (Lieshout 2016, pp. 180-200). But his energetic pursuit of the Greek solution, against consistent institutional advice, was his own choice.</w:t>
      </w:r>
    </w:p>
    <w:p>
      <w:pPr>
        <w:pStyle w:val="Heading1"/>
        <w:spacing w:after="120" w:before="360"/>
      </w:pPr>
      <w:r>
        <w:rPr>
          <w:rFonts w:ascii="Times New Roman" w:cs="Times New Roman" w:eastAsia="Times New Roman" w:hAnsi="Times New Roman"/>
          <w:b/>
          <w:bCs/>
          <w:sz w:val="28"/>
          <w:szCs w:val="28"/>
        </w:rPr>
        <w:t xml:space="preserve">9. Use of Military Force and Alliances</w:t>
      </w:r>
    </w:p>
    <w:p>
      <w:pPr>
        <w:pStyle w:val="Heading2"/>
        <w:spacing w:after="80" w:before="240"/>
      </w:pPr>
      <w:r>
        <w:rPr>
          <w:rFonts w:ascii="Times New Roman" w:cs="Times New Roman" w:eastAsia="Times New Roman" w:hAnsi="Times New Roman"/>
          <w:b/>
          <w:bCs/>
          <w:sz w:val="28"/>
          <w:szCs w:val="28"/>
        </w:rPr>
        <w:t xml:space="preserve">The Entente Commitment as "Moral Obligation"</w:t>
      </w:r>
    </w:p>
    <w:p>
      <w:pPr>
        <w:spacing w:after="40" w:before="40"/>
        <w:jc w:val="left"/>
      </w:pPr>
      <w:r>
        <w:rPr>
          <w:rFonts w:ascii="Times New Roman" w:cs="Times New Roman" w:eastAsia="Times New Roman" w:hAnsi="Times New Roman"/>
          <w:b w:val="false"/>
          <w:bCs w:val="false"/>
          <w:i w:val="false"/>
          <w:iCs w:val="false"/>
          <w:sz w:val="24"/>
          <w:szCs w:val="24"/>
        </w:rPr>
        <w:t xml:space="preserve">The Anglo-French military conversations (staff talks) that began in 1906 created what Sir Henry Wilson called a "moral obligation" to support France (Peden 2007, pp. 78-95). Though the Cabinet was never formally committed, the military planning -- known to Asquith, Grey, Churchill, Haldane, and (since the 1911 CID meeting) Lloyd George -- created an institutional momentum toward intervention that effectively pre-committed Britain regardless of formal Cabinet approval (Newton 2014, pp. 105-130).</w:t>
      </w:r>
    </w:p>
    <w:p>
      <w:pPr>
        <w:spacing w:after="40" w:before="40"/>
        <w:jc w:val="left"/>
      </w:pPr>
      <w:r>
        <w:rPr>
          <w:rFonts w:ascii="Times New Roman" w:cs="Times New Roman" w:eastAsia="Times New Roman" w:hAnsi="Times New Roman"/>
          <w:b w:val="false"/>
          <w:bCs w:val="false"/>
          <w:i w:val="false"/>
          <w:iCs w:val="false"/>
          <w:sz w:val="24"/>
          <w:szCs w:val="24"/>
        </w:rPr>
        <w:t xml:space="preserve">The Navy had been positioned for war by Churchill without Cabinet authorization. The Army had detailed plans for deploying the BEF to France developed by Wilson and the General Staff. When the July Crisis came, the institutional machinery was already oriented toward intervention before any Cabinet discussion took place (Newton 2014, pp. 80-130; Peden 2007, pp. 80-95).</w:t>
      </w:r>
    </w:p>
    <w:p>
      <w:pPr>
        <w:pStyle w:val="Heading2"/>
        <w:spacing w:after="80" w:before="240"/>
      </w:pPr>
      <w:r>
        <w:rPr>
          <w:rFonts w:ascii="Times New Roman" w:cs="Times New Roman" w:eastAsia="Times New Roman" w:hAnsi="Times New Roman"/>
          <w:b/>
          <w:bCs/>
          <w:sz w:val="28"/>
          <w:szCs w:val="28"/>
        </w:rPr>
        <w:t xml:space="preserve">The Naval Blockade as Military Strategy</w:t>
      </w:r>
    </w:p>
    <w:p>
      <w:pPr>
        <w:spacing w:after="40" w:before="40"/>
        <w:jc w:val="left"/>
      </w:pPr>
      <w:r>
        <w:rPr>
          <w:rFonts w:ascii="Times New Roman" w:cs="Times New Roman" w:eastAsia="Times New Roman" w:hAnsi="Times New Roman"/>
          <w:b w:val="false"/>
          <w:bCs w:val="false"/>
          <w:i w:val="false"/>
          <w:iCs w:val="false"/>
          <w:sz w:val="24"/>
          <w:szCs w:val="24"/>
        </w:rPr>
        <w:t xml:space="preserve">The blockade was the longest sustained British military operation of the war. It operated on an entirely different logic from battlefield engagements -- a logic of slow starvation rather than direct combat. It deliberately collapsed the civilian/military distinction, treating the entire German population as an economic target (Hull 2014, pp. 155-182; Barros 2018, pp. 95-98).</w:t>
      </w:r>
    </w:p>
    <w:p>
      <w:pPr>
        <w:spacing w:after="40" w:before="40"/>
        <w:jc w:val="left"/>
      </w:pPr>
      <w:r>
        <w:rPr>
          <w:rFonts w:ascii="Times New Roman" w:cs="Times New Roman" w:eastAsia="Times New Roman" w:hAnsi="Times New Roman"/>
          <w:b w:val="false"/>
          <w:bCs w:val="false"/>
          <w:i w:val="false"/>
          <w:iCs w:val="false"/>
          <w:sz w:val="24"/>
          <w:szCs w:val="24"/>
        </w:rPr>
        <w:t xml:space="preserve">This set precedents for 20th-century total war. As Barros argues, the blockade "triggered unrestricted submarine warfare and the hunger blockade" -- creating an escalatory spiral where each side's violation of legal norms justified the other's (Barros 2018, pp. 95-98).</w:t>
      </w:r>
    </w:p>
    <w:p>
      <w:pPr>
        <w:pStyle w:val="Heading2"/>
        <w:spacing w:after="80" w:before="240"/>
      </w:pPr>
      <w:r>
        <w:rPr>
          <w:rFonts w:ascii="Times New Roman" w:cs="Times New Roman" w:eastAsia="Times New Roman" w:hAnsi="Times New Roman"/>
          <w:b/>
          <w:bCs/>
          <w:sz w:val="28"/>
          <w:szCs w:val="28"/>
        </w:rPr>
        <w:t xml:space="preserve">Lloyd George's "Eastern Strategy"</w:t>
      </w:r>
    </w:p>
    <w:p>
      <w:pPr>
        <w:spacing w:after="40" w:before="40"/>
        <w:jc w:val="left"/>
      </w:pPr>
      <w:r>
        <w:rPr>
          <w:rFonts w:ascii="Times New Roman" w:cs="Times New Roman" w:eastAsia="Times New Roman" w:hAnsi="Times New Roman"/>
          <w:b w:val="false"/>
          <w:bCs w:val="false"/>
          <w:i w:val="false"/>
          <w:iCs w:val="false"/>
          <w:sz w:val="24"/>
          <w:szCs w:val="24"/>
        </w:rPr>
        <w:t xml:space="preserve">Lloyd George consistently preferred "knocking away the props" -- defeating Germany by eliminating its allies (Ottoman Empire, Austria-Hungary, Bulgaria) rather than the Western Front war of attrition that consumed British manpower in futile offensives. The Palestine campaign (1917-1918) was the most successful expression of this strategy (King's College London doctoral thesis on the Palestine campaign).</w:t>
      </w:r>
    </w:p>
    <w:p>
      <w:pPr>
        <w:spacing w:after="40" w:before="40"/>
        <w:jc w:val="left"/>
      </w:pPr>
      <w:r>
        <w:rPr>
          <w:rFonts w:ascii="Times New Roman" w:cs="Times New Roman" w:eastAsia="Times New Roman" w:hAnsi="Times New Roman"/>
          <w:b w:val="false"/>
          <w:bCs w:val="false"/>
          <w:i w:val="false"/>
          <w:iCs w:val="false"/>
          <w:sz w:val="24"/>
          <w:szCs w:val="24"/>
        </w:rPr>
        <w:t xml:space="preserve">This had a dual character: pragmatic (avoiding the slaughter of the trenches by attacking Germany's weaker allies) and imperial (the military campaigns in the Middle East created the foundation for post-war territorial acquisition) (Fromkin 1989, pp. 260-300; Mathew 2013, pp. 231-240).</w:t>
      </w:r>
    </w:p>
    <w:p>
      <w:pPr>
        <w:spacing w:after="40" w:before="40"/>
        <w:jc w:val="left"/>
      </w:pPr>
      <w:r>
        <w:rPr>
          <w:rFonts w:ascii="Times New Roman" w:cs="Times New Roman" w:eastAsia="Times New Roman" w:hAnsi="Times New Roman"/>
          <w:b w:val="false"/>
          <w:bCs w:val="false"/>
          <w:i w:val="false"/>
          <w:iCs w:val="false"/>
          <w:sz w:val="24"/>
          <w:szCs w:val="24"/>
        </w:rPr>
        <w:t xml:space="preserve">A detailed King's College London doctoral thesis documents Lloyd George's fourfold motivation for the Palestine campaign: (1) diverting resources from wasteful Western Front offensives; (2) "knocking away the props" by defeating Germany's allies; (3) providing morale-boosting victories for the British home front; and (4) securing territorial bargaining counters for post-war peace negotiations.</w:t>
      </w:r>
    </w:p>
    <w:p>
      <w:pPr>
        <w:spacing w:after="40" w:before="40"/>
        <w:jc w:val="left"/>
      </w:pPr>
      <w:r>
        <w:rPr>
          <w:rFonts w:ascii="Times New Roman" w:cs="Times New Roman" w:eastAsia="Times New Roman" w:hAnsi="Times New Roman"/>
          <w:b w:val="false"/>
          <w:bCs w:val="false"/>
          <w:i w:val="false"/>
          <w:iCs w:val="false"/>
          <w:sz w:val="24"/>
          <w:szCs w:val="24"/>
        </w:rPr>
        <w:t xml:space="preserve">General Allenby's capture of Jerusalem in December 1917 and Damascus in October 1918 were presented as crusading victories, with Lloyd George deliberately framing them in religious-historical terms (Mazza 2025).</w:t>
      </w:r>
    </w:p>
    <w:p>
      <w:pPr>
        <w:pStyle w:val="Heading1"/>
        <w:spacing w:after="120" w:before="360"/>
      </w:pPr>
      <w:r>
        <w:rPr>
          <w:rFonts w:ascii="Times New Roman" w:cs="Times New Roman" w:eastAsia="Times New Roman" w:hAnsi="Times New Roman"/>
          <w:b/>
          <w:bCs/>
          <w:sz w:val="28"/>
          <w:szCs w:val="28"/>
        </w:rPr>
        <w:t xml:space="preserve">10. Evidence of Consistency or Pragmatic Shifts</w:t>
      </w:r>
    </w:p>
    <w:p>
      <w:pPr>
        <w:pStyle w:val="Heading2"/>
        <w:spacing w:after="80" w:before="240"/>
      </w:pPr>
      <w:r>
        <w:rPr>
          <w:rFonts w:ascii="Times New Roman" w:cs="Times New Roman" w:eastAsia="Times New Roman" w:hAnsi="Times New Roman"/>
          <w:b/>
          <w:bCs/>
          <w:sz w:val="28"/>
          <w:szCs w:val="28"/>
        </w:rPr>
        <w:t xml:space="preserve">Lloyd George: The Most Dramatic Pivot in British Political History</w:t>
      </w:r>
    </w:p>
    <w:p>
      <w:pPr>
        <w:spacing w:after="40" w:before="40"/>
        <w:jc w:val="left"/>
      </w:pPr>
      <w:r>
        <w:rPr>
          <w:rFonts w:ascii="Times New Roman" w:cs="Times New Roman" w:eastAsia="Times New Roman" w:hAnsi="Times New Roman"/>
          <w:b w:val="false"/>
          <w:bCs w:val="false"/>
          <w:i w:val="false"/>
          <w:iCs w:val="false"/>
          <w:sz w:val="24"/>
          <w:szCs w:val="24"/>
        </w:rPr>
        <w:t xml:space="preserve">His transformation from pacifist to interventionist in a single week (July 27 to August 3, 1914) is the single most dramatic shift in either man's career (Gilbert 1985, pp. 895-914; Grigg 1973, Vol. 1, pp. 310-340). Key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Date</w:t>
            </w:r>
          </w:p>
        </w:tc>
        <w:tc>
          <w:tcPr>
            <w:tcW w:type="dxa" w:w="468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Position</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1901</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Opposed the Boer War as a "Pro-Boer" radical -- the anti-imperialist position (Grigg 1973, Vol. 1)</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July 21, 1911</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Warned Germany publicly during the Agadir Crisis (Mansion House Speech) -- showed willingness to confront</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August 23, 1911</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Attended CID meeting where Sir Henry Wilson explained Anglo-French military plans -- fully aware of BEF deployment plans</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July 27, 1914</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"No question of our taking part in any war in the first instance" (Gilbert 1985, pp. 895-896)</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August 3, 1914</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Supported intervention after German ultimatum to Belgium -- the transformative pivot (Gilbert 1985, pp. 905-910)</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September 19, 1914</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Delivered Queen's Hall speech casting the war as a crusade for international law and small nations</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1915</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As Minister of Munitions, drove industrial mobilization on an unprecedented scale (Morgan 1971)</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1916</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Pushed for conscription, alienating traditional Liberals; displaced Asquith to become PM (Morgan 1971)</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April 1917</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"We shall be there by conquest and shall remain" -- imperial expansionism explicitly avowed</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January 5, 1918</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Championed self-determination for African peoples and all colonized populations</w:t>
            </w:r>
          </w:p>
        </w:tc>
      </w:tr>
      <w:tr>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1919</w:t>
            </w:r>
          </w:p>
        </w:tc>
        <w:tc>
          <w:tcPr>
            <w:tcW w:type="dxa" w:w="468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Blocked self-determination for German colonies at Versailles, pursued imperial acquisition (MacMillan 2002)</w:t>
            </w:r>
          </w:p>
        </w:tc>
      </w:tr>
    </w:tbl>
    <w:p>
      <w:pPr>
        <w:spacing w:after="0" w:before="0"/>
      </w:pPr>
      <w:r>
        <w:rPr>
          <w:rFonts w:ascii="Times New Roman" w:cs="Times New Roman" w:eastAsia="Times New Roman" w:hAnsi="Times New Roman"/>
          <w:sz w:val="12"/>
          <w:szCs w:val="12"/>
        </w:rPr>
        <w:t xml:space="preserve"/>
      </w:r>
    </w:p>
    <w:p>
      <w:pPr>
        <w:spacing w:after="40" w:before="40"/>
        <w:jc w:val="left"/>
      </w:pPr>
      <w:r>
        <w:rPr>
          <w:rFonts w:ascii="Times New Roman" w:cs="Times New Roman" w:eastAsia="Times New Roman" w:hAnsi="Times New Roman"/>
          <w:b/>
          <w:bCs/>
          <w:i w:val="false"/>
          <w:iCs w:val="false"/>
          <w:sz w:val="24"/>
          <w:szCs w:val="24"/>
        </w:rPr>
        <w:t xml:space="preserve">The pattern:</w:t>
      </w:r>
      <w:r>
        <w:rPr>
          <w:rFonts w:ascii="Times New Roman" w:cs="Times New Roman" w:eastAsia="Times New Roman" w:hAnsi="Times New Roman"/>
          <w:b w:val="false"/>
          <w:bCs w:val="false"/>
          <w:i w:val="false"/>
          <w:iCs w:val="false"/>
          <w:sz w:val="24"/>
          <w:szCs w:val="24"/>
        </w:rPr>
        <w:t xml:space="preserve"> Rhetoric follows strategic interest. When pacifism served his domestic political position (pre-war), he was a pacifist. When intervention served the national cause, he was an interventionist. When Wilsonian language served to delegitimize German colonial claims (1918), he deployed it. When the same principles threatened British imperial interests (1919), he blocked them. This is wartime pragmatism in its purest form: principle as instrument, language as resource, and national interest as the ultimate arbiter of stated conviction (Gilbert 1985, pp. 910-914; Grigg 1973, Vol. 1, pp. 340-360; Morgan 1971, pp. 250-280).</w:t>
      </w:r>
    </w:p>
    <w:p>
      <w:pPr>
        <w:spacing w:after="40" w:before="40"/>
        <w:jc w:val="left"/>
      </w:pPr>
      <w:r>
        <w:rPr>
          <w:rFonts w:ascii="Times New Roman" w:cs="Times New Roman" w:eastAsia="Times New Roman" w:hAnsi="Times New Roman"/>
          <w:b w:val="false"/>
          <w:bCs w:val="false"/>
          <w:i w:val="false"/>
          <w:iCs w:val="false"/>
          <w:sz w:val="24"/>
          <w:szCs w:val="24"/>
        </w:rPr>
        <w:t xml:space="preserve">This is not simple hypocrisy. It reflects a political operator of extraordinary skill who understood language as an instrument and principle as a resource to be deployed in the service of the national interest as he perceived it. The consistency is in the mechanism, not in the content: Lloyd George consistently adapted his principles to what he believed circumstances required (Grigg 1973, Vol. 1, pp. 340-360).</w:t>
      </w:r>
    </w:p>
    <w:p>
      <w:pPr>
        <w:pStyle w:val="Heading2"/>
        <w:spacing w:after="80" w:before="240"/>
      </w:pPr>
      <w:r>
        <w:rPr>
          <w:rFonts w:ascii="Times New Roman" w:cs="Times New Roman" w:eastAsia="Times New Roman" w:hAnsi="Times New Roman"/>
          <w:b/>
          <w:bCs/>
          <w:sz w:val="28"/>
          <w:szCs w:val="28"/>
        </w:rPr>
        <w:t xml:space="preserve">Asquith: Consistency as Weakness</w:t>
      </w:r>
    </w:p>
    <w:p>
      <w:pPr>
        <w:spacing w:after="40" w:before="40"/>
        <w:jc w:val="left"/>
      </w:pPr>
      <w:r>
        <w:rPr>
          <w:rFonts w:ascii="Times New Roman" w:cs="Times New Roman" w:eastAsia="Times New Roman" w:hAnsi="Times New Roman"/>
          <w:b w:val="false"/>
          <w:bCs w:val="false"/>
          <w:i w:val="false"/>
          <w:iCs w:val="false"/>
          <w:sz w:val="24"/>
          <w:szCs w:val="24"/>
        </w:rPr>
        <w:t xml:space="preserve">Asquith's approach was more consistent in method -- he applied the same "wait and see" lens to Irish Home Rule, the July Crisis, and the conduct of the war. He was consistent in his deference to Grey on foreign policy, consistent in his judicial detachment from Cabinet debate, consistent in his preference for consensus and delay.</w:t>
      </w:r>
    </w:p>
    <w:p>
      <w:pPr>
        <w:spacing w:after="40" w:before="40"/>
        <w:jc w:val="left"/>
      </w:pPr>
      <w:r>
        <w:rPr>
          <w:rFonts w:ascii="Times New Roman" w:cs="Times New Roman" w:eastAsia="Times New Roman" w:hAnsi="Times New Roman"/>
          <w:b w:val="false"/>
          <w:bCs w:val="false"/>
          <w:i w:val="false"/>
          <w:iCs w:val="false"/>
          <w:sz w:val="24"/>
          <w:szCs w:val="24"/>
        </w:rPr>
        <w:t xml:space="preserve">This consistency proved to be his undoing. As Bentley Gilbert argues: Asquith "had little taste or aptitude for the war's revolution in the size and reach of government" (Gilbert, cited in Liberal History Group, </w:t>
      </w:r>
      <w:r>
        <w:rPr>
          <w:rFonts w:ascii="Times New Roman" w:cs="Times New Roman" w:eastAsia="Times New Roman" w:hAnsi="Times New Roman"/>
          <w:b w:val="false"/>
          <w:bCs w:val="false"/>
          <w:i/>
          <w:iCs/>
          <w:sz w:val="24"/>
          <w:szCs w:val="24"/>
        </w:rPr>
        <w:t xml:space="preserve">Gallant Asquith vs Lloyd George</w:t>
      </w:r>
      <w:r>
        <w:rPr>
          <w:rFonts w:ascii="Times New Roman" w:cs="Times New Roman" w:eastAsia="Times New Roman" w:hAnsi="Times New Roman"/>
          <w:b w:val="false"/>
          <w:bCs w:val="false"/>
          <w:i w:val="false"/>
          <w:iCs w:val="false"/>
          <w:sz w:val="24"/>
          <w:szCs w:val="24"/>
        </w:rPr>
        <w:t xml:space="preserve">, 2021). The same judicial temperament that served him adequately in peacetime Liberal politics failed him catastrophically in total war. The "wait and see" approach could not produce the decisions, the energy, or the institutional transformation that industrialized warfare required. Derek Coombs (</w:t>
      </w:r>
      <w:r>
        <w:rPr>
          <w:rFonts w:ascii="Times New Roman" w:cs="Times New Roman" w:eastAsia="Times New Roman" w:hAnsi="Times New Roman"/>
          <w:b w:val="false"/>
          <w:bCs w:val="false"/>
          <w:i/>
          <w:iCs/>
          <w:sz w:val="24"/>
          <w:szCs w:val="24"/>
        </w:rPr>
        <w:t xml:space="preserve">Prospect</w:t>
      </w:r>
      <w:r>
        <w:rPr>
          <w:rFonts w:ascii="Times New Roman" w:cs="Times New Roman" w:eastAsia="Times New Roman" w:hAnsi="Times New Roman"/>
          <w:b w:val="false"/>
          <w:bCs w:val="false"/>
          <w:i w:val="false"/>
          <w:iCs w:val="false"/>
          <w:sz w:val="24"/>
          <w:szCs w:val="24"/>
        </w:rPr>
        <w:t xml:space="preserve">, 1998) concludes: "Asquith was an excellent peacetime prime minister and a disastrous wartime one. He simply lacked the qualities that modern war demanded."</w:t>
      </w:r>
    </w:p>
    <w:p>
      <w:pPr>
        <w:pStyle w:val="Heading2"/>
        <w:spacing w:after="80" w:before="240"/>
      </w:pPr>
      <w:r>
        <w:rPr>
          <w:rFonts w:ascii="Times New Roman" w:cs="Times New Roman" w:eastAsia="Times New Roman" w:hAnsi="Times New Roman"/>
          <w:b/>
          <w:bCs/>
          <w:sz w:val="28"/>
          <w:szCs w:val="28"/>
        </w:rPr>
        <w:t xml:space="preserve">The Shared Fundamental Pattern</w:t>
      </w:r>
    </w:p>
    <w:p>
      <w:pPr>
        <w:spacing w:after="40" w:before="40"/>
        <w:jc w:val="left"/>
      </w:pPr>
      <w:r>
        <w:rPr>
          <w:rFonts w:ascii="Times New Roman" w:cs="Times New Roman" w:eastAsia="Times New Roman" w:hAnsi="Times New Roman"/>
          <w:b w:val="false"/>
          <w:bCs w:val="false"/>
          <w:i w:val="false"/>
          <w:iCs w:val="false"/>
          <w:sz w:val="24"/>
          <w:szCs w:val="24"/>
        </w:rPr>
        <w:t xml:space="preserve">Both men exhibited a deep and consistent pattern: </w:t>
      </w:r>
      <w:r>
        <w:rPr>
          <w:rFonts w:ascii="Times New Roman" w:cs="Times New Roman" w:eastAsia="Times New Roman" w:hAnsi="Times New Roman"/>
          <w:b/>
          <w:bCs/>
          <w:i w:val="false"/>
          <w:iCs w:val="false"/>
          <w:sz w:val="24"/>
          <w:szCs w:val="24"/>
        </w:rPr>
        <w:t xml:space="preserve">public invocation of universal moral principles (international law, treaty obligations, sovereignty of small nations, self-determination) combined with private subordination of those principles to perceived British national interest</w:t>
      </w:r>
      <w:r>
        <w:rPr>
          <w:rFonts w:ascii="Times New Roman" w:cs="Times New Roman" w:eastAsia="Times New Roman" w:hAnsi="Times New Roman"/>
          <w:b w:val="false"/>
          <w:bCs w:val="false"/>
          <w:i w:val="false"/>
          <w:iCs w:val="false"/>
          <w:sz w:val="24"/>
          <w:szCs w:val="24"/>
        </w:rPr>
        <w:t xml:space="preserve"> (Wilson 1985, pp. 134-152; Hull 2014, pp. 15-45).</w:t>
      </w:r>
    </w:p>
    <w:p>
      <w:pPr>
        <w:spacing w:after="40" w:before="40"/>
        <w:jc w:val="left"/>
      </w:pPr>
      <w:r>
        <w:rPr>
          <w:rFonts w:ascii="Times New Roman" w:cs="Times New Roman" w:eastAsia="Times New Roman" w:hAnsi="Times New Roman"/>
          <w:b w:val="false"/>
          <w:bCs w:val="false"/>
          <w:i w:val="false"/>
          <w:iCs w:val="false"/>
          <w:sz w:val="24"/>
          <w:szCs w:val="24"/>
        </w:rPr>
        <w:t xml:space="preserve">The difference was in style and energy, not in the underlying tension between principle and practice:</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Asquith managed the tension through passivity -- letting Grey and Churchill drive policy while he maintained deniability and preserved his personal sense of integrity (Jenkins 1964, pp. 340-365).</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Lloyd George managed the tension through rhetorical energy -- adapting his moral language to each new strategic context with remarkable fluency, never allowing yesterday's principles to constrain today's decisions (Grigg 1973, Vol. 1, pp. 340-360).</w:t>
      </w:r>
    </w:p>
    <w:p>
      <w:pPr>
        <w:spacing w:after="40" w:before="40"/>
        <w:jc w:val="left"/>
      </w:pPr>
      <w:r>
        <w:rPr>
          <w:rFonts w:ascii="Times New Roman" w:cs="Times New Roman" w:eastAsia="Times New Roman" w:hAnsi="Times New Roman"/>
          <w:b w:val="false"/>
          <w:bCs w:val="false"/>
          <w:i w:val="false"/>
          <w:iCs w:val="false"/>
          <w:sz w:val="24"/>
          <w:szCs w:val="24"/>
        </w:rPr>
        <w:t xml:space="preserve">Historian John Grigg's judgment remains the most balanced. He concluded that both men were "natural rulers, sharing an exalted self-confidence and unlimited ambition," and both were in many ways "adventurers and, on occasion, gamblers." Their most meaningful divergence was not in policy substance but in style, energy, and adaptability -- and in wartime, style proved decisive (Grigg, cited in History of Parliament, "David Lloyd George and Herbert Asquith: Liberals at War," August 2016).</w:t>
      </w:r>
    </w:p>
    <w:p>
      <w:pPr>
        <w:pStyle w:val="Heading1"/>
        <w:spacing w:after="120" w:before="360"/>
      </w:pPr>
      <w:r>
        <w:rPr>
          <w:rFonts w:ascii="Times New Roman" w:cs="Times New Roman" w:eastAsia="Times New Roman" w:hAnsi="Times New Roman"/>
          <w:b/>
          <w:bCs/>
          <w:sz w:val="28"/>
          <w:szCs w:val="28"/>
        </w:rPr>
        <w:t xml:space="preserve">Summary Table: Key Evidence Across Themes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Theme</w:t>
            </w:r>
          </w:p>
        </w:tc>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Asquith</w:t>
            </w:r>
          </w:p>
        </w:tc>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rFonts w:ascii="Times New Roman" w:cs="Times New Roman" w:eastAsia="Times New Roman" w:hAnsi="Times New Roman"/>
                <w:b/>
                <w:bCs/>
                <w:sz w:val="22"/>
                <w:szCs w:val="22"/>
              </w:rPr>
              <w:t xml:space="preserve">Lloyd George</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Liberal internationalism</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Invoked but subordinated to Entente commitments; private letters reveal strategic calculation before Belgium (Brock and Brock 1982)</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Abandoned pacifism within one week (July 27-August 3, 1914); most dramatic pivot in British political history (Gilbert 1985)</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International law</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Treaty of London as "obligation of honour" despite Cabinet knowing it was not legally binding; circumvented Declaration of London (Hull 2014)</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Seized on "scrap of paper" as moral rallying cry; maintained blockade 8 months after Armistice in violation of legal norms (Cundy 2015)</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Belgium and small nation sovereignty</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Public casus belli; private strategic calculation; Cabinet knew treaty created no binding obligation (Wilson 1985)</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Elaborated into full philosophy of "little nations"; publicly extended self-determination to Africa; privately blocked it for imperial possessions (MacMillan 2002)</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Naval blockade</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Authorized distant blockade; established legal circumvention framework (Hull 2014)</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Maintained blockade through July 1919; 750,000+ civilian deaths; "weapon of starvation" (Churchill 1919)</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Secret treaties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Government negotiated Sykes-Picot (1916) while publicly committed to Arab independence (Lieshout 2016)</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Expanded imperial claims: "we shall be there by conquest and shall remain"; maintained contradictions through mandate system (Fromkin 1989)</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Military force and alliances</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"Wait and see" -- cautious, temporising; allowed Grey and Churchill to set military policy (Newton 2014)</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Total war mobilization; preference for Eastern/peripheral strategy that enabled imperial expansion (Peden 2007)</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National interest vs. morality</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Maintained personal integrity while presiding over institutional deception; conflated morality with national interest (Jenkins 1964)</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Sacrificed party, friendships, and principles for victory; consistently adapted rhetoric to strategic context (Morgan 1971)</w:t>
            </w:r>
          </w:p>
        </w:tc>
      </w:tr>
      <w:tr>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Consistency of approach</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Consistently cautious -- to the point of paralysis; same method across all crises (Jenkins 1964)</w:t>
            </w:r>
          </w:p>
        </w:tc>
        <w:tc>
          <w:tcPr>
            <w:tcW w:type="dxa" w:w="3120"/>
            <w:tcBorders>
              <w:top w:val="single" w:color="CCCCCC" w:sz="1"/>
              <w:left w:val="single" w:color="CCCCCC" w:sz="1"/>
              <w:bottom w:val="single" w:color="CCCCCC" w:sz="1"/>
              <w:right w:val="single" w:color="CCCCCC" w:sz="1"/>
            </w:tcBorders>
          </w:tcPr>
          <w:p>
            <w:r>
              <w:rPr>
                <w:rFonts w:ascii="Times New Roman" w:cs="Times New Roman" w:eastAsia="Times New Roman" w:hAnsi="Times New Roman"/>
                <w:b w:val="false"/>
                <w:bCs w:val="false"/>
                <w:i w:val="false"/>
                <w:iCs w:val="false"/>
                <w:sz w:val="22"/>
                <w:szCs w:val="22"/>
              </w:rPr>
              <w:t xml:space="preserve">Consistently pragmatic -- principles yielded to perceived strategic interest at every turn; rhetoric adapted to context (Grigg 1973)</w:t>
            </w:r>
          </w:p>
        </w:tc>
      </w:tr>
    </w:tbl>
    <w:p>
      <w:pPr>
        <w:spacing w:after="0" w:before="0"/>
      </w:pPr>
      <w:r>
        <w:rPr>
          <w:rFonts w:ascii="Times New Roman" w:cs="Times New Roman" w:eastAsia="Times New Roman" w:hAnsi="Times New Roman"/>
          <w:sz w:val="12"/>
          <w:szCs w:val="12"/>
        </w:rPr>
        <w:t xml:space="preserve"/>
      </w:r>
    </w:p>
    <w:p>
      <w:pPr>
        <w:pStyle w:val="Heading1"/>
        <w:spacing w:after="120" w:before="360"/>
      </w:pPr>
      <w:r>
        <w:rPr>
          <w:rFonts w:ascii="Times New Roman" w:cs="Times New Roman" w:eastAsia="Times New Roman" w:hAnsi="Times New Roman"/>
          <w:b/>
          <w:bCs/>
          <w:sz w:val="28"/>
          <w:szCs w:val="28"/>
        </w:rPr>
        <w:t xml:space="preserve">Critical Tensions in the Record</w:t>
      </w:r>
    </w:p>
    <w:p>
      <w:pPr>
        <w:spacing w:after="40" w:before="40"/>
        <w:jc w:val="left"/>
      </w:pPr>
      <w:r>
        <w:rPr>
          <w:rFonts w:ascii="Times New Roman" w:cs="Times New Roman" w:eastAsia="Times New Roman" w:hAnsi="Times New Roman"/>
          <w:b w:val="false"/>
          <w:bCs w:val="false"/>
          <w:i w:val="false"/>
          <w:iCs w:val="false"/>
          <w:sz w:val="24"/>
          <w:szCs w:val="24"/>
        </w:rPr>
        <w:t xml:space="preserve">The historical record reveals two leaders navigating the same fundamental tension -- the gap between universal moral principles and national strategic interest -- but with opposite temperaments:</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Belgium as moral cause vs. strategic pretext.</w:t>
      </w:r>
      <w:r>
        <w:rPr>
          <w:rFonts w:ascii="Times New Roman" w:cs="Times New Roman" w:eastAsia="Times New Roman" w:hAnsi="Times New Roman"/>
          <w:b w:val="false"/>
          <w:bCs w:val="false"/>
          <w:i w:val="false"/>
          <w:iCs w:val="false"/>
          <w:sz w:val="24"/>
          <w:szCs w:val="24"/>
        </w:rPr>
        <w:t xml:space="preserve"> The scholarly consensus (Newton 2014, pp. 220-245; Wilson 1985, pp. 134-152; Clark 2012, pp. 532-555; Peden 2007, pp. 78-95) leans toward the view that Belgium was deployed instrumentally to resolve a Cabinet crisis and unite public opinion, while the real drivers were the Entente commitment to France and the balance-of-power calculation in north-west Europe. Yet the moral language was not entirely cynical -- both men genuinely believed that German hegemony would be a catastrophe for European civilization. The question is whether Belgium was the reason or the mechanism for intervention.</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Lloyd George's pacifism before 1914.</w:t>
      </w:r>
      <w:r>
        <w:rPr>
          <w:rFonts w:ascii="Times New Roman" w:cs="Times New Roman" w:eastAsia="Times New Roman" w:hAnsi="Times New Roman"/>
          <w:b w:val="false"/>
          <w:bCs w:val="false"/>
          <w:i w:val="false"/>
          <w:iCs w:val="false"/>
          <w:sz w:val="24"/>
          <w:szCs w:val="24"/>
        </w:rPr>
        <w:t xml:space="preserve"> Was it genuine conviction or political positioning? The evidence is mixed. His pacifist record on the Boer War was authentic. But his 1911 CID attendance meant he knew the military plans (Gilbert 1985, pp. 898-901; Grigg 1973, Vol. 1, pp. 310-325). Frances Stevenson privately believed he was "looking for a way" to support intervention. Ramsay MacDonald, after dining with Lloyd George on the eve of war, observed that "excuses were being searched for" (Gilbert 1985, p. 907). The most plausible interpretation is that Lloyd George was genuinely conflicted but fundamentally a nationalist who would not let Britain lose -- and Belgium provided the bridge between his peacetime identity and his wartime position. Gilbert (1985, p. 914) concludes that Lloyd George's position "is less clear now than it seemed to be half a century ago."</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The blockade as crime or necessity.</w:t>
      </w:r>
      <w:r>
        <w:rPr>
          <w:rFonts w:ascii="Times New Roman" w:cs="Times New Roman" w:eastAsia="Times New Roman" w:hAnsi="Times New Roman"/>
          <w:b w:val="false"/>
          <w:bCs w:val="false"/>
          <w:i w:val="false"/>
          <w:iCs w:val="false"/>
          <w:sz w:val="24"/>
          <w:szCs w:val="24"/>
        </w:rPr>
        <w:t xml:space="preserve"> The humanitarian toll (750,000+ civilian deaths, children starving at British garbage dumps) is not disputed (Cox 2019, pp. 42-55; Cundy 2015, pp. 87-132). The debate is whether this was an unavoidable consequence of industrialized warfare (the Marks/Glaser position) or a deliberate weapon against civilians (the Winter/Cundy position). Churchill's own frank terminology -- "weapon of starvation" (</w:t>
      </w:r>
      <w:r>
        <w:rPr>
          <w:rFonts w:ascii="Times New Roman" w:cs="Times New Roman" w:eastAsia="Times New Roman" w:hAnsi="Times New Roman"/>
          <w:b w:val="false"/>
          <w:bCs w:val="false"/>
          <w:i/>
          <w:iCs/>
          <w:sz w:val="24"/>
          <w:szCs w:val="24"/>
        </w:rPr>
        <w:t xml:space="preserve">Parliamentary Debates</w:t>
      </w:r>
      <w:r>
        <w:rPr>
          <w:rFonts w:ascii="Times New Roman" w:cs="Times New Roman" w:eastAsia="Times New Roman" w:hAnsi="Times New Roman"/>
          <w:b w:val="false"/>
          <w:bCs w:val="false"/>
          <w:i w:val="false"/>
          <w:iCs w:val="false"/>
          <w:sz w:val="24"/>
          <w:szCs w:val="24"/>
        </w:rPr>
        <w:t xml:space="preserve">, March 3, 1919) -- supports the latter interpretation. The post-armistice continuation (November 1918 to July 1919) is the most difficult to justify on any legal or moral framework. Hull (2014, pp. 183-216) analyzes how Britain systematically "broke and remade" international law to justify the expanding blockade.</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Self-determination as universal principle or imperial instrument.</w:t>
      </w:r>
      <w:r>
        <w:rPr>
          <w:rFonts w:ascii="Times New Roman" w:cs="Times New Roman" w:eastAsia="Times New Roman" w:hAnsi="Times New Roman"/>
          <w:b w:val="false"/>
          <w:bCs w:val="false"/>
          <w:i w:val="false"/>
          <w:iCs w:val="false"/>
          <w:sz w:val="24"/>
          <w:szCs w:val="24"/>
        </w:rPr>
        <w:t xml:space="preserve"> Lloyd George championed self-determination more loudly than Wilson at the Trade Union Congress (January 5, 1918) -- and violated it more systematically at the Paris Peace Conference (1919). The contradiction was not hypocrisy in the simple sense but a structural feature of liberal imperialism: universal principles were genuinely felt but applied only where they did not threaten the imperial system that underwrote British power (Mathew 2013, pp. 243-248; Lieshout 2016, pp. 210-228; MacMillan 2002, pp. 380-400).</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i w:val="false"/>
          <w:iCs w:val="false"/>
          <w:sz w:val="24"/>
          <w:szCs w:val="24"/>
        </w:rPr>
        <w:t xml:space="preserve">Asquith's responsibility.</w:t>
      </w:r>
      <w:r>
        <w:rPr>
          <w:rFonts w:ascii="Times New Roman" w:cs="Times New Roman" w:eastAsia="Times New Roman" w:hAnsi="Times New Roman"/>
          <w:b w:val="false"/>
          <w:bCs w:val="false"/>
          <w:i w:val="false"/>
          <w:iCs w:val="false"/>
          <w:sz w:val="24"/>
          <w:szCs w:val="24"/>
        </w:rPr>
        <w:t xml:space="preserve"> Newton's thesis (2014, pp. 180-260) that Asquith colluded in systematically deceiving Cabinet and Parliament is contested (Thompson, </w:t>
      </w:r>
      <w:r>
        <w:rPr>
          <w:rFonts w:ascii="Times New Roman" w:cs="Times New Roman" w:eastAsia="Times New Roman" w:hAnsi="Times New Roman"/>
          <w:b w:val="false"/>
          <w:bCs w:val="false"/>
          <w:i/>
          <w:iCs/>
          <w:sz w:val="24"/>
          <w:szCs w:val="24"/>
        </w:rPr>
        <w:t xml:space="preserve">Michigan War Studies Review</w:t>
      </w:r>
      <w:r>
        <w:rPr>
          <w:rFonts w:ascii="Times New Roman" w:cs="Times New Roman" w:eastAsia="Times New Roman" w:hAnsi="Times New Roman"/>
          <w:b w:val="false"/>
          <w:bCs w:val="false"/>
          <w:i w:val="false"/>
          <w:iCs w:val="false"/>
          <w:sz w:val="24"/>
          <w:szCs w:val="24"/>
        </w:rPr>
        <w:t xml:space="preserve">, 2015; Purdue, </w:t>
      </w:r>
      <w:r>
        <w:rPr>
          <w:rFonts w:ascii="Times New Roman" w:cs="Times New Roman" w:eastAsia="Times New Roman" w:hAnsi="Times New Roman"/>
          <w:b w:val="false"/>
          <w:bCs w:val="false"/>
          <w:i/>
          <w:iCs/>
          <w:sz w:val="24"/>
          <w:szCs w:val="24"/>
        </w:rPr>
        <w:t xml:space="preserve">Times Higher Education</w:t>
      </w:r>
      <w:r>
        <w:rPr>
          <w:rFonts w:ascii="Times New Roman" w:cs="Times New Roman" w:eastAsia="Times New Roman" w:hAnsi="Times New Roman"/>
          <w:b w:val="false"/>
          <w:bCs w:val="false"/>
          <w:i w:val="false"/>
          <w:iCs w:val="false"/>
          <w:sz w:val="24"/>
          <w:szCs w:val="24"/>
        </w:rPr>
        <w:t xml:space="preserve">, 2014). But even Newton's critics acknowledge that Asquith delegated foreign policy almost entirely to Grey, paid insufficient attention to the approach of war, and "lacked the resolution to overrule Grey" (Coombs, </w:t>
      </w:r>
      <w:r>
        <w:rPr>
          <w:rFonts w:ascii="Times New Roman" w:cs="Times New Roman" w:eastAsia="Times New Roman" w:hAnsi="Times New Roman"/>
          <w:b w:val="false"/>
          <w:bCs w:val="false"/>
          <w:i/>
          <w:iCs/>
          <w:sz w:val="24"/>
          <w:szCs w:val="24"/>
        </w:rPr>
        <w:t xml:space="preserve">Prospect</w:t>
      </w:r>
      <w:r>
        <w:rPr>
          <w:rFonts w:ascii="Times New Roman" w:cs="Times New Roman" w:eastAsia="Times New Roman" w:hAnsi="Times New Roman"/>
          <w:b w:val="false"/>
          <w:bCs w:val="false"/>
          <w:i w:val="false"/>
          <w:iCs w:val="false"/>
          <w:sz w:val="24"/>
          <w:szCs w:val="24"/>
        </w:rPr>
        <w:t xml:space="preserve">, 1998; Jenkins 1964, pp. 340-365). The question is whether this was culpable negligence or the ordinary functioning of Cabinet government under a prime minister who saw his role as chairman rather than chief executive.</w:t>
      </w:r>
    </w:p>
    <w:p>
      <w:pPr>
        <w:spacing w:after="20" w:before="20"/>
        <w:ind w:left="720" w:right="0"/>
        <w:jc w:val="left"/>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bCs/>
          <w:i w:val="false"/>
          <w:iCs w:val="false"/>
          <w:sz w:val="24"/>
          <w:szCs w:val="24"/>
        </w:rPr>
        <w:t xml:space="preserve">Lloyd George's Chanak policy as instructive failure.</w:t>
      </w:r>
      <w:r>
        <w:rPr>
          <w:rFonts w:ascii="Times New Roman" w:cs="Times New Roman" w:eastAsia="Times New Roman" w:hAnsi="Times New Roman"/>
          <w:b w:val="false"/>
          <w:bCs w:val="false"/>
          <w:i w:val="false"/>
          <w:iCs w:val="false"/>
          <w:sz w:val="24"/>
          <w:szCs w:val="24"/>
        </w:rPr>
        <w:t xml:space="preserve"> The Greek-Turkish crisis reveals the danger when personal conviction (philhellenism, anti-Turkish sentiment) overrides institutional checks (War Office, Colonial Office, India Office, Churchill's consistent opposition). Churchill described having "consistently opposed my friend the Prime Minister upon this issue" for three years (Churchill 1929, pp. 380-420). The collapse of the policy demonstrates that Lloyd George's pragmatism had limits -- when ideology and strategy diverged, he followed ideology, with disastrous results. </w:t>
      </w:r>
      <w:r>
        <w:rPr>
          <w:rFonts w:ascii="Times New Roman" w:cs="Times New Roman" w:eastAsia="Times New Roman" w:hAnsi="Times New Roman"/>
          <w:b w:val="false"/>
          <w:bCs w:val="false"/>
          <w:i/>
          <w:iCs/>
          <w:sz w:val="24"/>
          <w:szCs w:val="24"/>
        </w:rPr>
        <w:t xml:space="preserve">Time</w:t>
      </w:r>
      <w:r>
        <w:rPr>
          <w:rFonts w:ascii="Times New Roman" w:cs="Times New Roman" w:eastAsia="Times New Roman" w:hAnsi="Times New Roman"/>
          <w:b w:val="false"/>
          <w:bCs w:val="false"/>
          <w:i w:val="false"/>
          <w:iCs w:val="false"/>
          <w:sz w:val="24"/>
          <w:szCs w:val="24"/>
        </w:rPr>
        <w:t xml:space="preserve"> magazine's contemporary assessment of the Treaty of Lausanne as "the first conspicuous failure of British diplomacy in more than a century" captures the verdict.</w:t>
      </w:r>
    </w:p>
    <w:p>
      <w:pPr>
        <w:pStyle w:val="Heading1"/>
        <w:spacing w:after="120" w:before="360"/>
      </w:pPr>
      <w:r>
        <w:rPr>
          <w:rFonts w:ascii="Times New Roman" w:cs="Times New Roman" w:eastAsia="Times New Roman" w:hAnsi="Times New Roman"/>
          <w:b/>
          <w:bCs/>
          <w:sz w:val="28"/>
          <w:szCs w:val="28"/>
        </w:rPr>
        <w:t xml:space="preserve">Key Primary and Secondary Sources</w:t>
      </w:r>
    </w:p>
    <w:p>
      <w:pPr>
        <w:pStyle w:val="Heading2"/>
        <w:spacing w:after="80" w:before="240"/>
      </w:pPr>
      <w:r>
        <w:rPr>
          <w:rFonts w:ascii="Times New Roman" w:cs="Times New Roman" w:eastAsia="Times New Roman" w:hAnsi="Times New Roman"/>
          <w:b/>
          <w:bCs/>
          <w:sz w:val="28"/>
          <w:szCs w:val="28"/>
        </w:rPr>
        <w:t xml:space="preserve">Primary Documentary Sources: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Asquith, H.H. Letters to Venetia Stanley, 1914-1915. Bodleian Library, Oxford. [Essential private correspondence revealing Asquith's strategic calculations during the July Crisis; published with scholarly annotation in Michael Brock and Eleanor Brock (eds.), </w:t>
      </w:r>
      <w:r>
        <w:rPr>
          <w:rFonts w:ascii="Times New Roman" w:cs="Times New Roman" w:eastAsia="Times New Roman" w:hAnsi="Times New Roman"/>
          <w:b w:val="false"/>
          <w:bCs w:val="false"/>
          <w:i/>
          <w:iCs/>
          <w:sz w:val="24"/>
          <w:szCs w:val="24"/>
        </w:rPr>
        <w:t xml:space="preserve">H.H. Asquith: Letters to Venetia Stanley</w:t>
      </w:r>
      <w:r>
        <w:rPr>
          <w:rFonts w:ascii="Times New Roman" w:cs="Times New Roman" w:eastAsia="Times New Roman" w:hAnsi="Times New Roman"/>
          <w:b w:val="false"/>
          <w:bCs w:val="false"/>
          <w:i w:val="false"/>
          <w:iCs w:val="false"/>
          <w:sz w:val="24"/>
          <w:szCs w:val="24"/>
        </w:rPr>
        <w:t xml:space="preserve">, Oxford University Press, 1982]</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Hansard, </w:t>
      </w:r>
      <w:r>
        <w:rPr>
          <w:rFonts w:ascii="Times New Roman" w:cs="Times New Roman" w:eastAsia="Times New Roman" w:hAnsi="Times New Roman"/>
          <w:b w:val="false"/>
          <w:bCs w:val="false"/>
          <w:i/>
          <w:iCs/>
          <w:sz w:val="24"/>
          <w:szCs w:val="24"/>
        </w:rPr>
        <w:t xml:space="preserve">Parliamentary Debates, House of Commons</w:t>
      </w:r>
      <w:r>
        <w:rPr>
          <w:rFonts w:ascii="Times New Roman" w:cs="Times New Roman" w:eastAsia="Times New Roman" w:hAnsi="Times New Roman"/>
          <w:b w:val="false"/>
          <w:bCs w:val="false"/>
          <w:i w:val="false"/>
          <w:iCs w:val="false"/>
          <w:sz w:val="24"/>
          <w:szCs w:val="24"/>
        </w:rPr>
        <w:t xml:space="preserve">, 5th Series, Vols. 65-113 (1914-1919). [Official verbatim record of parliamentary proceedings; contains Asquith's August 6, 1914 statement on the Belgian obligation, Churchill's March 3, 1919 "weapon of starvation" speech, and Lloyd George's December 19, 1916 succession speech]</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Lloyd George, David. Queen's Hall Speech, September 19, 1914. [Full text preserved at gwpda.org/1914/lloydgeorge_honour_1914.html; the single most important public statement of British war aims and the moral case for intervention]</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Lloyd George, David. Trade Union Congress Speech, January 5, 1918. [Public statement of war aims declaring self-determination for "native tribes of Africa"; preserved in contemporary newspaper reports]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Lloyd George Papers (Collection LG). Parliamentary Archives, House of Lords, London. [Includes the April 1917 Bertie memorandum recording "We shall be there by conquest and shall remain"]</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Cabinet Papers (CAB 23, CAB 37, CAB 41). The National Archives, Kew. [Official Cabinet minutes and memoranda for the Asquith and Lloyd George premierships]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Foreign Office Papers (FO 371, FO 800). The National Archives, Kew. [Diplomatic correspondence including the Grey Papers and records of the Sykes-Picot negotiations]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Grey, Sir Edward. </w:t>
      </w:r>
      <w:r>
        <w:rPr>
          <w:rFonts w:ascii="Times New Roman" w:cs="Times New Roman" w:eastAsia="Times New Roman" w:hAnsi="Times New Roman"/>
          <w:b w:val="false"/>
          <w:bCs w:val="false"/>
          <w:i/>
          <w:iCs/>
          <w:sz w:val="24"/>
          <w:szCs w:val="24"/>
        </w:rPr>
        <w:t xml:space="preserve">Twenty-Five Years, 1892-1916</w:t>
      </w:r>
      <w:r>
        <w:rPr>
          <w:rFonts w:ascii="Times New Roman" w:cs="Times New Roman" w:eastAsia="Times New Roman" w:hAnsi="Times New Roman"/>
          <w:b w:val="false"/>
          <w:bCs w:val="false"/>
          <w:i w:val="false"/>
          <w:iCs w:val="false"/>
          <w:sz w:val="24"/>
          <w:szCs w:val="24"/>
        </w:rPr>
        <w:t xml:space="preserve">. 2 vols. London: Hodder and Stoughton, 1925. [Grey's retrospective account of his foreign policy, including the July Crisis; must be read critically against Foreign Office documents]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Churchill, Winston S. </w:t>
      </w:r>
      <w:r>
        <w:rPr>
          <w:rFonts w:ascii="Times New Roman" w:cs="Times New Roman" w:eastAsia="Times New Roman" w:hAnsi="Times New Roman"/>
          <w:b w:val="false"/>
          <w:bCs w:val="false"/>
          <w:i/>
          <w:iCs/>
          <w:sz w:val="24"/>
          <w:szCs w:val="24"/>
        </w:rPr>
        <w:t xml:space="preserve">The World Crisis</w:t>
      </w:r>
      <w:r>
        <w:rPr>
          <w:rFonts w:ascii="Times New Roman" w:cs="Times New Roman" w:eastAsia="Times New Roman" w:hAnsi="Times New Roman"/>
          <w:b w:val="false"/>
          <w:bCs w:val="false"/>
          <w:i w:val="false"/>
          <w:iCs w:val="false"/>
          <w:sz w:val="24"/>
          <w:szCs w:val="24"/>
        </w:rPr>
        <w:t xml:space="preserve">. 5 vols. London: Thornton Butterworth, 1923-1931. [Churchill's account of the naval and military dimensions of the war]</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Churchill, Winston S. </w:t>
      </w:r>
      <w:r>
        <w:rPr>
          <w:rFonts w:ascii="Times New Roman" w:cs="Times New Roman" w:eastAsia="Times New Roman" w:hAnsi="Times New Roman"/>
          <w:b w:val="false"/>
          <w:bCs w:val="false"/>
          <w:i/>
          <w:iCs/>
          <w:sz w:val="24"/>
          <w:szCs w:val="24"/>
        </w:rPr>
        <w:t xml:space="preserve">The Aftermath</w:t>
      </w:r>
      <w:r>
        <w:rPr>
          <w:rFonts w:ascii="Times New Roman" w:cs="Times New Roman" w:eastAsia="Times New Roman" w:hAnsi="Times New Roman"/>
          <w:b w:val="false"/>
          <w:bCs w:val="false"/>
          <w:i w:val="false"/>
          <w:iCs w:val="false"/>
          <w:sz w:val="24"/>
          <w:szCs w:val="24"/>
        </w:rPr>
        <w:t xml:space="preserve">. London: Thornton Butterworth, 1929. [Contains Churchill's account of the Chanak Crisis and his opposition to Lloyd George's Greek policy]</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Churchill, Winston S. </w:t>
      </w:r>
      <w:r>
        <w:rPr>
          <w:rFonts w:ascii="Times New Roman" w:cs="Times New Roman" w:eastAsia="Times New Roman" w:hAnsi="Times New Roman"/>
          <w:b w:val="false"/>
          <w:bCs w:val="false"/>
          <w:i/>
          <w:iCs/>
          <w:sz w:val="24"/>
          <w:szCs w:val="24"/>
        </w:rPr>
        <w:t xml:space="preserve">Great Contemporaries</w:t>
      </w:r>
      <w:r>
        <w:rPr>
          <w:rFonts w:ascii="Times New Roman" w:cs="Times New Roman" w:eastAsia="Times New Roman" w:hAnsi="Times New Roman"/>
          <w:b w:val="false"/>
          <w:bCs w:val="false"/>
          <w:i w:val="false"/>
          <w:iCs w:val="false"/>
          <w:sz w:val="24"/>
          <w:szCs w:val="24"/>
        </w:rPr>
        <w:t xml:space="preserve">. London: Thornton Butterworth, 1937. [Contains the character assessment of Asquith cited in this document]</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The Bryce Commission Report on Alleged German Atrocities in Belgium, 1915. [Wartime propaganda document; contains both verified and exaggerated claims; significant for understanding the mobilization of Belgian sovereignty as a moral cause]</w:t>
      </w:r>
    </w:p>
    <w:p>
      <w:pPr>
        <w:pStyle w:val="Heading2"/>
        <w:spacing w:after="80" w:before="240"/>
      </w:pPr>
      <w:r>
        <w:rPr>
          <w:rFonts w:ascii="Times New Roman" w:cs="Times New Roman" w:eastAsia="Times New Roman" w:hAnsi="Times New Roman"/>
          <w:b/>
          <w:bCs/>
          <w:sz w:val="28"/>
          <w:szCs w:val="28"/>
        </w:rPr>
        <w:t xml:space="preserve">Secondary Scholarly Works: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Barros, Andrew. "Doing the Necessary: The Declaration of London and British Strategy, 1905-1915," in </w:t>
      </w:r>
      <w:r>
        <w:rPr>
          <w:rFonts w:ascii="Times New Roman" w:cs="Times New Roman" w:eastAsia="Times New Roman" w:hAnsi="Times New Roman"/>
          <w:b w:val="false"/>
          <w:bCs w:val="false"/>
          <w:i/>
          <w:iCs/>
          <w:sz w:val="24"/>
          <w:szCs w:val="24"/>
        </w:rPr>
        <w:t xml:space="preserve">The Civilianization of War</w:t>
      </w:r>
      <w:r>
        <w:rPr>
          <w:rFonts w:ascii="Times New Roman" w:cs="Times New Roman" w:eastAsia="Times New Roman" w:hAnsi="Times New Roman"/>
          <w:b w:val="false"/>
          <w:bCs w:val="false"/>
          <w:i w:val="false"/>
          <w:iCs w:val="false"/>
          <w:sz w:val="24"/>
          <w:szCs w:val="24"/>
        </w:rPr>
        <w:t xml:space="preserve"> (Cambridge University Press, 2018), pp. 75-105 [Analyzes the paradoxical relationship between international law and military strategy]</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Cox, Mary Elisabeth. </w:t>
      </w:r>
      <w:r>
        <w:rPr>
          <w:rFonts w:ascii="Times New Roman" w:cs="Times New Roman" w:eastAsia="Times New Roman" w:hAnsi="Times New Roman"/>
          <w:b w:val="false"/>
          <w:bCs w:val="false"/>
          <w:i/>
          <w:iCs/>
          <w:sz w:val="24"/>
          <w:szCs w:val="24"/>
        </w:rPr>
        <w:t xml:space="preserve">Hunger in War and Peace: Women and Children in Germany, 1914-1924</w:t>
      </w:r>
      <w:r>
        <w:rPr>
          <w:rFonts w:ascii="Times New Roman" w:cs="Times New Roman" w:eastAsia="Times New Roman" w:hAnsi="Times New Roman"/>
          <w:b w:val="false"/>
          <w:bCs w:val="false"/>
          <w:i w:val="false"/>
          <w:iCs w:val="false"/>
          <w:sz w:val="24"/>
          <w:szCs w:val="24"/>
        </w:rPr>
        <w:t xml:space="preserve"> (Oxford University Press, 2019) [The most comprehensive anthropometric study of the blockade's humanitarian impact; Chapters 3-5 essential for the death toll data]</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Cundy, Alyssa. </w:t>
      </w:r>
      <w:r>
        <w:rPr>
          <w:rFonts w:ascii="Times New Roman" w:cs="Times New Roman" w:eastAsia="Times New Roman" w:hAnsi="Times New Roman"/>
          <w:b w:val="false"/>
          <w:bCs w:val="false"/>
          <w:i/>
          <w:iCs/>
          <w:sz w:val="24"/>
          <w:szCs w:val="24"/>
        </w:rPr>
        <w:t xml:space="preserve">"A 'Weapon of Starvation': The Politics, Propaganda, and Morality of Britain's Hunger Blockade of Germany, 1914-1919"</w:t>
      </w:r>
      <w:r>
        <w:rPr>
          <w:rFonts w:ascii="Times New Roman" w:cs="Times New Roman" w:eastAsia="Times New Roman" w:hAnsi="Times New Roman"/>
          <w:b w:val="false"/>
          <w:bCs w:val="false"/>
          <w:i w:val="false"/>
          <w:iCs w:val="false"/>
          <w:sz w:val="24"/>
          <w:szCs w:val="24"/>
        </w:rPr>
        <w:t xml:space="preserve"> (PhD dissertation, Wilfrid Laurier University, 2015) [Documents the decades-long delay in publication of British blockade mortality data]</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Fromkin, David. </w:t>
      </w:r>
      <w:r>
        <w:rPr>
          <w:rFonts w:ascii="Times New Roman" w:cs="Times New Roman" w:eastAsia="Times New Roman" w:hAnsi="Times New Roman"/>
          <w:b w:val="false"/>
          <w:bCs w:val="false"/>
          <w:i/>
          <w:iCs/>
          <w:sz w:val="24"/>
          <w:szCs w:val="24"/>
        </w:rPr>
        <w:t xml:space="preserve">A Peace to End All Peace: The Fall of the Ottoman Empire and the Creation of the Modern Middle East</w:t>
      </w:r>
      <w:r>
        <w:rPr>
          <w:rFonts w:ascii="Times New Roman" w:cs="Times New Roman" w:eastAsia="Times New Roman" w:hAnsi="Times New Roman"/>
          <w:b w:val="false"/>
          <w:bCs w:val="false"/>
          <w:i w:val="false"/>
          <w:iCs w:val="false"/>
          <w:sz w:val="24"/>
          <w:szCs w:val="24"/>
        </w:rPr>
        <w:t xml:space="preserve"> (Henry Holt, 1989) [Standard survey of the post-Ottoman settlement; essential for Sykes-Picot context]</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Gilbert, Bentley B. "Pacifist to Interventionist: David Lloyd George in 1911 and 1914. Was Belgium an Issue?" </w:t>
      </w:r>
      <w:r>
        <w:rPr>
          <w:rFonts w:ascii="Times New Roman" w:cs="Times New Roman" w:eastAsia="Times New Roman" w:hAnsi="Times New Roman"/>
          <w:b w:val="false"/>
          <w:bCs w:val="false"/>
          <w:i/>
          <w:iCs/>
          <w:sz w:val="24"/>
          <w:szCs w:val="24"/>
        </w:rPr>
        <w:t xml:space="preserve">The Historical Journal</w:t>
      </w:r>
      <w:r>
        <w:rPr>
          <w:rFonts w:ascii="Times New Roman" w:cs="Times New Roman" w:eastAsia="Times New Roman" w:hAnsi="Times New Roman"/>
          <w:b w:val="false"/>
          <w:bCs w:val="false"/>
          <w:i w:val="false"/>
          <w:iCs w:val="false"/>
          <w:sz w:val="24"/>
          <w:szCs w:val="24"/>
        </w:rPr>
        <w:t xml:space="preserve">, Vol. 28, No. 4 (1985), pp. 895-914 [The foundational study of Lloyd George's July 1914 conversion; the single most important article for understanding the pacifist-to-interventionist pivot]</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Grigg, John. </w:t>
      </w:r>
      <w:r>
        <w:rPr>
          <w:rFonts w:ascii="Times New Roman" w:cs="Times New Roman" w:eastAsia="Times New Roman" w:hAnsi="Times New Roman"/>
          <w:b w:val="false"/>
          <w:bCs w:val="false"/>
          <w:i/>
          <w:iCs/>
          <w:sz w:val="24"/>
          <w:szCs w:val="24"/>
        </w:rPr>
        <w:t xml:space="preserve">Lloyd George</w:t>
      </w:r>
      <w:r>
        <w:rPr>
          <w:rFonts w:ascii="Times New Roman" w:cs="Times New Roman" w:eastAsia="Times New Roman" w:hAnsi="Times New Roman"/>
          <w:b w:val="false"/>
          <w:bCs w:val="false"/>
          <w:i w:val="false"/>
          <w:iCs w:val="false"/>
          <w:sz w:val="24"/>
          <w:szCs w:val="24"/>
        </w:rPr>
        <w:t xml:space="preserve"> (multi-volume biography, 1973-2002) [The most authoritative biography of Lloyd George; essential for the argument that the Asquith-Lloyd George split was stylistic, not ideological; Vol. 1 (1973) covers 1863-1914, Vol. 2 covers 1914-1916]</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Hull, Isabel V. </w:t>
      </w:r>
      <w:r>
        <w:rPr>
          <w:rFonts w:ascii="Times New Roman" w:cs="Times New Roman" w:eastAsia="Times New Roman" w:hAnsi="Times New Roman"/>
          <w:b w:val="false"/>
          <w:bCs w:val="false"/>
          <w:i/>
          <w:iCs/>
          <w:sz w:val="24"/>
          <w:szCs w:val="24"/>
        </w:rPr>
        <w:t xml:space="preserve">A Scrap of Paper: Breaking and Making International Law During the Great War</w:t>
      </w:r>
      <w:r>
        <w:rPr>
          <w:rFonts w:ascii="Times New Roman" w:cs="Times New Roman" w:eastAsia="Times New Roman" w:hAnsi="Times New Roman"/>
          <w:b w:val="false"/>
          <w:bCs w:val="false"/>
          <w:i w:val="false"/>
          <w:iCs w:val="false"/>
          <w:sz w:val="24"/>
          <w:szCs w:val="24"/>
        </w:rPr>
        <w:t xml:space="preserve"> (Cornell University Press, 2014) [The first comprehensive study of WWI international law since 1920; Chapters 5-6 (pp. 141-216) cover the British blockade]</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Jenkins, Roy. </w:t>
      </w:r>
      <w:r>
        <w:rPr>
          <w:rFonts w:ascii="Times New Roman" w:cs="Times New Roman" w:eastAsia="Times New Roman" w:hAnsi="Times New Roman"/>
          <w:b w:val="false"/>
          <w:bCs w:val="false"/>
          <w:i/>
          <w:iCs/>
          <w:sz w:val="24"/>
          <w:szCs w:val="24"/>
        </w:rPr>
        <w:t xml:space="preserve">Asquith</w:t>
      </w:r>
      <w:r>
        <w:rPr>
          <w:rFonts w:ascii="Times New Roman" w:cs="Times New Roman" w:eastAsia="Times New Roman" w:hAnsi="Times New Roman"/>
          <w:b w:val="false"/>
          <w:bCs w:val="false"/>
          <w:i w:val="false"/>
          <w:iCs w:val="false"/>
          <w:sz w:val="24"/>
          <w:szCs w:val="24"/>
        </w:rPr>
        <w:t xml:space="preserve"> (Collins, 1964) [Standard biography; Chapters 18-22 (pp. 340-420) cover the war premiership and the December 1916 fall]</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Lieshout, Robert H. </w:t>
      </w:r>
      <w:r>
        <w:rPr>
          <w:rFonts w:ascii="Times New Roman" w:cs="Times New Roman" w:eastAsia="Times New Roman" w:hAnsi="Times New Roman"/>
          <w:b w:val="false"/>
          <w:bCs w:val="false"/>
          <w:i/>
          <w:iCs/>
          <w:sz w:val="24"/>
          <w:szCs w:val="24"/>
        </w:rPr>
        <w:t xml:space="preserve">Britain and the Arab Middle East: World War I and its Aftermath</w:t>
      </w:r>
      <w:r>
        <w:rPr>
          <w:rFonts w:ascii="Times New Roman" w:cs="Times New Roman" w:eastAsia="Times New Roman" w:hAnsi="Times New Roman"/>
          <w:b w:val="false"/>
          <w:bCs w:val="false"/>
          <w:i w:val="false"/>
          <w:iCs w:val="false"/>
          <w:sz w:val="24"/>
          <w:szCs w:val="24"/>
        </w:rPr>
        <w:t xml:space="preserve"> (I.B. Tauris, 2016) [Documents the conflicting departmental origins of the tripartite contradiction in British Middle Eastern commitments]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Lloyd George, David. </w:t>
      </w:r>
      <w:r>
        <w:rPr>
          <w:rFonts w:ascii="Times New Roman" w:cs="Times New Roman" w:eastAsia="Times New Roman" w:hAnsi="Times New Roman"/>
          <w:b w:val="false"/>
          <w:bCs w:val="false"/>
          <w:i/>
          <w:iCs/>
          <w:sz w:val="24"/>
          <w:szCs w:val="24"/>
        </w:rPr>
        <w:t xml:space="preserve">War Memoirs</w:t>
      </w:r>
      <w:r>
        <w:rPr>
          <w:rFonts w:ascii="Times New Roman" w:cs="Times New Roman" w:eastAsia="Times New Roman" w:hAnsi="Times New Roman"/>
          <w:b w:val="false"/>
          <w:bCs w:val="false"/>
          <w:i w:val="false"/>
          <w:iCs w:val="false"/>
          <w:sz w:val="24"/>
          <w:szCs w:val="24"/>
        </w:rPr>
        <w:t xml:space="preserve"> (6 vols., 1933-1936) [Essential primary source but must be used critically; Lloyd George's self-presentation does not always align with contemporary documentary evidence]</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MacMillan, Margaret. </w:t>
      </w:r>
      <w:r>
        <w:rPr>
          <w:rFonts w:ascii="Times New Roman" w:cs="Times New Roman" w:eastAsia="Times New Roman" w:hAnsi="Times New Roman"/>
          <w:b w:val="false"/>
          <w:bCs w:val="false"/>
          <w:i/>
          <w:iCs/>
          <w:sz w:val="24"/>
          <w:szCs w:val="24"/>
        </w:rPr>
        <w:t xml:space="preserve">Paris 1919: Six Months That Changed the World</w:t>
      </w:r>
      <w:r>
        <w:rPr>
          <w:rFonts w:ascii="Times New Roman" w:cs="Times New Roman" w:eastAsia="Times New Roman" w:hAnsi="Times New Roman"/>
          <w:b w:val="false"/>
          <w:bCs w:val="false"/>
          <w:i w:val="false"/>
          <w:iCs w:val="false"/>
          <w:sz w:val="24"/>
          <w:szCs w:val="24"/>
        </w:rPr>
        <w:t xml:space="preserve"> (Random House, 2002) [Standard account of the Paris Peace Conference; records Lloyd George's prescient Versailles warning and the self-determination debates]</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Mathew, William M. "The Balfour Declaration and the Palestine Mandate, 1917-1923: British Imperialist Imperatives," </w:t>
      </w:r>
      <w:r>
        <w:rPr>
          <w:rFonts w:ascii="Times New Roman" w:cs="Times New Roman" w:eastAsia="Times New Roman" w:hAnsi="Times New Roman"/>
          <w:b w:val="false"/>
          <w:bCs w:val="false"/>
          <w:i/>
          <w:iCs/>
          <w:sz w:val="24"/>
          <w:szCs w:val="24"/>
        </w:rPr>
        <w:t xml:space="preserve">British Journal of Middle Eastern Studies</w:t>
      </w:r>
      <w:r>
        <w:rPr>
          <w:rFonts w:ascii="Times New Roman" w:cs="Times New Roman" w:eastAsia="Times New Roman" w:hAnsi="Times New Roman"/>
          <w:b w:val="false"/>
          <w:bCs w:val="false"/>
          <w:i w:val="false"/>
          <w:iCs w:val="false"/>
          <w:sz w:val="24"/>
          <w:szCs w:val="24"/>
        </w:rPr>
        <w:t xml:space="preserve">, Vol. 40, No. 3 (2013), pp. 231-250 [Characterizes British Palestine policy as "intrinsically delusional"]</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Mazza, R. "The Last Crusade and The First Zionists: Religion, Empire, and the Making of Modern Palestine," </w:t>
      </w:r>
      <w:r>
        <w:rPr>
          <w:rFonts w:ascii="Times New Roman" w:cs="Times New Roman" w:eastAsia="Times New Roman" w:hAnsi="Times New Roman"/>
          <w:b w:val="false"/>
          <w:bCs w:val="false"/>
          <w:i/>
          <w:iCs/>
          <w:sz w:val="24"/>
          <w:szCs w:val="24"/>
        </w:rPr>
        <w:t xml:space="preserve">Bulletin of Palestine Studies</w:t>
      </w:r>
      <w:r>
        <w:rPr>
          <w:rFonts w:ascii="Times New Roman" w:cs="Times New Roman" w:eastAsia="Times New Roman" w:hAnsi="Times New Roman"/>
          <w:b w:val="false"/>
          <w:bCs w:val="false"/>
          <w:i w:val="false"/>
          <w:iCs w:val="false"/>
          <w:sz w:val="24"/>
          <w:szCs w:val="24"/>
        </w:rPr>
        <w:t xml:space="preserve"> (2025) [Documents Lloyd George's Christian Zionist framing and crusading rhetoric]</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Morgan, Kenneth O. </w:t>
      </w:r>
      <w:r>
        <w:rPr>
          <w:rFonts w:ascii="Times New Roman" w:cs="Times New Roman" w:eastAsia="Times New Roman" w:hAnsi="Times New Roman"/>
          <w:b w:val="false"/>
          <w:bCs w:val="false"/>
          <w:i/>
          <w:iCs/>
          <w:sz w:val="24"/>
          <w:szCs w:val="24"/>
        </w:rPr>
        <w:t xml:space="preserve">The Age of Lloyd George</w:t>
      </w:r>
      <w:r>
        <w:rPr>
          <w:rFonts w:ascii="Times New Roman" w:cs="Times New Roman" w:eastAsia="Times New Roman" w:hAnsi="Times New Roman"/>
          <w:b w:val="false"/>
          <w:bCs w:val="false"/>
          <w:i w:val="false"/>
          <w:iCs w:val="false"/>
          <w:sz w:val="24"/>
          <w:szCs w:val="24"/>
        </w:rPr>
        <w:t xml:space="preserve"> (Allen &amp; Unwin, 1971) [Standard survey of the Lloyd George premiership and its impact on the Liberal Party]</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Newton, Douglas. </w:t>
      </w:r>
      <w:r>
        <w:rPr>
          <w:rFonts w:ascii="Times New Roman" w:cs="Times New Roman" w:eastAsia="Times New Roman" w:hAnsi="Times New Roman"/>
          <w:b w:val="false"/>
          <w:bCs w:val="false"/>
          <w:i/>
          <w:iCs/>
          <w:sz w:val="24"/>
          <w:szCs w:val="24"/>
        </w:rPr>
        <w:t xml:space="preserve">The Darkest Days: The Truth Behind Britain's Rush to War, 1914</w:t>
      </w:r>
      <w:r>
        <w:rPr>
          <w:rFonts w:ascii="Times New Roman" w:cs="Times New Roman" w:eastAsia="Times New Roman" w:hAnsi="Times New Roman"/>
          <w:b w:val="false"/>
          <w:bCs w:val="false"/>
          <w:i w:val="false"/>
          <w:iCs w:val="false"/>
          <w:sz w:val="24"/>
          <w:szCs w:val="24"/>
        </w:rPr>
        <w:t xml:space="preserve"> (Verso, 2014) [The major revisionist account of British entry; documents Cabinet manipulation, the undemocratic declaration of war, and the White Paper's doctored diplomatic correspondence]</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Peden, G.C. </w:t>
      </w:r>
      <w:r>
        <w:rPr>
          <w:rFonts w:ascii="Times New Roman" w:cs="Times New Roman" w:eastAsia="Times New Roman" w:hAnsi="Times New Roman"/>
          <w:b w:val="false"/>
          <w:bCs w:val="false"/>
          <w:i/>
          <w:iCs/>
          <w:sz w:val="24"/>
          <w:szCs w:val="24"/>
        </w:rPr>
        <w:t xml:space="preserve">Arms, Economics and British Strategy: From Dreadnoughts to Hydrogen Bombs</w:t>
      </w:r>
      <w:r>
        <w:rPr>
          <w:rFonts w:ascii="Times New Roman" w:cs="Times New Roman" w:eastAsia="Times New Roman" w:hAnsi="Times New Roman"/>
          <w:b w:val="false"/>
          <w:bCs w:val="false"/>
          <w:i w:val="false"/>
          <w:iCs w:val="false"/>
          <w:sz w:val="24"/>
          <w:szCs w:val="24"/>
        </w:rPr>
        <w:t xml:space="preserve"> (Cambridge University Press, 2007) [Chapter 2 covers the Entente military planning and the Liberal war aims, including the regime-change objective]</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Wilson, K.M. </w:t>
      </w:r>
      <w:r>
        <w:rPr>
          <w:rFonts w:ascii="Times New Roman" w:cs="Times New Roman" w:eastAsia="Times New Roman" w:hAnsi="Times New Roman"/>
          <w:b w:val="false"/>
          <w:bCs w:val="false"/>
          <w:i/>
          <w:iCs/>
          <w:sz w:val="24"/>
          <w:szCs w:val="24"/>
        </w:rPr>
        <w:t xml:space="preserve">The Policy of the Entente: Essays on the Determinants of British Foreign Policy, 1904-1914</w:t>
      </w:r>
      <w:r>
        <w:rPr>
          <w:rFonts w:ascii="Times New Roman" w:cs="Times New Roman" w:eastAsia="Times New Roman" w:hAnsi="Times New Roman"/>
          <w:b w:val="false"/>
          <w:bCs w:val="false"/>
          <w:i w:val="false"/>
          <w:iCs w:val="false"/>
          <w:sz w:val="24"/>
          <w:szCs w:val="24"/>
        </w:rPr>
        <w:t xml:space="preserve"> (Cambridge University Press, 1985) [Argues Belgian neutrality was "deliberately fostered after the war began" as moral justification]</w:t>
      </w:r>
    </w:p>
    <w:p>
      <w:pPr>
        <w:spacing w:after="20" w:before="20"/>
        <w:ind w:left="360" w:right="0"/>
        <w:jc w:val="left"/>
      </w:pPr>
      <w:r>
        <w:rPr>
          <w:rFonts w:ascii="Times New Roman" w:cs="Times New Roman" w:eastAsia="Times New Roman" w:hAnsi="Times New Roman"/>
          <w:b w:val="false"/>
          <w:bCs w:val="false"/>
          <w:i w:val="false"/>
          <w:iCs w:val="false"/>
          <w:sz w:val="24"/>
          <w:szCs w:val="24"/>
        </w:rPr>
        <w:t xml:space="preserve">Young, John W. "Emotions and the British Government's Decision for War in 1914," </w:t>
      </w:r>
      <w:r>
        <w:rPr>
          <w:rFonts w:ascii="Times New Roman" w:cs="Times New Roman" w:eastAsia="Times New Roman" w:hAnsi="Times New Roman"/>
          <w:b w:val="false"/>
          <w:bCs w:val="false"/>
          <w:i/>
          <w:iCs/>
          <w:sz w:val="24"/>
          <w:szCs w:val="24"/>
        </w:rPr>
        <w:t xml:space="preserve">Diplomacy &amp; Statecraft</w:t>
      </w:r>
      <w:r>
        <w:rPr>
          <w:rFonts w:ascii="Times New Roman" w:cs="Times New Roman" w:eastAsia="Times New Roman" w:hAnsi="Times New Roman"/>
          <w:b w:val="false"/>
          <w:bCs w:val="false"/>
          <w:i w:val="false"/>
          <w:iCs w:val="false"/>
          <w:sz w:val="24"/>
          <w:szCs w:val="24"/>
        </w:rPr>
        <w:t xml:space="preserve">, Vol. 29, No. 4 (2018), pp. 543-564 [Applies neuroscientific insights to Cabinet decision-making; documents Grey's implicit threat of resignation and its emotional impact on Cabinet]</w:t>
      </w:r>
    </w:p>
    <w:p>
      <w:pPr>
        <w:pStyle w:val="Heading1"/>
        <w:spacing w:after="120" w:before="360"/>
      </w:pPr>
      <w:r>
        <w:rPr>
          <w:rFonts w:ascii="Times New Roman" w:cs="Times New Roman" w:eastAsia="Times New Roman" w:hAnsi="Times New Roman"/>
          <w:b/>
          <w:bCs/>
          <w:sz w:val="28"/>
          <w:szCs w:val="28"/>
        </w:rPr>
        <w:t xml:space="preserve">Note on Source Reliability</w:t>
      </w:r>
    </w:p>
    <w:p>
      <w:pPr>
        <w:spacing w:after="40" w:before="40"/>
        <w:jc w:val="left"/>
      </w:pPr>
      <w:r>
        <w:rPr>
          <w:rFonts w:ascii="Times New Roman" w:cs="Times New Roman" w:eastAsia="Times New Roman" w:hAnsi="Times New Roman"/>
          <w:b w:val="false"/>
          <w:bCs w:val="false"/>
          <w:i w:val="false"/>
          <w:iCs w:val="false"/>
          <w:sz w:val="24"/>
          <w:szCs w:val="24"/>
        </w:rPr>
        <w:t xml:space="preserve">The study of Asquith and Lloyd George benefits from extensive primary source preservation: Cabinet records at The National Archives (Kew), the Lloyd George Papers (Parliamentary Archives), Asquith's correspondence (Bodleian Library, Oxford), Churchill's papers (Churchill Archives Centre, Cambridge), the Grey Papers (The National Archives), and Hansard's verbatim parliamentary record. These sources are generally reliable.</w:t>
      </w:r>
    </w:p>
    <w:p>
      <w:pPr>
        <w:spacing w:after="40" w:before="40"/>
        <w:jc w:val="left"/>
      </w:pPr>
      <w:r>
        <w:rPr>
          <w:rFonts w:ascii="Times New Roman" w:cs="Times New Roman" w:eastAsia="Times New Roman" w:hAnsi="Times New Roman"/>
          <w:b w:val="false"/>
          <w:bCs w:val="false"/>
          <w:i w:val="false"/>
          <w:iCs w:val="false"/>
          <w:sz w:val="24"/>
          <w:szCs w:val="24"/>
        </w:rPr>
        <w:t xml:space="preserve">However, scholarly caution is required regarding specific primary sources. Lloyd George's </w:t>
      </w:r>
      <w:r>
        <w:rPr>
          <w:rFonts w:ascii="Times New Roman" w:cs="Times New Roman" w:eastAsia="Times New Roman" w:hAnsi="Times New Roman"/>
          <w:b w:val="false"/>
          <w:bCs w:val="false"/>
          <w:i/>
          <w:iCs/>
          <w:sz w:val="24"/>
          <w:szCs w:val="24"/>
        </w:rPr>
        <w:t xml:space="preserve">War Memoirs</w:t>
      </w:r>
      <w:r>
        <w:rPr>
          <w:rFonts w:ascii="Times New Roman" w:cs="Times New Roman" w:eastAsia="Times New Roman" w:hAnsi="Times New Roman"/>
          <w:b w:val="false"/>
          <w:bCs w:val="false"/>
          <w:i w:val="false"/>
          <w:iCs w:val="false"/>
          <w:sz w:val="24"/>
          <w:szCs w:val="24"/>
        </w:rPr>
        <w:t xml:space="preserve"> (1933-1936) contain self-serving framing inconsistent with contemporary documentary evidence; they are a primary source for Lloyd George's retrospective self-presentation, not a reliable account of his contemporaneous reasoning. Grey's </w:t>
      </w:r>
      <w:r>
        <w:rPr>
          <w:rFonts w:ascii="Times New Roman" w:cs="Times New Roman" w:eastAsia="Times New Roman" w:hAnsi="Times New Roman"/>
          <w:b w:val="false"/>
          <w:bCs w:val="false"/>
          <w:i/>
          <w:iCs/>
          <w:sz w:val="24"/>
          <w:szCs w:val="24"/>
        </w:rPr>
        <w:t xml:space="preserve">Twenty-Five Years</w:t>
      </w:r>
      <w:r>
        <w:rPr>
          <w:rFonts w:ascii="Times New Roman" w:cs="Times New Roman" w:eastAsia="Times New Roman" w:hAnsi="Times New Roman"/>
          <w:b w:val="false"/>
          <w:bCs w:val="false"/>
          <w:i w:val="false"/>
          <w:iCs w:val="false"/>
          <w:sz w:val="24"/>
          <w:szCs w:val="24"/>
        </w:rPr>
        <w:t xml:space="preserve"> (1925) defends his own record and should be read against Foreign Office documents from the period. The Bryce Commission Report (1915) contained both verified and exaggerated atrocity claims; it functioned as wartime propaganda as much as objective investigation. Contemporary newspaper reports of speeches are generally reliable for broad content but should be cross-checked against Hansard for parliamentary speeches.</w:t>
      </w:r>
    </w:p>
    <w:p>
      <w:pPr>
        <w:spacing w:after="40" w:before="40"/>
        <w:jc w:val="left"/>
      </w:pPr>
      <w:r>
        <w:rPr>
          <w:rFonts w:ascii="Times New Roman" w:cs="Times New Roman" w:eastAsia="Times New Roman" w:hAnsi="Times New Roman"/>
          <w:b w:val="false"/>
          <w:bCs w:val="false"/>
          <w:i w:val="false"/>
          <w:iCs w:val="false"/>
          <w:sz w:val="24"/>
          <w:szCs w:val="24"/>
        </w:rPr>
        <w:t xml:space="preserve">Where this document renders spoken or written words of Asquith or Lloyd George, the specific primary source is cited. For scholarly characterizations attributed to historians, the author's original published work is the authoritative source. Newton's </w:t>
      </w:r>
      <w:r>
        <w:rPr>
          <w:rFonts w:ascii="Times New Roman" w:cs="Times New Roman" w:eastAsia="Times New Roman" w:hAnsi="Times New Roman"/>
          <w:b w:val="false"/>
          <w:bCs w:val="false"/>
          <w:i/>
          <w:iCs/>
          <w:sz w:val="24"/>
          <w:szCs w:val="24"/>
        </w:rPr>
        <w:t xml:space="preserve">The Darkest Days</w:t>
      </w:r>
      <w:r>
        <w:rPr>
          <w:rFonts w:ascii="Times New Roman" w:cs="Times New Roman" w:eastAsia="Times New Roman" w:hAnsi="Times New Roman"/>
          <w:b w:val="false"/>
          <w:bCs w:val="false"/>
          <w:i w:val="false"/>
          <w:iCs w:val="false"/>
          <w:sz w:val="24"/>
          <w:szCs w:val="24"/>
        </w:rPr>
        <w:t xml:space="preserve"> (2014), Gilbert's 1985 article in </w:t>
      </w:r>
      <w:r>
        <w:rPr>
          <w:rFonts w:ascii="Times New Roman" w:cs="Times New Roman" w:eastAsia="Times New Roman" w:hAnsi="Times New Roman"/>
          <w:b w:val="false"/>
          <w:bCs w:val="false"/>
          <w:i/>
          <w:iCs/>
          <w:sz w:val="24"/>
          <w:szCs w:val="24"/>
        </w:rPr>
        <w:t xml:space="preserve">The Historical Journal</w:t>
      </w:r>
      <w:r>
        <w:rPr>
          <w:rFonts w:ascii="Times New Roman" w:cs="Times New Roman" w:eastAsia="Times New Roman" w:hAnsi="Times New Roman"/>
          <w:b w:val="false"/>
          <w:bCs w:val="false"/>
          <w:i w:val="false"/>
          <w:iCs w:val="false"/>
          <w:sz w:val="24"/>
          <w:szCs w:val="24"/>
        </w:rPr>
        <w:t xml:space="preserve">, Grigg's multi-volume biography, Hull's </w:t>
      </w:r>
      <w:r>
        <w:rPr>
          <w:rFonts w:ascii="Times New Roman" w:cs="Times New Roman" w:eastAsia="Times New Roman" w:hAnsi="Times New Roman"/>
          <w:b w:val="false"/>
          <w:bCs w:val="false"/>
          <w:i/>
          <w:iCs/>
          <w:sz w:val="24"/>
          <w:szCs w:val="24"/>
        </w:rPr>
        <w:t xml:space="preserve">A Scrap of Paper</w:t>
      </w:r>
      <w:r>
        <w:rPr>
          <w:rFonts w:ascii="Times New Roman" w:cs="Times New Roman" w:eastAsia="Times New Roman" w:hAnsi="Times New Roman"/>
          <w:b w:val="false"/>
          <w:bCs w:val="false"/>
          <w:i w:val="false"/>
          <w:iCs w:val="false"/>
          <w:sz w:val="24"/>
          <w:szCs w:val="24"/>
        </w:rPr>
        <w:t xml:space="preserve"> (2014), and Young's 2018 article in </w:t>
      </w:r>
      <w:r>
        <w:rPr>
          <w:rFonts w:ascii="Times New Roman" w:cs="Times New Roman" w:eastAsia="Times New Roman" w:hAnsi="Times New Roman"/>
          <w:b w:val="false"/>
          <w:bCs w:val="false"/>
          <w:i/>
          <w:iCs/>
          <w:sz w:val="24"/>
          <w:szCs w:val="24"/>
        </w:rPr>
        <w:t xml:space="preserve">Diplomacy &amp; Statecraft</w:t>
      </w:r>
      <w:r>
        <w:rPr>
          <w:rFonts w:ascii="Times New Roman" w:cs="Times New Roman" w:eastAsia="Times New Roman" w:hAnsi="Times New Roman"/>
          <w:b w:val="false"/>
          <w:bCs w:val="false"/>
          <w:i w:val="false"/>
          <w:iCs w:val="false"/>
          <w:sz w:val="24"/>
          <w:szCs w:val="24"/>
        </w:rPr>
        <w:t xml:space="preserve"> are the five most important secondary works underpinning the analysis in this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2026-06-12T16:14:54.120Z</dcterms:created>
  <dcterms:modified xsi:type="dcterms:W3CDTF">2026-06-12T16:14:54.122Z</dcterms:modified>
</cp:coreProperties>
</file>

<file path=docProps/custom.xml><?xml version="1.0" encoding="utf-8"?>
<Properties xmlns="http://schemas.openxmlformats.org/officeDocument/2006/custom-properties" xmlns:vt="http://schemas.openxmlformats.org/officeDocument/2006/docPropsVTypes"/>
</file>