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E6A" w:rsidRDefault="00556E6A" w:rsidP="00556E6A">
      <w:pPr>
        <w:pStyle w:val="1"/>
        <w:spacing w:before="156" w:after="156"/>
      </w:pPr>
      <w:r>
        <w:rPr>
          <w:rFonts w:hint="eastAsia"/>
        </w:rPr>
        <w:t>说明</w:t>
      </w:r>
    </w:p>
    <w:p w:rsidR="00556E6A" w:rsidRDefault="00556E6A" w:rsidP="00556E6A">
      <w:pPr>
        <w:spacing w:before="156" w:after="156"/>
      </w:pPr>
      <w:r>
        <w:rPr>
          <w:rFonts w:hint="eastAsia"/>
        </w:rPr>
        <w:t>本文件夹包含了常见聚变反应的反应截面和反应率的数据。</w:t>
      </w:r>
    </w:p>
    <w:p w:rsidR="00556E6A" w:rsidRPr="00556E6A" w:rsidRDefault="00556E6A" w:rsidP="00556E6A">
      <w:pPr>
        <w:pStyle w:val="a7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用</w:t>
      </w:r>
      <w:r>
        <w:t>MATLAB的同学，请看「</w:t>
      </w:r>
      <w:proofErr w:type="spellStart"/>
      <w:r>
        <w:t>Xsec_and_reactiv</w:t>
      </w:r>
      <w:proofErr w:type="spellEnd"/>
      <w:r>
        <w:t>_</w:t>
      </w:r>
      <w:r w:rsidR="00804DD5">
        <w:rPr>
          <w:rFonts w:hint="eastAsia"/>
        </w:rPr>
        <w:t>说明书</w:t>
      </w:r>
      <w:r>
        <w:t>.pdf」，里面用使用本数据包的方法。</w:t>
      </w:r>
    </w:p>
    <w:p w:rsidR="00556E6A" w:rsidRDefault="00556E6A" w:rsidP="00AC41E6">
      <w:pPr>
        <w:pStyle w:val="a7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使用其它计算工具，或者只是想查查表的同学，请看「反应截面和反应率数据表</w:t>
      </w:r>
      <w:r>
        <w:t>.pdf」。可以</w:t>
      </w:r>
      <w:r w:rsidR="00AC41E6">
        <w:rPr>
          <w:rFonts w:hint="eastAsia"/>
        </w:rPr>
        <w:t>复制读取出来后（例如python用</w:t>
      </w:r>
      <w:proofErr w:type="spellStart"/>
      <w:r w:rsidR="00AC41E6" w:rsidRPr="00AC41E6">
        <w:rPr>
          <w:rFonts w:eastAsiaTheme="minorHAnsi"/>
        </w:rPr>
        <w:t>np.genfromtxt</w:t>
      </w:r>
      <w:proofErr w:type="spellEnd"/>
      <w:r w:rsidR="00AC41E6" w:rsidRPr="00AC41E6">
        <w:rPr>
          <w:rFonts w:eastAsiaTheme="minorHAnsi" w:hint="eastAsia"/>
        </w:rPr>
        <w:t>(</w:t>
      </w:r>
      <w:r w:rsidR="00AC41E6" w:rsidRPr="00AC41E6">
        <w:rPr>
          <w:rFonts w:eastAsiaTheme="minorHAnsi"/>
        </w:rPr>
        <w:t>)</w:t>
      </w:r>
      <w:r w:rsidR="00AC41E6">
        <w:rPr>
          <w:rFonts w:hint="eastAsia"/>
        </w:rPr>
        <w:t>）</w:t>
      </w:r>
      <w:r>
        <w:t>，自行插值使用。</w:t>
      </w:r>
      <w:bookmarkStart w:id="0" w:name="_GoBack"/>
      <w:bookmarkEnd w:id="0"/>
    </w:p>
    <w:p w:rsidR="00556E6A" w:rsidRPr="00556E6A" w:rsidRDefault="00556E6A" w:rsidP="00556E6A">
      <w:pPr>
        <w:spacing w:before="156" w:after="156"/>
      </w:pPr>
      <w:r w:rsidRPr="00556E6A">
        <w:rPr>
          <w:rFonts w:hint="eastAsia"/>
        </w:rPr>
        <w:t>下面再额外介绍几个点：</w:t>
      </w:r>
    </w:p>
    <w:p w:rsidR="00A33605" w:rsidRDefault="009B52BA" w:rsidP="000D3681">
      <w:pPr>
        <w:pStyle w:val="2"/>
        <w:spacing w:before="156" w:after="156"/>
      </w:pPr>
      <w:r>
        <w:rPr>
          <w:rFonts w:hint="eastAsia"/>
        </w:rPr>
        <w:t>能量</w:t>
      </w:r>
      <w:r w:rsidR="008E372E">
        <w:rPr>
          <w:rFonts w:hint="eastAsia"/>
        </w:rPr>
        <w:t>的计法</w:t>
      </w:r>
    </w:p>
    <w:p w:rsidR="000D3681" w:rsidRDefault="000D3681" w:rsidP="000D3681">
      <w:pPr>
        <w:spacing w:before="156" w:after="156"/>
      </w:pPr>
      <w:r>
        <w:rPr>
          <w:rFonts w:hint="eastAsia"/>
        </w:rPr>
        <w:t>核反应截面是截面-能量的关系，而能量有以下2种</w:t>
      </w:r>
      <w:r w:rsidR="009B52BA">
        <w:rPr>
          <w:rFonts w:hint="eastAsia"/>
        </w:rPr>
        <w:t>表示</w:t>
      </w:r>
      <w:r>
        <w:rPr>
          <w:rFonts w:hint="eastAsia"/>
        </w:rPr>
        <w:t>方法：</w:t>
      </w:r>
    </w:p>
    <w:p w:rsidR="000D3681" w:rsidRDefault="000D3681" w:rsidP="000D3681">
      <w:pPr>
        <w:pStyle w:val="a7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在实验室坐标系下，固定</w:t>
      </w:r>
      <w:r w:rsidR="00E441DA">
        <w:rPr>
          <w:rFonts w:hint="eastAsia"/>
        </w:rPr>
        <w:t>较重的</w:t>
      </w:r>
      <w:r w:rsidRPr="00BC5EEF">
        <w:rPr>
          <w:rFonts w:hint="eastAsia"/>
          <w:b/>
        </w:rPr>
        <w:t>靶粒子</w:t>
      </w:r>
      <w:r w:rsidR="00F65D5B" w:rsidRPr="00BC5EEF">
        <w:rPr>
          <w:rFonts w:hint="eastAsia"/>
          <w:b/>
        </w:rPr>
        <w:t>t</w:t>
      </w:r>
      <w:r>
        <w:rPr>
          <w:rFonts w:hint="eastAsia"/>
        </w:rPr>
        <w:t>不动，以</w:t>
      </w:r>
      <w:r w:rsidR="00E441DA">
        <w:rPr>
          <w:rFonts w:hint="eastAsia"/>
        </w:rPr>
        <w:t>较轻的</w:t>
      </w:r>
      <w:r w:rsidR="00556E6A" w:rsidRPr="00556E6A">
        <w:rPr>
          <w:rFonts w:hint="eastAsia"/>
          <w:b/>
        </w:rPr>
        <w:t>入射</w:t>
      </w:r>
      <w:r w:rsidRPr="00BC5EEF">
        <w:rPr>
          <w:rFonts w:hint="eastAsia"/>
          <w:b/>
        </w:rPr>
        <w:t>粒子</w:t>
      </w:r>
      <w:r w:rsidR="00F65D5B" w:rsidRPr="00BC5EEF">
        <w:rPr>
          <w:rFonts w:hint="eastAsia"/>
          <w:b/>
        </w:rPr>
        <w:t>c</w:t>
      </w:r>
      <w:r>
        <w:rPr>
          <w:rFonts w:hint="eastAsia"/>
        </w:rPr>
        <w:t>轰击之，能量记为</w:t>
      </w:r>
      <w:r w:rsidR="00556E6A">
        <w:rPr>
          <w:rFonts w:hint="eastAsia"/>
          <w:b/>
          <w:color w:val="0070C0"/>
        </w:rPr>
        <w:t>入射</w:t>
      </w:r>
      <w:r w:rsidRPr="00BC5EEF">
        <w:rPr>
          <w:rFonts w:hint="eastAsia"/>
          <w:b/>
          <w:color w:val="0070C0"/>
        </w:rPr>
        <w:t>粒子的动能</w:t>
      </w:r>
      <w:r w:rsidR="00E441DA">
        <w:rPr>
          <w:rFonts w:hint="eastAsia"/>
        </w:rPr>
        <w:t>，写</w:t>
      </w:r>
      <w:r w:rsidR="008C24B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；</w:t>
      </w:r>
    </w:p>
    <w:p w:rsidR="000D3681" w:rsidRDefault="000D3681" w:rsidP="000D3681">
      <w:pPr>
        <w:pStyle w:val="a7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在二粒子的质心坐标系下，能量记为二粒子的</w:t>
      </w:r>
      <w:r w:rsidR="00BC5EEF" w:rsidRPr="00BC5EEF">
        <w:rPr>
          <w:rFonts w:hint="eastAsia"/>
          <w:b/>
          <w:color w:val="0070C0"/>
        </w:rPr>
        <w:t>相对动能</w:t>
      </w:r>
      <w:r w:rsidR="00E441DA">
        <w:rPr>
          <w:rFonts w:hint="eastAsia"/>
        </w:rPr>
        <w:t>，写</w:t>
      </w:r>
      <w:r w:rsidR="00D401A3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</w:p>
    <w:p w:rsidR="00EE0402" w:rsidRDefault="00EE0402" w:rsidP="00EE0402">
      <w:pPr>
        <w:spacing w:before="156" w:after="156"/>
      </w:pPr>
      <w:r>
        <w:rPr>
          <w:rFonts w:hint="eastAsia"/>
        </w:rPr>
        <w:t>二者的表达式分别是：</w:t>
      </w:r>
    </w:p>
    <w:p w:rsidR="00EE0402" w:rsidRDefault="00EE0402" w:rsidP="00EE0402">
      <w:pPr>
        <w:pStyle w:val="MTDisplayEquation"/>
      </w:pPr>
      <w:r>
        <w:tab/>
      </w:r>
      <w:r w:rsidRPr="00EE0402">
        <w:rPr>
          <w:position w:val="-90"/>
        </w:rPr>
        <w:object w:dxaOrig="4220" w:dyaOrig="1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15pt;height:94.75pt" o:ole="">
            <v:imagedata r:id="rId7" o:title=""/>
          </v:shape>
          <o:OLEObject Type="Embed" ProgID="Equation.DSMT4" ShapeID="_x0000_i1025" DrawAspect="Content" ObjectID="_1740740795" r:id="rId8"/>
        </w:object>
      </w:r>
    </w:p>
    <w:p w:rsidR="009B52BA" w:rsidRDefault="009B52BA" w:rsidP="009B52BA">
      <w:pPr>
        <w:spacing w:before="156" w:after="156"/>
      </w:pPr>
      <w:r>
        <w:rPr>
          <w:rFonts w:hint="eastAsia"/>
        </w:rPr>
        <w:t>这两种方法表示的能量的关系是：</w:t>
      </w:r>
      <w:r w:rsidR="00F65D5B">
        <w:t xml:space="preserve"> </w:t>
      </w:r>
    </w:p>
    <w:p w:rsidR="0022446B" w:rsidRPr="00EE0402" w:rsidRDefault="00614967" w:rsidP="009B52BA">
      <w:pPr>
        <w:spacing w:before="156" w:after="156"/>
        <w:rPr>
          <w:rFonts w:eastAsia="Yu Mincho"/>
          <w:color w:val="0070C0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/>
                  <w:i/>
                  <w:color w:val="0070C0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color w:val="0070C0"/>
                  <w:lang w:eastAsia="ja-JP"/>
                </w:rPr>
                <m:t>E</m:t>
              </m:r>
            </m:e>
            <m:sub>
              <m:r>
                <w:rPr>
                  <w:rFonts w:ascii="Cambria Math" w:eastAsia="Yu Mincho" w:hAnsi="Cambria Math"/>
                  <w:color w:val="0070C0"/>
                  <w:lang w:eastAsia="ja-JP"/>
                </w:rPr>
                <m:t>2</m:t>
              </m:r>
            </m:sub>
          </m:sSub>
          <m:r>
            <w:rPr>
              <w:rFonts w:ascii="Cambria Math" w:eastAsia="Yu Mincho" w:hAnsi="Cambria Math"/>
              <w:color w:val="0070C0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color w:val="0070C0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color w:val="0070C0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color w:val="0070C0"/>
                  <w:lang w:eastAsia="ja-JP"/>
                </w:rPr>
                <m:t>1+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color w:val="0070C0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color w:val="0070C0"/>
                      <w:lang w:eastAsia="ja-JP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color w:val="0070C0"/>
                      <w:lang w:eastAsia="ja-JP"/>
                    </w:rPr>
                    <m:t>c</m:t>
                  </m:r>
                </m:sub>
              </m:sSub>
              <m:r>
                <w:rPr>
                  <w:rFonts w:ascii="Cambria Math" w:hAnsi="Cambria Math" w:hint="eastAsia"/>
                  <w:color w:val="0070C0"/>
                </w:rPr>
                <m:t>/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color w:val="0070C0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color w:val="0070C0"/>
                      <w:lang w:eastAsia="ja-JP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color w:val="0070C0"/>
                      <w:lang w:eastAsia="ja-JP"/>
                    </w:rPr>
                    <m:t>t</m:t>
                  </m:r>
                </m:sub>
              </m:sSub>
            </m:den>
          </m:f>
          <m:sSub>
            <m:sSubPr>
              <m:ctrlPr>
                <w:rPr>
                  <w:rFonts w:ascii="Cambria Math" w:eastAsia="Yu Mincho" w:hAnsi="Cambria Math"/>
                  <w:i/>
                  <w:color w:val="0070C0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color w:val="0070C0"/>
                  <w:lang w:eastAsia="ja-JP"/>
                </w:rPr>
                <m:t>E</m:t>
              </m:r>
            </m:e>
            <m:sub>
              <m:r>
                <w:rPr>
                  <w:rFonts w:ascii="Cambria Math" w:eastAsia="Yu Mincho" w:hAnsi="Cambria Math"/>
                  <w:color w:val="0070C0"/>
                  <w:lang w:eastAsia="ja-JP"/>
                </w:rPr>
                <m:t>1</m:t>
              </m:r>
            </m:sub>
          </m:sSub>
        </m:oMath>
      </m:oMathPara>
    </w:p>
    <w:p w:rsidR="00F65D5B" w:rsidRDefault="00614967" w:rsidP="009B52BA">
      <w:pPr>
        <w:spacing w:before="156" w:after="15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65D5B">
        <w:rPr>
          <w:rFonts w:hint="eastAsia"/>
        </w:rPr>
        <w:t>总是比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5D5B">
        <w:rPr>
          <w:rFonts w:hint="eastAsia"/>
        </w:rPr>
        <w:t>小</w:t>
      </w:r>
      <w:r w:rsidR="00FC656C">
        <w:rPr>
          <w:rFonts w:hint="eastAsia"/>
        </w:rPr>
        <w:t>。</w:t>
      </w:r>
      <w:r w:rsidR="00F65D5B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C656C">
        <w:rPr>
          <w:rFonts w:hint="eastAsia"/>
        </w:rPr>
        <w:t>时，近似有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D1BCE">
        <w:rPr>
          <w:rFonts w:hint="eastAsia"/>
        </w:rPr>
        <w:t>；当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266D1">
        <w:rPr>
          <w:rFonts w:hint="eastAsia"/>
        </w:rPr>
        <w:t>时，有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41DA">
        <w:rPr>
          <w:rFonts w:hint="eastAsia"/>
        </w:rPr>
        <w:t>。</w:t>
      </w:r>
    </w:p>
    <w:p w:rsidR="005C308E" w:rsidRDefault="005C308E" w:rsidP="009B52BA">
      <w:pPr>
        <w:spacing w:before="156" w:after="156"/>
      </w:pPr>
      <w:r>
        <w:rPr>
          <w:rFonts w:hint="eastAsia"/>
        </w:rPr>
        <w:t>所以，在常用质子/中子轰击重核的裂变领域，二者的差别可以忽略；但在两种反应粒子质量相近的聚变领域，两种方式计量的能量有显著差异。</w:t>
      </w:r>
    </w:p>
    <w:p w:rsidR="00BC5EEF" w:rsidRPr="009F733B" w:rsidRDefault="00BC5EEF" w:rsidP="009B52BA">
      <w:pPr>
        <w:spacing w:before="156" w:after="156"/>
      </w:pPr>
      <w:r>
        <w:rPr>
          <w:rFonts w:hint="eastAsia"/>
        </w:rPr>
        <w:t>IAEA数据库</w:t>
      </w:r>
      <w:r w:rsidR="00804695">
        <w:rPr>
          <w:rFonts w:hint="eastAsia"/>
        </w:rPr>
        <w:t>（</w:t>
      </w:r>
      <w:hyperlink r:id="rId9" w:history="1">
        <w:r w:rsidR="00804695">
          <w:rPr>
            <w:rStyle w:val="a9"/>
            <w:rFonts w:ascii="Segoe UI" w:hAnsi="Segoe UI" w:cs="Segoe UI"/>
            <w:color w:val="800080"/>
          </w:rPr>
          <w:t>https://www-nds.iaea.org/</w:t>
        </w:r>
      </w:hyperlink>
      <w:r w:rsidR="00804695">
        <w:rPr>
          <w:rFonts w:hint="eastAsia"/>
        </w:rPr>
        <w:t>）</w:t>
      </w:r>
      <w:r>
        <w:rPr>
          <w:rFonts w:hint="eastAsia"/>
        </w:rPr>
        <w:t>等通用</w:t>
      </w:r>
      <w:r w:rsidR="00D55B73">
        <w:rPr>
          <w:rFonts w:hint="eastAsia"/>
        </w:rPr>
        <w:t>核反应</w:t>
      </w:r>
      <w:r>
        <w:rPr>
          <w:rFonts w:hint="eastAsia"/>
        </w:rPr>
        <w:t>数据库中的能量一般是以方式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表示的，而聚变相关文献一般以方式二表示</w:t>
      </w:r>
      <w:r w:rsidR="004D1AC7">
        <w:rPr>
          <w:rFonts w:hint="eastAsia"/>
        </w:rPr>
        <w:t>，需要换算</w:t>
      </w:r>
      <w:r>
        <w:rPr>
          <w:rFonts w:hint="eastAsia"/>
        </w:rPr>
        <w:t>。</w:t>
      </w:r>
      <w:r w:rsidR="00EE0402">
        <w:rPr>
          <w:rFonts w:hint="eastAsia"/>
        </w:rPr>
        <w:t>如果不换算，在双对数图上</w:t>
      </w:r>
      <w:r w:rsidR="004D1AC7">
        <w:rPr>
          <w:rFonts w:hint="eastAsia"/>
        </w:rPr>
        <w:t>，</w:t>
      </w:r>
      <w:r w:rsidR="00EE0402">
        <w:rPr>
          <w:rFonts w:hint="eastAsia"/>
        </w:rPr>
        <w:t>曲线的形状</w:t>
      </w:r>
      <w:r w:rsidR="004D1AC7">
        <w:rPr>
          <w:rFonts w:hint="eastAsia"/>
        </w:rPr>
        <w:t>虽</w:t>
      </w:r>
      <w:r w:rsidR="00EE0402">
        <w:rPr>
          <w:rFonts w:hint="eastAsia"/>
        </w:rPr>
        <w:t>不会变化，</w:t>
      </w:r>
      <w:r w:rsidR="004D1AC7">
        <w:rPr>
          <w:rFonts w:hint="eastAsia"/>
        </w:rPr>
        <w:t>但</w:t>
      </w:r>
      <w:r w:rsidR="00EE0402">
        <w:rPr>
          <w:rFonts w:hint="eastAsia"/>
        </w:rPr>
        <w:t>左右会有一个最</w:t>
      </w:r>
      <w:r w:rsidR="004D1AC7">
        <w:rPr>
          <w:rFonts w:hint="eastAsia"/>
        </w:rPr>
        <w:t>多</w:t>
      </w:r>
      <m:oMath>
        <m:r>
          <m:rPr>
            <m:sty m:val="p"/>
          </m:rPr>
          <w:rPr>
            <w:rFonts w:ascii="Cambria Math" w:hAnsi="Cambria Math"/>
          </w:rPr>
          <m:t>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=±0.3</m:t>
        </m:r>
      </m:oMath>
      <w:r w:rsidR="00B9621A">
        <w:rPr>
          <w:rFonts w:hint="eastAsia"/>
        </w:rPr>
        <w:t>的偏移。</w:t>
      </w:r>
    </w:p>
    <w:p w:rsidR="005D574B" w:rsidRDefault="00BC5EEF" w:rsidP="005D574B">
      <w:pPr>
        <w:pStyle w:val="2"/>
        <w:spacing w:before="156" w:after="156"/>
      </w:pPr>
      <w:r>
        <w:rPr>
          <w:rFonts w:hint="eastAsia"/>
        </w:rPr>
        <w:t>热平衡</w:t>
      </w:r>
      <w:r w:rsidR="005D574B">
        <w:rPr>
          <w:rFonts w:hint="eastAsia"/>
        </w:rPr>
        <w:t>反应率系数的计算</w:t>
      </w:r>
    </w:p>
    <w:p w:rsidR="005D574B" w:rsidRDefault="005D574B" w:rsidP="005D574B">
      <w:pPr>
        <w:spacing w:before="156" w:after="156"/>
      </w:pPr>
      <w:r>
        <w:rPr>
          <w:rFonts w:hint="eastAsia"/>
        </w:rPr>
        <w:t>M</w:t>
      </w:r>
      <w:r>
        <w:t>axwell</w:t>
      </w:r>
      <w:r>
        <w:rPr>
          <w:rFonts w:hint="eastAsia"/>
        </w:rPr>
        <w:t>速度分布的一般表达式是</w:t>
      </w:r>
    </w:p>
    <w:p w:rsidR="00937BFE" w:rsidRDefault="00937BFE" w:rsidP="00937BFE">
      <w:pPr>
        <w:pStyle w:val="MTDisplayEquation"/>
      </w:pPr>
      <w:r>
        <w:lastRenderedPageBreak/>
        <w:tab/>
      </w:r>
      <w:r w:rsidRPr="00937BFE">
        <w:rPr>
          <w:position w:val="-28"/>
        </w:rPr>
        <w:object w:dxaOrig="2540" w:dyaOrig="680">
          <v:shape id="_x0000_i1026" type="#_x0000_t75" style="width:127.2pt;height:33.55pt" o:ole="">
            <v:imagedata r:id="rId10" o:title=""/>
          </v:shape>
          <o:OLEObject Type="Embed" ProgID="Equation.DSMT4" ShapeID="_x0000_i1026" DrawAspect="Content" ObjectID="_1740740796" r:id="rId11"/>
        </w:object>
      </w:r>
    </w:p>
    <w:p w:rsidR="00556E6A" w:rsidRDefault="00511AE2" w:rsidP="00937BFE">
      <w:pPr>
        <w:pStyle w:val="MTDisplayEquation"/>
      </w:pPr>
      <w:r>
        <w:rPr>
          <w:rFonts w:hint="eastAsia"/>
        </w:rPr>
        <w:t>当有两种组分的粒子时，设两种离子温度相等同为</w:t>
      </w:r>
      <m:oMath>
        <m:r>
          <w:rPr>
            <w:rFonts w:ascii="Cambria Math" w:hAnsi="Cambria Math"/>
          </w:rPr>
          <m:t>T</m:t>
        </m:r>
      </m:oMath>
      <w:r w:rsidR="00A510C1">
        <w:rPr>
          <w:rFonts w:hint="eastAsia"/>
        </w:rPr>
        <w:t>。</w:t>
      </w:r>
    </w:p>
    <w:p w:rsidR="00511AE2" w:rsidRDefault="00556E6A" w:rsidP="00556E6A">
      <w:pPr>
        <w:pStyle w:val="MTDisplayEquation"/>
        <w:ind w:firstLineChars="200" w:firstLine="420"/>
      </w:pPr>
      <w:r>
        <w:rPr>
          <w:rFonts w:hint="eastAsia"/>
        </w:rPr>
        <w:t>设二粒子</w:t>
      </w:r>
      <w:r w:rsidR="005C4902" w:rsidRPr="00820DB5">
        <w:rPr>
          <w:rFonts w:hint="eastAsia"/>
          <w:b/>
          <w:color w:val="0070C0"/>
        </w:rPr>
        <w:t>相对速度</w:t>
      </w:r>
      <w:r w:rsidR="005C4902">
        <w:rPr>
          <w:rFonts w:hint="eastAsia"/>
        </w:rPr>
        <w:t>为</w:t>
      </w:r>
    </w:p>
    <w:p w:rsidR="005C4902" w:rsidRPr="002A389D" w:rsidRDefault="002A389D" w:rsidP="005D574B">
      <w:pPr>
        <w:spacing w:before="156" w:after="156"/>
        <w:rPr>
          <w:rFonts w:eastAsia="Yu Mincho"/>
          <w:lang w:eastAsia="ja-JP"/>
        </w:rPr>
      </w:pPr>
      <m:oMathPara>
        <m:oMath>
          <m:r>
            <m:rPr>
              <m:sty m:val="bi"/>
            </m:rPr>
            <w:rPr>
              <w:rFonts w:ascii="Cambria Math" w:eastAsia="Yu Mincho" w:hAnsi="Cambria Math"/>
              <w:lang w:eastAsia="ja-JP"/>
            </w:rPr>
            <m:t>v</m:t>
          </m:r>
          <m:r>
            <w:rPr>
              <w:rFonts w:ascii="Cambria Math" w:eastAsia="Yu Mincho" w:hAnsi="Cambria Math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v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sub>
          </m:sSub>
          <m:r>
            <w:rPr>
              <w:rFonts w:ascii="Cambria Math" w:eastAsia="Yu Mincho" w:hAnsi="Cambria Math"/>
              <w:lang w:eastAsia="ja-JP"/>
            </w:rPr>
            <m:t>-</m:t>
          </m:r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v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2</m:t>
              </m:r>
            </m:sub>
          </m:sSub>
        </m:oMath>
      </m:oMathPara>
    </w:p>
    <w:p w:rsidR="00B8676E" w:rsidRDefault="00B8676E" w:rsidP="005D574B">
      <w:pPr>
        <w:spacing w:before="156" w:after="156"/>
      </w:pPr>
      <w:r w:rsidRPr="00820DB5">
        <w:rPr>
          <w:rFonts w:hint="eastAsia"/>
          <w:b/>
          <w:color w:val="0070C0"/>
        </w:rPr>
        <w:t>质心速度</w:t>
      </w:r>
      <w:r>
        <w:rPr>
          <w:rFonts w:hint="eastAsia"/>
        </w:rPr>
        <w:t>为</w:t>
      </w:r>
    </w:p>
    <w:p w:rsidR="00937BFE" w:rsidRDefault="00937BFE" w:rsidP="00937BFE">
      <w:pPr>
        <w:pStyle w:val="MTDisplayEquation"/>
      </w:pPr>
      <w:r>
        <w:tab/>
      </w:r>
      <w:r w:rsidRPr="00937BFE">
        <w:rPr>
          <w:position w:val="-26"/>
        </w:rPr>
        <w:object w:dxaOrig="1440" w:dyaOrig="600">
          <v:shape id="_x0000_i1027" type="#_x0000_t75" style="width:1in;height:30.3pt" o:ole="">
            <v:imagedata r:id="rId12" o:title=""/>
          </v:shape>
          <o:OLEObject Type="Embed" ProgID="Equation.DSMT4" ShapeID="_x0000_i1027" DrawAspect="Content" ObjectID="_1740740797" r:id="rId13"/>
        </w:object>
      </w:r>
    </w:p>
    <w:p w:rsidR="00AF00A4" w:rsidRDefault="00AF00A4" w:rsidP="005D574B">
      <w:pPr>
        <w:spacing w:before="156" w:after="156"/>
      </w:pPr>
      <w:r w:rsidRPr="00AF00A4">
        <w:rPr>
          <w:rFonts w:hint="eastAsia"/>
          <w:b/>
          <w:color w:val="0070C0"/>
        </w:rPr>
        <w:t>约化质量</w:t>
      </w:r>
      <w:r>
        <w:rPr>
          <w:rFonts w:hint="eastAsia"/>
        </w:rPr>
        <w:t>为</w:t>
      </w:r>
    </w:p>
    <w:p w:rsidR="00AF00A4" w:rsidRDefault="00AF00A4" w:rsidP="00AF00A4">
      <w:pPr>
        <w:pStyle w:val="MTDisplayEquation"/>
      </w:pPr>
      <w:r>
        <w:tab/>
      </w:r>
      <w:r w:rsidRPr="00AF00A4">
        <w:rPr>
          <w:position w:val="-26"/>
        </w:rPr>
        <w:object w:dxaOrig="2900" w:dyaOrig="600">
          <v:shape id="_x0000_i1028" type="#_x0000_t75" style="width:145.1pt;height:30.3pt" o:ole="">
            <v:imagedata r:id="rId14" o:title=""/>
          </v:shape>
          <o:OLEObject Type="Embed" ProgID="Equation.DSMT4" ShapeID="_x0000_i1028" DrawAspect="Content" ObjectID="_1740740798" r:id="rId15"/>
        </w:object>
      </w:r>
    </w:p>
    <w:p w:rsidR="00937BFE" w:rsidRDefault="00AF00A4" w:rsidP="00AF00A4">
      <w:pPr>
        <w:spacing w:before="156" w:after="156"/>
        <w:ind w:firstLineChars="200" w:firstLine="420"/>
      </w:pPr>
      <w:r>
        <w:rPr>
          <w:rFonts w:hint="eastAsia"/>
        </w:rPr>
        <w:t>从</w:t>
      </w:r>
      <w:r w:rsidR="00937BFE">
        <w:rPr>
          <w:rFonts w:hint="eastAsia"/>
        </w:rPr>
        <w:t>平均反应率的</w:t>
      </w:r>
      <w:r w:rsidR="00820DB5">
        <w:rPr>
          <w:rFonts w:hint="eastAsia"/>
        </w:rPr>
        <w:t>一般</w:t>
      </w:r>
      <w:r w:rsidR="008E372E">
        <w:rPr>
          <w:rFonts w:hint="eastAsia"/>
        </w:rPr>
        <w:t>表达式出发</w:t>
      </w:r>
    </w:p>
    <w:p w:rsidR="00937BFE" w:rsidRDefault="00937BFE" w:rsidP="00937BFE">
      <w:pPr>
        <w:pStyle w:val="MTDisplayEquation"/>
      </w:pPr>
      <w:r>
        <w:tab/>
      </w:r>
      <w:r w:rsidR="00556E6A" w:rsidRPr="00556E6A">
        <w:rPr>
          <w:position w:val="-52"/>
        </w:rPr>
        <w:object w:dxaOrig="5520" w:dyaOrig="1140">
          <v:shape id="_x0000_i1029" type="#_x0000_t75" style="width:277.15pt;height:57.4pt" o:ole="">
            <v:imagedata r:id="rId16" o:title=""/>
          </v:shape>
          <o:OLEObject Type="Embed" ProgID="Equation.DSMT4" ShapeID="_x0000_i1029" DrawAspect="Content" ObjectID="_1740740799" r:id="rId17"/>
        </w:object>
      </w:r>
    </w:p>
    <w:p w:rsidR="00FA0370" w:rsidRDefault="00937BFE" w:rsidP="005D574B">
      <w:pPr>
        <w:spacing w:before="156" w:after="156"/>
      </w:pP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25DD8">
        <w:rPr>
          <w:rFonts w:hint="eastAsia"/>
        </w:rPr>
        <w:t>代换为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A0370">
        <w:rPr>
          <w:rFonts w:hint="eastAsia"/>
        </w:rPr>
        <w:t>：</w:t>
      </w:r>
    </w:p>
    <w:p w:rsidR="00FA0370" w:rsidRDefault="00FA0370" w:rsidP="00FA0370">
      <w:pPr>
        <w:pStyle w:val="MTDisplayEquation"/>
      </w:pPr>
      <w:r>
        <w:tab/>
      </w:r>
      <w:r w:rsidRPr="00FA0370">
        <w:rPr>
          <w:position w:val="-26"/>
        </w:rPr>
        <w:object w:dxaOrig="2060" w:dyaOrig="620">
          <v:shape id="_x0000_i1030" type="#_x0000_t75" style="width:102.85pt;height:30.85pt" o:ole="">
            <v:imagedata r:id="rId18" o:title=""/>
          </v:shape>
          <o:OLEObject Type="Embed" ProgID="Equation.DSMT4" ShapeID="_x0000_i1030" DrawAspect="Content" ObjectID="_1740740800" r:id="rId19"/>
        </w:object>
      </w:r>
    </w:p>
    <w:p w:rsidR="00BE2DFE" w:rsidRDefault="00BE2DFE" w:rsidP="00BE2DFE">
      <w:pPr>
        <w:spacing w:before="156" w:after="156"/>
      </w:pPr>
      <w:r>
        <w:rPr>
          <w:rFonts w:hint="eastAsia"/>
        </w:rPr>
        <w:t>二者的Jacobi行列式为</w:t>
      </w:r>
    </w:p>
    <w:p w:rsidR="00BE2DFE" w:rsidRPr="00BE2DFE" w:rsidRDefault="00BE2DFE" w:rsidP="00BE2DFE">
      <w:pPr>
        <w:pStyle w:val="MTDisplayEquation"/>
      </w:pPr>
      <w:r>
        <w:tab/>
      </w:r>
      <w:r w:rsidR="004D1AC7" w:rsidRPr="00157A75">
        <w:rPr>
          <w:position w:val="-76"/>
        </w:rPr>
        <w:object w:dxaOrig="4020" w:dyaOrig="1620">
          <v:shape id="_x0000_i1031" type="#_x0000_t75" style="width:200.85pt;height:81.75pt" o:ole="">
            <v:imagedata r:id="rId20" o:title=""/>
          </v:shape>
          <o:OLEObject Type="Embed" ProgID="Equation.DSMT4" ShapeID="_x0000_i1031" DrawAspect="Content" ObjectID="_1740740801" r:id="rId21"/>
        </w:object>
      </w:r>
    </w:p>
    <w:p w:rsidR="00FA0370" w:rsidRDefault="00556E6A" w:rsidP="005D574B">
      <w:pPr>
        <w:spacing w:before="156" w:after="156"/>
      </w:pPr>
      <w:r>
        <w:rPr>
          <w:rFonts w:hint="eastAsia"/>
        </w:rPr>
        <w:t>是等价的。</w:t>
      </w:r>
      <w:r w:rsidR="00BE2DFE">
        <w:rPr>
          <w:rFonts w:hint="eastAsia"/>
        </w:rPr>
        <w:t>那么将积分变量换成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A0370">
        <w:rPr>
          <w:rFonts w:hint="eastAsia"/>
        </w:rPr>
        <w:t>可得</w:t>
      </w:r>
    </w:p>
    <w:p w:rsidR="00FA0370" w:rsidRDefault="00FA0370" w:rsidP="00FA0370">
      <w:pPr>
        <w:pStyle w:val="MTDisplayEquation"/>
      </w:pPr>
      <w:r>
        <w:tab/>
      </w:r>
      <w:r w:rsidR="00A510C1" w:rsidRPr="00157A75">
        <w:rPr>
          <w:position w:val="-132"/>
        </w:rPr>
        <w:object w:dxaOrig="6840" w:dyaOrig="2760">
          <v:shape id="_x0000_i1032" type="#_x0000_t75" style="width:342.15pt;height:138.05pt" o:ole="">
            <v:imagedata r:id="rId22" o:title=""/>
          </v:shape>
          <o:OLEObject Type="Embed" ProgID="Equation.DSMT4" ShapeID="_x0000_i1032" DrawAspect="Content" ObjectID="_1740740802" r:id="rId23"/>
        </w:object>
      </w:r>
    </w:p>
    <w:p w:rsidR="00FA0370" w:rsidRDefault="00157A75" w:rsidP="005D574B">
      <w:pPr>
        <w:spacing w:before="156" w:after="156"/>
      </w:pPr>
      <w:r>
        <w:rPr>
          <w:rFonts w:hint="eastAsia"/>
        </w:rPr>
        <w:lastRenderedPageBreak/>
        <w:t>上节所述的</w:t>
      </w:r>
      <w:r w:rsidRPr="00820DB5">
        <w:rPr>
          <w:rFonts w:hint="eastAsia"/>
          <w:b/>
          <w:color w:val="0070C0"/>
        </w:rPr>
        <w:t>相对动能</w:t>
      </w:r>
      <w:r>
        <w:rPr>
          <w:rFonts w:hint="eastAsia"/>
        </w:rPr>
        <w:t>已经呼之欲出</w:t>
      </w:r>
    </w:p>
    <w:p w:rsidR="00157A75" w:rsidRDefault="00157A75" w:rsidP="00157A75">
      <w:pPr>
        <w:pStyle w:val="MTDisplayEquation"/>
      </w:pPr>
      <w:r>
        <w:tab/>
      </w:r>
      <w:r w:rsidR="00A510C1" w:rsidRPr="00157A75">
        <w:rPr>
          <w:position w:val="-22"/>
        </w:rPr>
        <w:object w:dxaOrig="980" w:dyaOrig="560">
          <v:shape id="_x0000_i1033" type="#_x0000_t75" style="width:49.25pt;height:28.15pt" o:ole="">
            <v:imagedata r:id="rId24" o:title=""/>
          </v:shape>
          <o:OLEObject Type="Embed" ProgID="Equation.DSMT4" ShapeID="_x0000_i1033" DrawAspect="Content" ObjectID="_1740740803" r:id="rId25"/>
        </w:object>
      </w:r>
    </w:p>
    <w:p w:rsidR="00157A75" w:rsidRDefault="00820DB5" w:rsidP="005D574B">
      <w:pPr>
        <w:spacing w:before="156" w:after="156"/>
      </w:pPr>
      <w:r>
        <w:rPr>
          <w:rFonts w:hint="eastAsia"/>
        </w:rPr>
        <w:t>其微分为</w:t>
      </w:r>
    </w:p>
    <w:p w:rsidR="00157A75" w:rsidRDefault="00157A75" w:rsidP="00157A75">
      <w:pPr>
        <w:pStyle w:val="MTDisplayEquation"/>
      </w:pPr>
      <w:r>
        <w:tab/>
      </w:r>
      <w:r w:rsidRPr="00157A75">
        <w:rPr>
          <w:position w:val="-10"/>
        </w:rPr>
        <w:object w:dxaOrig="1040" w:dyaOrig="300">
          <v:shape id="_x0000_i1034" type="#_x0000_t75" style="width:51.95pt;height:15.15pt" o:ole="">
            <v:imagedata r:id="rId26" o:title=""/>
          </v:shape>
          <o:OLEObject Type="Embed" ProgID="Equation.DSMT4" ShapeID="_x0000_i1034" DrawAspect="Content" ObjectID="_1740740804" r:id="rId27"/>
        </w:object>
      </w:r>
    </w:p>
    <w:p w:rsidR="00157A75" w:rsidRDefault="00157A75" w:rsidP="005D574B">
      <w:pPr>
        <w:spacing w:before="156" w:after="156"/>
      </w:pPr>
      <w:r>
        <w:rPr>
          <w:rFonts w:hint="eastAsia"/>
        </w:rPr>
        <w:t>所以</w:t>
      </w:r>
      <w:r w:rsidR="00820DB5">
        <w:rPr>
          <w:rFonts w:hint="eastAsia"/>
        </w:rPr>
        <w:t>得到平均反应率以相对动能表示的反应截面计算的公式为</w:t>
      </w:r>
    </w:p>
    <w:p w:rsidR="00157A75" w:rsidRDefault="00157A75" w:rsidP="00157A75">
      <w:pPr>
        <w:pStyle w:val="MTDisplayEquation"/>
      </w:pPr>
      <w:r>
        <w:tab/>
      </w:r>
      <w:r w:rsidR="00AF00A4" w:rsidRPr="00820DB5">
        <w:rPr>
          <w:position w:val="-62"/>
        </w:rPr>
        <w:object w:dxaOrig="3820" w:dyaOrig="1340">
          <v:shape id="_x0000_i1035" type="#_x0000_t75" style="width:191.1pt;height:67.15pt" o:ole="">
            <v:imagedata r:id="rId28" o:title=""/>
          </v:shape>
          <o:OLEObject Type="Embed" ProgID="Equation.DSMT4" ShapeID="_x0000_i1035" DrawAspect="Content" ObjectID="_1740740805" r:id="rId29"/>
        </w:object>
      </w:r>
    </w:p>
    <w:p w:rsidR="00556E6A" w:rsidRPr="00556E6A" w:rsidRDefault="00556E6A" w:rsidP="00556E6A">
      <w:pPr>
        <w:spacing w:before="156" w:after="156"/>
      </w:pPr>
      <w:r>
        <w:rPr>
          <w:rFonts w:hint="eastAsia"/>
        </w:rPr>
        <w:t>其它速度分布的反应率的推导也都</w:t>
      </w:r>
      <w:proofErr w:type="gramStart"/>
      <w:r>
        <w:rPr>
          <w:rFonts w:hint="eastAsia"/>
        </w:rPr>
        <w:t>同理像</w:t>
      </w:r>
      <w:proofErr w:type="gramEnd"/>
      <w:r>
        <w:rPr>
          <w:rFonts w:hint="eastAsia"/>
        </w:rPr>
        <w:t>这样换到质心系速度比较简单。</w:t>
      </w:r>
    </w:p>
    <w:p w:rsidR="00157A75" w:rsidRDefault="00467598" w:rsidP="00467598">
      <w:pPr>
        <w:pStyle w:val="2"/>
        <w:spacing w:before="156" w:after="156"/>
      </w:pPr>
      <w:r>
        <w:rPr>
          <w:rFonts w:hint="eastAsia"/>
        </w:rPr>
        <w:t>常见</w:t>
      </w:r>
      <w:r w:rsidR="00D55B73">
        <w:rPr>
          <w:rFonts w:hint="eastAsia"/>
        </w:rPr>
        <w:t>聚变</w:t>
      </w:r>
      <w:r>
        <w:rPr>
          <w:rFonts w:hint="eastAsia"/>
        </w:rPr>
        <w:t>反应的反应截面与反应</w:t>
      </w:r>
      <w:r w:rsidR="008E372E">
        <w:rPr>
          <w:rFonts w:hint="eastAsia"/>
        </w:rPr>
        <w:t>率</w:t>
      </w:r>
      <w:r>
        <w:rPr>
          <w:rFonts w:hint="eastAsia"/>
        </w:rPr>
        <w:t>系数</w:t>
      </w:r>
      <w:r w:rsidR="008E372E">
        <w:rPr>
          <w:rFonts w:hint="eastAsia"/>
        </w:rPr>
        <w:t>图表</w:t>
      </w:r>
    </w:p>
    <w:p w:rsidR="00E21728" w:rsidRDefault="00E21728" w:rsidP="00E21728">
      <w:pPr>
        <w:spacing w:before="156" w:after="156"/>
      </w:pPr>
      <w:r>
        <w:rPr>
          <w:rFonts w:hint="eastAsia"/>
        </w:rPr>
        <w:t>美国能源部1</w:t>
      </w:r>
      <w:r>
        <w:t>974</w:t>
      </w:r>
      <w:r>
        <w:rPr>
          <w:rFonts w:hint="eastAsia"/>
        </w:rPr>
        <w:t>年的一篇技术文档《</w:t>
      </w:r>
      <w:r w:rsidRPr="00E21728">
        <w:t xml:space="preserve">Fusion cross sections and </w:t>
      </w:r>
      <w:proofErr w:type="spellStart"/>
      <w:r w:rsidRPr="00E21728">
        <w:t>reactivities</w:t>
      </w:r>
      <w:proofErr w:type="spellEnd"/>
      <w:r>
        <w:rPr>
          <w:rFonts w:hint="eastAsia"/>
        </w:rPr>
        <w:t>》记录了常见聚变反应的反应截面（能量以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36242">
        <w:rPr>
          <w:rFonts w:hint="eastAsia"/>
        </w:rPr>
        <w:t>计，以拟合式计算</w:t>
      </w:r>
      <w:r>
        <w:rPr>
          <w:rFonts w:hint="eastAsia"/>
        </w:rPr>
        <w:t>）</w:t>
      </w:r>
      <w:r w:rsidR="00E36242">
        <w:rPr>
          <w:rFonts w:hint="eastAsia"/>
        </w:rPr>
        <w:t>，和双Maxwell分布、Maxwell-束分布</w:t>
      </w:r>
      <w:proofErr w:type="gramStart"/>
      <w:r w:rsidR="00E36242">
        <w:rPr>
          <w:rFonts w:hint="eastAsia"/>
        </w:rPr>
        <w:t>下计算</w:t>
      </w:r>
      <w:proofErr w:type="gramEnd"/>
      <w:r w:rsidR="00E36242">
        <w:rPr>
          <w:rFonts w:hint="eastAsia"/>
        </w:rPr>
        <w:t>得到的反应率系数。</w:t>
      </w:r>
      <w:r w:rsidR="008E372E">
        <w:rPr>
          <w:rFonts w:hint="eastAsia"/>
        </w:rPr>
        <w:t>年代所限</w:t>
      </w:r>
      <w:r w:rsidR="00E36242">
        <w:rPr>
          <w:rFonts w:hint="eastAsia"/>
        </w:rPr>
        <w:t>可能不是很准，权作参考。</w:t>
      </w:r>
    </w:p>
    <w:p w:rsidR="008E372E" w:rsidRPr="00E21728" w:rsidRDefault="008E372E" w:rsidP="00E21728">
      <w:pPr>
        <w:spacing w:before="156" w:after="156"/>
      </w:pPr>
      <w:r>
        <w:rPr>
          <w:rFonts w:hint="eastAsia"/>
        </w:rPr>
        <w:t>最近的文献中的数据是：</w:t>
      </w:r>
    </w:p>
    <w:p w:rsidR="00467598" w:rsidRDefault="00467598" w:rsidP="00467598">
      <w:pPr>
        <w:spacing w:before="156" w:after="156"/>
      </w:pPr>
      <w:r>
        <w:rPr>
          <w:noProof/>
        </w:rPr>
        <w:drawing>
          <wp:inline distT="0" distB="0" distL="0" distR="0" wp14:anchorId="07209F88" wp14:editId="57E4AABD">
            <wp:extent cx="5274310" cy="259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98" w:rsidRDefault="00467598" w:rsidP="00467598">
      <w:pPr>
        <w:spacing w:before="156" w:after="156"/>
      </w:pPr>
      <w:r>
        <w:rPr>
          <w:rFonts w:hint="eastAsia"/>
        </w:rPr>
        <w:t>——摘自谢华生</w:t>
      </w:r>
      <w:r w:rsidR="00305EBC">
        <w:rPr>
          <w:rFonts w:hint="eastAsia"/>
        </w:rPr>
        <w:t>于</w:t>
      </w:r>
      <w:r>
        <w:rPr>
          <w:rFonts w:hint="eastAsia"/>
        </w:rPr>
        <w:t>2</w:t>
      </w:r>
      <w:r>
        <w:t>022.12</w:t>
      </w:r>
      <w:r>
        <w:rPr>
          <w:rFonts w:hint="eastAsia"/>
        </w:rPr>
        <w:t>发布在</w:t>
      </w:r>
      <w:proofErr w:type="spellStart"/>
      <w:r>
        <w:rPr>
          <w:rFonts w:hint="eastAsia"/>
        </w:rPr>
        <w:t>arXiv</w:t>
      </w:r>
      <w:proofErr w:type="spellEnd"/>
      <w:r>
        <w:rPr>
          <w:rFonts w:hint="eastAsia"/>
        </w:rPr>
        <w:t>上的</w:t>
      </w:r>
      <w:r w:rsidR="00305EBC">
        <w:rPr>
          <w:rFonts w:hint="eastAsia"/>
        </w:rPr>
        <w:t>很新的一篇</w:t>
      </w:r>
      <w:r>
        <w:rPr>
          <w:rFonts w:hint="eastAsia"/>
        </w:rPr>
        <w:t>文章</w:t>
      </w:r>
      <w:r w:rsidR="008E372E">
        <w:rPr>
          <w:rFonts w:hint="eastAsia"/>
        </w:rPr>
        <w:t>《</w:t>
      </w:r>
      <w:r>
        <w:t xml:space="preserve">Fusion </w:t>
      </w:r>
      <w:proofErr w:type="spellStart"/>
      <w:r>
        <w:t>Reactivities</w:t>
      </w:r>
      <w:proofErr w:type="spellEnd"/>
      <w:r>
        <w:t xml:space="preserve"> with Drift bi-</w:t>
      </w:r>
      <w:proofErr w:type="spellStart"/>
      <w:r>
        <w:t>Maxwellian</w:t>
      </w:r>
      <w:proofErr w:type="spellEnd"/>
      <w:r>
        <w:t xml:space="preserve"> Ion</w:t>
      </w:r>
      <w:r>
        <w:rPr>
          <w:rFonts w:hint="eastAsia"/>
        </w:rPr>
        <w:t xml:space="preserve"> </w:t>
      </w:r>
      <w:r>
        <w:t>Velocity Distributions</w:t>
      </w:r>
      <w:r w:rsidR="008E372E">
        <w:rPr>
          <w:rFonts w:hint="eastAsia"/>
        </w:rPr>
        <w:t>》</w:t>
      </w:r>
    </w:p>
    <w:p w:rsidR="00305EBC" w:rsidRPr="00467598" w:rsidRDefault="00305EBC" w:rsidP="00467598">
      <w:pPr>
        <w:spacing w:before="156" w:after="156"/>
      </w:pPr>
      <w:r>
        <w:rPr>
          <w:rFonts w:hint="eastAsia"/>
        </w:rPr>
        <w:t>（</w:t>
      </w:r>
      <w:r w:rsidR="00467598">
        <w:rPr>
          <w:rFonts w:hint="eastAsia"/>
        </w:rPr>
        <w:t>主要</w:t>
      </w:r>
      <w:r w:rsidR="00AF00A4">
        <w:rPr>
          <w:rFonts w:hint="eastAsia"/>
        </w:rPr>
        <w:t>新</w:t>
      </w:r>
      <w:r>
        <w:rPr>
          <w:rFonts w:hint="eastAsia"/>
        </w:rPr>
        <w:t>推</w:t>
      </w:r>
      <w:r w:rsidR="00467598">
        <w:rPr>
          <w:rFonts w:hint="eastAsia"/>
        </w:rPr>
        <w:t>的是Maxwell分布带了宏观速度后对反应率的影响。</w:t>
      </w:r>
      <w:r>
        <w:rPr>
          <w:noProof/>
        </w:rPr>
        <w:drawing>
          <wp:inline distT="0" distB="0" distL="0" distR="0" wp14:anchorId="4D54E86E" wp14:editId="7A33BA52">
            <wp:extent cx="2863018" cy="54953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4777" cy="5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sectPr w:rsidR="00305EBC" w:rsidRPr="0046759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967" w:rsidRDefault="00614967" w:rsidP="000D3681">
      <w:pPr>
        <w:spacing w:before="120" w:after="120"/>
      </w:pPr>
      <w:r>
        <w:separator/>
      </w:r>
    </w:p>
  </w:endnote>
  <w:endnote w:type="continuationSeparator" w:id="0">
    <w:p w:rsidR="00614967" w:rsidRDefault="00614967" w:rsidP="000D3681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BFA" w:rsidRDefault="00465BFA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BFA" w:rsidRDefault="00465BFA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BFA" w:rsidRDefault="00465BFA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967" w:rsidRDefault="00614967" w:rsidP="000D3681">
      <w:pPr>
        <w:spacing w:before="120" w:after="120"/>
      </w:pPr>
      <w:r>
        <w:separator/>
      </w:r>
    </w:p>
  </w:footnote>
  <w:footnote w:type="continuationSeparator" w:id="0">
    <w:p w:rsidR="00614967" w:rsidRDefault="00614967" w:rsidP="000D3681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BFA" w:rsidRDefault="00465BFA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BFA" w:rsidRDefault="00465BFA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BFA" w:rsidRDefault="00465BFA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54271"/>
    <w:multiLevelType w:val="hybridMultilevel"/>
    <w:tmpl w:val="60A4D1A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8B0EDC"/>
    <w:multiLevelType w:val="hybridMultilevel"/>
    <w:tmpl w:val="A5D0C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5F1EB5"/>
    <w:multiLevelType w:val="hybridMultilevel"/>
    <w:tmpl w:val="9E50F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19"/>
    <w:rsid w:val="000D1BCE"/>
    <w:rsid w:val="000D3681"/>
    <w:rsid w:val="00157A75"/>
    <w:rsid w:val="00164D4E"/>
    <w:rsid w:val="00195777"/>
    <w:rsid w:val="0022446B"/>
    <w:rsid w:val="002A389D"/>
    <w:rsid w:val="00305EBC"/>
    <w:rsid w:val="00465BFA"/>
    <w:rsid w:val="00467598"/>
    <w:rsid w:val="004D1AC7"/>
    <w:rsid w:val="004F4B19"/>
    <w:rsid w:val="00511AE2"/>
    <w:rsid w:val="00556E6A"/>
    <w:rsid w:val="005C308E"/>
    <w:rsid w:val="005C4902"/>
    <w:rsid w:val="005D574B"/>
    <w:rsid w:val="00614967"/>
    <w:rsid w:val="006266D1"/>
    <w:rsid w:val="00627D72"/>
    <w:rsid w:val="006E0343"/>
    <w:rsid w:val="007043E2"/>
    <w:rsid w:val="00736E46"/>
    <w:rsid w:val="007E397F"/>
    <w:rsid w:val="00804695"/>
    <w:rsid w:val="00804DD5"/>
    <w:rsid w:val="00820DB5"/>
    <w:rsid w:val="0086301B"/>
    <w:rsid w:val="008A7795"/>
    <w:rsid w:val="008C24BB"/>
    <w:rsid w:val="008E372E"/>
    <w:rsid w:val="0092012D"/>
    <w:rsid w:val="009368C1"/>
    <w:rsid w:val="00937BFE"/>
    <w:rsid w:val="009B52BA"/>
    <w:rsid w:val="009F733B"/>
    <w:rsid w:val="00A33605"/>
    <w:rsid w:val="00A510C1"/>
    <w:rsid w:val="00A6067F"/>
    <w:rsid w:val="00A63E21"/>
    <w:rsid w:val="00A77FE1"/>
    <w:rsid w:val="00AC41E6"/>
    <w:rsid w:val="00AF00A4"/>
    <w:rsid w:val="00B8676E"/>
    <w:rsid w:val="00B9621A"/>
    <w:rsid w:val="00BA4060"/>
    <w:rsid w:val="00BC5EEF"/>
    <w:rsid w:val="00BE2DFE"/>
    <w:rsid w:val="00BE549F"/>
    <w:rsid w:val="00C25DD8"/>
    <w:rsid w:val="00C9732B"/>
    <w:rsid w:val="00D401A3"/>
    <w:rsid w:val="00D5219A"/>
    <w:rsid w:val="00D55B73"/>
    <w:rsid w:val="00D75BE3"/>
    <w:rsid w:val="00E21728"/>
    <w:rsid w:val="00E36242"/>
    <w:rsid w:val="00E37E7A"/>
    <w:rsid w:val="00E441DA"/>
    <w:rsid w:val="00E66262"/>
    <w:rsid w:val="00ED3F33"/>
    <w:rsid w:val="00EE0402"/>
    <w:rsid w:val="00F4529B"/>
    <w:rsid w:val="00F65D5B"/>
    <w:rsid w:val="00F94952"/>
    <w:rsid w:val="00FA0370"/>
    <w:rsid w:val="00FA2D3C"/>
    <w:rsid w:val="00FC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8A748"/>
  <w15:chartTrackingRefBased/>
  <w15:docId w15:val="{A22ABF87-349A-4F00-B705-2DCE7FF7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681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6E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3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68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D3681"/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a7">
    <w:name w:val="List Paragraph"/>
    <w:basedOn w:val="a"/>
    <w:uiPriority w:val="34"/>
    <w:qFormat/>
    <w:rsid w:val="000D368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B52BA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937BFE"/>
    <w:pPr>
      <w:tabs>
        <w:tab w:val="center" w:pos="4160"/>
        <w:tab w:val="right" w:pos="8300"/>
      </w:tabs>
      <w:spacing w:before="156" w:after="156"/>
    </w:pPr>
  </w:style>
  <w:style w:type="character" w:customStyle="1" w:styleId="MTDisplayEquation0">
    <w:name w:val="MTDisplayEquation 字符"/>
    <w:basedOn w:val="a0"/>
    <w:link w:val="MTDisplayEquation"/>
    <w:rsid w:val="00937BFE"/>
  </w:style>
  <w:style w:type="character" w:styleId="a9">
    <w:name w:val="Hyperlink"/>
    <w:basedOn w:val="a0"/>
    <w:uiPriority w:val="99"/>
    <w:unhideWhenUsed/>
    <w:rsid w:val="0080469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56E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-nds.iaea.org/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footer" Target="foot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freecloud</dc:creator>
  <cp:keywords/>
  <dc:description/>
  <cp:lastModifiedBy>way freecloud</cp:lastModifiedBy>
  <cp:revision>48</cp:revision>
  <dcterms:created xsi:type="dcterms:W3CDTF">2023-03-03T14:37:00Z</dcterms:created>
  <dcterms:modified xsi:type="dcterms:W3CDTF">2023-03-19T06:13:00Z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