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000000"/>
        </w:rPr>
        <w:t>Zabbix 多租户托管运维平台技术方案</w:t>
      </w:r>
    </w:p>
    <w:p>
      <w:r>
        <w:rPr>
          <w:b w:val="0"/>
          <w:color w:val="000000"/>
        </w:rPr>
        <w:t>采用独立 MSP 控制层、Zabbix 监控资源池与客户侧 Proxy 构建多租户托管运维平台。控制层统一管理租户、资产、权限、事件、工单和自动化，Zabbix 负责指标采集、规则计算与监控数据存储。标准客户使用共享监控实例，具有独立数据、故障边界或容量要求的客户使用独享实例。</w:t>
      </w:r>
    </w:p>
    <w:p>
      <w:pPr>
        <w:pStyle w:val="Heading1"/>
      </w:pPr>
      <w:r>
        <w:t>1 建设目标与范围</w:t>
      </w:r>
    </w:p>
    <w:p>
      <w:r>
        <w:rPr>
          <w:b w:val="0"/>
          <w:color w:val="000000"/>
        </w:rPr>
        <w:t>建设范围包括多租户权限管理、资产与监控配置、指标查询、告警策略、多渠道通知、工单与自动化闭环、运营看板、SLA 报告，以及大规模监控的性能和高可用设计。</w:t>
      </w:r>
    </w:p>
    <w:p>
      <w:r>
        <w:rPr>
          <w:b w:val="0"/>
          <w:color w:val="000000"/>
        </w:rPr>
        <w:t>租户身份、对象归属、资源配额和审计由平台建立；主机组负责监控对象授权，标签仅用于路由与检索。平台通过 API、模板和 Webhook 集成 Zabbix，核心逻辑修改仅在现有扩展点无法满足明确需求时采用。</w:t>
      </w:r>
    </w:p>
    <w:p>
      <w:r>
        <w:rPr>
          <w:b w:val="0"/>
          <w:color w:val="000000"/>
        </w:rPr>
        <w:t>Server 原生高可用采用主备模式，增加备用节点不提高处理吞吐。采集能力通过 Proxy 扩展，超过单实例处理或存储瓶颈后新增独立监控资源池。</w:t>
      </w:r>
    </w:p>
    <w:p>
      <w:pPr>
        <w:pStyle w:val="Heading1"/>
      </w:pPr>
      <w:r>
        <w:t>2 技术选型</w:t>
      </w:r>
    </w:p>
    <w:p>
      <w:r>
        <w:rPr>
          <w:b w:val="0"/>
          <w:color w:val="000000"/>
        </w:rPr>
        <w:t>监控引擎选用仍在官方支持期内的 Zabbix LTS 稳定维护版本。部署前锁定 Zabbix、Proxy、Agent、数据库与扩展的兼容组合，固定镜像摘要，并建立升级与回退流程。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38"/>
        <w:gridCol w:w="3231"/>
        <w:gridCol w:w="187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路线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优点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代价与适用场景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原生界面 + 配置集成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启动快，复用现有能力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客户体验、租户配额、运营流程扩展有限；适合内部运维或早期验证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用作 PoC 和内部运维入口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独立控制层 + 原生监控引擎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业务模型清晰，独立门户，多实例可统一管理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需实现对象授权、异步一致性和连接器维护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推荐主线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深度修改 Zabbix 核心 / 数据库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可改变底层行为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升级合并、性能回归与安全补丁适配成本高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只有 API / 扩展点无法覆盖的明确需求才考虑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2.1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005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建议组件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选择理由 / 约束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客户门户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Vue + TypeScript + ECharts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资产、告警、工单与运营看板共用权限上下文；以团队熟悉度决定组件库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控制层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Java LTS + Spring Boot；模块化单体 + 独立 Worker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先统一业务事务与审计，随后按负载拆分；所有外部调用经 Adapter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身份与授权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OIDC 身份提供方 + 平台 RBAC / 资源范围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平台保存租户成员与授权，不把外部身份组直接当成全权限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业务存储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PostgreSQL + Redis + 兼容 S3 对象存储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PostgreSQL 保存权威业务状态；Redis 缓存；对象存储保存报告和执行附件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任务与事件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事务 Outbox + RabbitMQ + Worker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持久化、确认消费、重试、死信；PoC 可先用数据库任务队列验证流程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监控引擎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Zabbix LTS 稳定维护版本；同代 Proxy / Agent 2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锁定具体补丁版本和镜像摘要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监控数据库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PostgreSQL；TimescaleDB 经 PoC 后启用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按 Zabbix 补丁版本、PostgreSQL、TimescaleDB 三方兼容矩阵锁定组合；平台业务库与监控库分离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自动化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既有 AWX / Ansible 平台优先复用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无既有平台时，先用受控 Ansible Runner，再按需求引入 AWX 工作流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部署方式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虚拟机 / 容器；有成熟 Kubernetes 团队再复用集群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Zabbix Server 与数据库优先保持清晰的持久化和主备拓扑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</w:pPr>
      <w:r>
        <w:t>3 总体架构</w:t>
      </w:r>
    </w:p>
    <w:p>
      <w:r>
        <w:rPr>
          <w:b w:val="0"/>
          <w:color w:val="000000"/>
        </w:rPr>
        <w:t>控制层负责“谁可以操作什么、请求如何闭环”；监控资源池负责“如何采集、计算、存储与产生事件”。每个资源池包含一套 Zabbix 实例及其数据库，可承载多个标准租户，也可独享给单个客户。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540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5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组件与职责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访问层</w:t>
            </w:r>
          </w:p>
        </w:tc>
        <w:tc>
          <w:tcPr>
            <w:tcW w:type="dxa" w:w="75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客户门户、MSP 运营工作台；OIDC 登录与租户上下文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控制层</w:t>
            </w:r>
          </w:p>
        </w:tc>
        <w:tc>
          <w:tcPr>
            <w:tcW w:type="dxa" w:w="75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租户授权、资源配额、资产模板、配置同步、事件通知、工单、编排、审计和报表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平台数据层</w:t>
            </w:r>
          </w:p>
        </w:tc>
        <w:tc>
          <w:tcPr>
            <w:tcW w:type="dxa" w:w="75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业务 PostgreSQL、Outbox、RabbitMQ、Redis、对象存储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监控资源池</w:t>
            </w:r>
          </w:p>
        </w:tc>
        <w:tc>
          <w:tcPr>
            <w:tcW w:type="dxa" w:w="75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每池独立 Zabbix API 前端、Server 主备与监控 PostgreSQL，可选 TimescaleDB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客户采集层</w:t>
            </w:r>
          </w:p>
        </w:tc>
        <w:tc>
          <w:tcPr>
            <w:tcW w:type="dxa" w:w="75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按客户和网络站点部署 Proxy 或 Proxy Group，连接 Agent、SNMP、HTTP 等采集对象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外部系统</w:t>
            </w:r>
          </w:p>
        </w:tc>
        <w:tc>
          <w:tcPr>
            <w:tcW w:type="dxa" w:w="75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CMDB、ITSM、通知渠道、AWX 或 Ansible Runner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color w:val="000000"/>
        </w:rPr>
        <w:t>客户门户 → MSP 控制层 → Zabbix API；客户设备 → Proxy → 监控资源池；Zabbix Webhook → 事件中心 → 通知、工单与自动化。业务数据库和监控数据库分离，各监控资源池拥有独立数据库。</w:t>
      </w:r>
    </w:p>
    <w:p>
      <w:r>
        <w:rPr>
          <w:b w:val="0"/>
          <w:color w:val="000000"/>
        </w:rPr>
        <w:t>门户 → 业务事务 → Worker → API。保存期望配置与版本，同时写入 Outbox。Worker 根据租户路由调用对应 Zabbix API，记录实际结果，再定期检查配置漂移。前端展示“同步中 / 生效 / 失败”，而非提前宣布创建成功。</w:t>
      </w:r>
    </w:p>
    <w:p>
      <w:r>
        <w:rPr>
          <w:b w:val="0"/>
          <w:color w:val="000000"/>
        </w:rPr>
        <w:t>Zabbix → Webhook → 事件中心 → 闭环。事件先可靠落库，再返回成功并异步处理。事件中心去重、补齐资产上下文、分派通知与工单；恢复后复核执行结果并更新报告。</w:t>
      </w:r>
    </w:p>
    <w:p>
      <w:r>
        <w:rPr>
          <w:b w:val="0"/>
          <w:color w:val="000000"/>
        </w:rPr>
        <w:t>设备 → Agent / Proxy → Zabbix DB。指标查询先校验资产和 Item 所属，再按需读取历史或趋势。报表以业务聚合和小时趋势为主，避免控制层成为第二套全量时序存储。</w:t>
      </w:r>
    </w:p>
    <w:p>
      <w:r>
        <w:rPr>
          <w:b w:val="0"/>
          <w:color w:val="000000"/>
        </w:rPr>
        <w:t>CMDB → 平台映射 → Zabbix Host。CMDB 管理生命周期、负责人和服务关系；Zabbix 反馈监控状态与采集发现。IP 可能重复，不能用 IP 作为跨客户资产唯一键。</w:t>
      </w:r>
    </w:p>
    <w:p>
      <w:pPr>
        <w:pStyle w:val="Heading1"/>
      </w:pPr>
      <w:r>
        <w:t>4 多租户隔离</w:t>
      </w:r>
    </w:p>
    <w:p>
      <w:r>
        <w:rPr>
          <w:b w:val="0"/>
          <w:color w:val="000000"/>
        </w:rPr>
        <w:t>租户标识必须由可信登录上下文解析，并对每个对象实施授权。请求中的 tenant_id、主机名、标签和前端筛选都不能单独作为授权依据。跨客户值班人员通过受审计的“当前租户切换”工作；平台管理员的跨租户能力单独授权。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175"/>
        <w:gridCol w:w="2381"/>
        <w:gridCol w:w="2154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模式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边界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主要代价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共享监控实例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独立主机组、受限身份、平台对象授权；共享 Server 与监控 DB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存在共同故障域和资源争用；管理员可接触多个租户数据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标准客户、监控配置及数据保留政策相近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独享监控实例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独立 Server、DB、Proxy 路由和凭据；统一控制门户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更多资源、备份和升级单元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较高负载、独立数据留存 / 地域 / 变更窗口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独立部署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控制层及监控层均在客户环境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版本分散、远程维护与分发成本高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客户要求自主管理全部系统，或网络无法接入共享控制层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4.1 隔离控制</w:t>
      </w:r>
    </w:p>
    <w:p>
      <w:pPr>
        <w:ind w:left="198" w:hanging="198"/>
      </w:pPr>
      <w:r>
        <w:rPr>
          <w:b w:val="0"/>
          <w:color w:val="000000"/>
        </w:rPr>
        <w:t>1. 身份层：成员表 tenant_membership 保存用户、租户、角色与资源范围。每次切换校验成员关系，短期会话缓存授权版本，撤权后立即失效。</w:t>
      </w:r>
    </w:p>
    <w:p>
      <w:pPr>
        <w:ind w:left="198" w:hanging="198"/>
      </w:pPr>
      <w:r>
        <w:rPr>
          <w:b w:val="0"/>
          <w:color w:val="000000"/>
        </w:rPr>
        <w:t>2. 对象层：Host / Item / Trigger / Event / Dashboard / Report / Job 等所有入口都先验证 (tenant_id, object_id)。批量请求逐项授权；对象不存在与无权限统一响应，避免暴露客户资源。</w:t>
      </w:r>
    </w:p>
    <w:p>
      <w:pPr>
        <w:ind w:left="198" w:hanging="198"/>
      </w:pPr>
      <w:r>
        <w:rPr>
          <w:b w:val="0"/>
          <w:color w:val="000000"/>
        </w:rPr>
        <w:t>3. Zabbix 层：主机组按 tenant/{uuid}/{site} 分配，技术主机名带不可冲突标识；共享基础模板只允许平台发布。标准租户配受限的查询和配置身份；需更高权限的操作只在内部 Provisioner 中执行，不向门户提供任意 API 透传。</w:t>
      </w:r>
    </w:p>
    <w:p>
      <w:pPr>
        <w:ind w:left="198" w:hanging="198"/>
      </w:pPr>
      <w:r>
        <w:rPr>
          <w:b w:val="0"/>
          <w:color w:val="000000"/>
        </w:rPr>
        <w:t>4. 数据库层：平台业务表包含非空 tenant_id，复合外键与唯一键携带租户。启用 RLS 作为补充，应用连接使用非 owner、非 superuser、无 BYPASSRLS 的角色；每事务设置租户上下文，并防止连接池复用残留。</w:t>
      </w:r>
    </w:p>
    <w:p>
      <w:pPr>
        <w:ind w:left="198" w:hanging="198"/>
      </w:pPr>
      <w:r>
        <w:rPr>
          <w:b w:val="0"/>
          <w:color w:val="000000"/>
        </w:rPr>
        <w:t>5. 缓存与任务层：缓存键包含租户、监控实例、权限版本和查询条件；消息写入可信租户与对象引用，消费时再次校验。报告下载使用授权后签发的短时地址，不能依赖路径不可猜测。</w:t>
      </w:r>
    </w:p>
    <w:p>
      <w:pPr>
        <w:ind w:left="198" w:hanging="198"/>
      </w:pPr>
      <w:r>
        <w:rPr>
          <w:b w:val="0"/>
          <w:color w:val="000000"/>
        </w:rPr>
        <w:t>6. 网络与执行层：Proxy、通知连接器和执行器按客户网络分配凭据；Worker 配置租户并发上限。任意 URL、任意脚本和任意主机清单均不作为面向客户的通用输入。</w:t>
      </w:r>
    </w:p>
    <w:p>
      <w:pPr>
        <w:keepNext/>
      </w:pPr>
      <w:r>
        <w:rPr>
          <w:b/>
          <w:color w:val="000000"/>
        </w:rPr>
        <w:t>必须验证的 Zabbix 权限细节</w:t>
      </w:r>
    </w:p>
    <w:p>
      <w:r>
        <w:rPr>
          <w:b w:val="0"/>
          <w:color w:val="000000"/>
        </w:rPr>
        <w:t>不同用户组的 Read / Read-write 可能扩大访问，显式 Deny 会阻断访问；问题标签过滤控制的是问题可见性。不要把全局“Linux”“数据库”主机组赋给所有租户。所有新增主机组、成员变化和模板发布都要跑双租户回归。上述规则来自官方权限文档，完整 SaaS 隔离由本方案额外实现。</w:t>
      </w:r>
    </w:p>
    <w:p>
      <w:pPr>
        <w:pStyle w:val="Heading2"/>
      </w:pPr>
      <w:r>
        <w:t>4.2 角色矩阵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38"/>
        <w:gridCol w:w="3231"/>
        <w:gridCol w:w="187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资产 / 指标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告警 / 工单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模板与自动化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客户观察者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授权范围只读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只读 / 评论按合同开启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不可改模板，不可执行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客户管理员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本租户资产、接入配置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本租户确认、派单、通知策略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选择已批准模板；申请执行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MSP 值班工程师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被指派租户范围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确认、处置、升级、复核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执行被授权 Runbook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平台管理员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全局管理需独立授权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平台故障与全局审计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版本发布、路由、配额；高风险执行审批职责分开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color w:val="000000"/>
        </w:rPr>
        <w:t>RLS 只加在自建业务库；不为实现多租户而直接改写 Zabbix 原生表结构或给原生查询叠加自定义 RLS。客户删除在共享监控库中并不等同于立即清除备份及全部历史，应在产品规则中明确保留与清理流程。</w:t>
      </w:r>
    </w:p>
    <w:p>
      <w:pPr>
        <w:pStyle w:val="Heading1"/>
      </w:pPr>
      <w:r>
        <w:t>5 数据模型与接口设计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762"/>
        <w:gridCol w:w="215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实体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关键字段 / 约束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权威来源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tenant / membership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tenant_id、status、plan、quota；(tenant_id, user_id)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MSP 平台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monitoring_instance / route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instance_id、endpoint_ref、version、secret_ref；tenant + site → instance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平台资源池管理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asset / binding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tenant_id、asset_id、cmdb_id、site_id、instance_id、hostid；唯一 (instance_id, hostid)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CMDB 资产事实；平台监控绑定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template_release / desired_config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release_id、checksum、desired_version、applied_version、sync_status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Git 模板仓库 / 平台配置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event_record / incident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tenant_id、instance_id、eventid、r_eventid、event_clock、received_at、source_state、handling_state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Zabbix 产生监控事件；平台管理处置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ticket_binding / notification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tenant_id、incident_id、external_id、channel、attempt、delivery_state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ITSM 工单；平台连接记录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automation_run / approval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tenant_id、incident_id、runbook_version、inventory_snapshot、job_id、approver、result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平台审批；执行引擎状态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outbox / audit_log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tenant_id、aggregate_id、operation_id、payload_hash、actor、trace_id、occurred_at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平台事务与追加式审计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color w:val="000000"/>
        </w:rPr>
        <w:t>所有 Zabbix ID 按字符串处理。唯一性必须包含 instance_id；Zabbix 各实例可能生成相同 ID。业务资产 ID 保持稳定，迁移实例时新增带生效区间的 binding，不把旧 hostid 当作新实例 ID。</w:t>
      </w:r>
    </w:p>
    <w:p>
      <w:pPr>
        <w:pStyle w:val="Heading2"/>
      </w:pPr>
      <w:r>
        <w:t>5.1 业务接口与内部调用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2948"/>
        <w:gridCol w:w="2721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平台接口（设计示例）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行为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下游接口 / 数据来源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POST /v1/assets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202 + operation_id；幂等键创建资产并异步接入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host.create、模板绑定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GET /v1/assets/{id}/metrics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先查归属，再限制 Item、时间范围和返回点数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item.get / history.get / trend.get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POST /v1/monitoring-plans/{id}/apply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记录配置版本，分批发布和回读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host.update / template.get 等受控方法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GET /v1/incidents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租户作用域内的处置列表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平台事件库；problem.get 补充当前问题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POST /v1/incidents/{id}/ack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本地审计后，幂等回写确认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event.acknowledge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POST /v1/incidents/{id}/automation-runs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校验 Runbook、目标集与审批状态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AWX / Runner Adapter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POST /internal/zabbix/{instance}/events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校验来源凭据、实例与资产关系，持久化后确认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Zabbix Webhook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color w:val="000000"/>
        </w:rPr>
        <w:t>例如，内部 Adapter 经服务端授权得到允许的 hostid 后，才发送以下请求。Token 仅从服务端密钥存储读取，不能进入浏览器、日志或报告。Zabbix LTS API 使用 JSON-RPC，官方支持 Authorization: Bearer 认证。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POST /zabbix/api_jsonrpc.php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Authorization: Bearer &lt;server-side scoped token&gt;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Content-Type: application/json-rpc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{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"jsonrpc": "2.0",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"method": "host.get",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"params": {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"hostids": ["10481"],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  "output": ["hostid", "host", "name", "status"]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},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"id": 1</w:t>
      </w:r>
    </w:p>
    <w:p>
      <w:pPr>
        <w:keepNext w:val="0"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}</w:t>
      </w:r>
    </w:p>
    <w:p>
      <w:pPr>
        <w:spacing w:after="0"/>
      </w:pPr>
    </w:p>
    <w:p>
      <w:pPr>
        <w:pStyle w:val="Heading2"/>
      </w:pPr>
      <w:r>
        <w:t>5.2 写入一致性与失败恢复</w:t>
      </w:r>
    </w:p>
    <w:p>
      <w:r>
        <w:rPr>
          <w:b w:val="0"/>
          <w:color w:val="000000"/>
        </w:rPr>
        <w:t>数据库事务只覆盖平台记录与 Outbox，不跨 Zabbix / ITSM 做分布式事务。对写请求使用 tenant_id + Idempotency-Key 唯一约束，并校验请求摘要；同一幂等键不同请求体返回冲突。调用超时视为“结果未知”，先按稳定技术名称 / 映射回读，再决定重试，避免重复创建。</w:t>
      </w:r>
    </w:p>
    <w:p>
      <w:r>
        <w:rPr>
          <w:b w:val="0"/>
          <w:color w:val="000000"/>
        </w:rPr>
        <w:t>Worker 按对象串行应用递增配置版本；失败进入可重试 / 需人工介入状态。对账检查“期望版本、已应用版本、实际配置摘要”。统一处理 HTTP 失败和 JSON-RPC 的 error 字段；对每个实例设置速率、并发和熔断，批量接口限制对象数。</w:t>
      </w:r>
    </w:p>
    <w:p>
      <w:r>
        <w:rPr>
          <w:b w:val="0"/>
          <w:color w:val="000000"/>
        </w:rPr>
        <w:t>示例起始限制：普通列表每页 100、最大 500；单图最多 20 条曲线、每条 1,000 个点；超过范围转异步报表或缩小时间窗。以上均为待压测的产品限制，不是 Zabbix 原生固定上限。</w:t>
      </w:r>
    </w:p>
    <w:p>
      <w:pPr>
        <w:pStyle w:val="Heading1"/>
      </w:pPr>
      <w:r>
        <w:t>6 监控接入与模板治理</w:t>
      </w:r>
    </w:p>
    <w:p>
      <w:r>
        <w:rPr>
          <w:b w:val="0"/>
          <w:color w:val="000000"/>
        </w:rPr>
        <w:t>资产登记（CMDB ID、租户、站点、负责人、服务关系） → 分配采集（网络检查、Proxy 绑定、独立凭据） → 套用模板（版本、宏、采样周期、阈值） → 验证首值（Agent 可达、Item 有效、触发器正常） → 进入服务（计量、告警分派、SLA 映射）。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005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优先方式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设计要点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Linux / Windows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Agent 2，受限网络优先主动检查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模板、证书 / PSK、主机身份预登记；控制昂贵命令与日志采集范围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交换机 / 防火墙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站点 Proxy + SNMPv3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凭据按租户存储；轮询与 Trap 通道分别设计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数据库 / 中间件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官方模板、Agent 2 插件或 HTTP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最小采集权限；慢查询、连接池、关键业务指标分层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业务 API / 网站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HTTP 检查 / Web 场景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连通性、响应时间、状态码、必要业务断言；采集点决定观测视角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自定义业务指标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受控 Sender / Trapper 或 HTTP 采集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统一命名、单位、数据类型、频率；平台管理注册和凭据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color w:val="000000"/>
        </w:rPr>
        <w:t>模板按“基础设施 → 中间件 → 业务服务”分层，进入版本库并走灰度发布。租户差异通过受控宏和覆盖参数表达；发现规则设置资源上限，避免低层发现（LLD）一次生成大量 Item / Trigger。退役先停止采集和告警，保留事件及报表映射，再按约定清理。</w:t>
      </w:r>
    </w:p>
    <w:p>
      <w:pPr>
        <w:keepNext/>
      </w:pPr>
      <w:r>
        <w:rPr>
          <w:b/>
          <w:color w:val="000000"/>
        </w:rPr>
        <w:t>Proxy Group 的实际边界</w:t>
      </w:r>
    </w:p>
    <w:p>
      <w:r>
        <w:rPr>
          <w:b w:val="0"/>
          <w:color w:val="000000"/>
        </w:rPr>
        <w:t>它按主机重新分配实现采集故障转移，不能据此宣称按 NVPS 精确均衡，也不会消除单 Server 的处理瓶颈。组内 Proxy 必须能到达接管的全部目标；外部脚本与 ODBC 配置应一致，Agent / Proxy / Server 版本组合按文档验证。所选 LTS 文档明确指出 Proxy Group 不支持 SNMP traps。</w:t>
      </w:r>
    </w:p>
    <w:p>
      <w:r>
        <w:rPr>
          <w:b w:val="0"/>
          <w:color w:val="000000"/>
        </w:rPr>
        <w:t>网络原则：客户侧主动 Proxy 经 TLS 连接监控端点；Agent 主动检查连接被分配的 Proxy（通常 TCP 10051），被动检查按需开放目标 Agent 端口（通常 TCP 10050）。SNMP 轮询常用 UDP 161，Trap 常用 UDP 162；实际端口以部署配置为准。密钥按客户 / 站点隔离。未知 Agent 自动注册先进入待认领区，经资产校验后接入。</w:t>
      </w:r>
    </w:p>
    <w:p>
      <w:pPr>
        <w:pStyle w:val="Heading1"/>
      </w:pPr>
      <w:r>
        <w:t>7 告警与工单闭环</w:t>
      </w:r>
    </w:p>
    <w:p>
      <w:r>
        <w:rPr>
          <w:b w:val="0"/>
          <w:color w:val="000000"/>
        </w:rPr>
        <w:t>采用 Webhook 快速推送 + API 增量补偿 + 未闭合事件定期对账。通知发送和工单创建都采用至少一次尝试，通过幂等键约束业务副作用；不承诺跨多个外部系统的端到端“恰好一次”。Zabbix Webhook 支持脚本发起 HTTP 请求，可连接平台事件入口。</w:t>
      </w:r>
    </w:p>
    <w:p>
      <w:r>
        <w:rPr>
          <w:b w:val="0"/>
          <w:color w:val="000000"/>
        </w:rPr>
        <w:t>接收与校验（凭据 → 实例 → 主机归属 → 持久化） → 归并与降噪（去重、依赖抑制、维护窗口、抖动控制） → 通知与派单（值班路由、分级、渠道、超时升级） → 处置与执行（确认、诊断、Runbook、执行记录） → 恢复与复核（监控恢复、人工复核、结单、SLA）。</w:t>
      </w:r>
    </w:p>
    <w:p>
      <w:pPr>
        <w:pStyle w:val="Heading2"/>
      </w:pPr>
      <w:r>
        <w:t>7.1 事件模型与可靠性规则</w:t>
      </w:r>
    </w:p>
    <w:p>
      <w:pPr>
        <w:ind w:left="198" w:hanging="198"/>
      </w:pPr>
      <w:r>
        <w:rPr>
          <w:b w:val="0"/>
          <w:color w:val="000000"/>
        </w:rPr>
        <w:t>• 事件幂等：原始事件主键为 (instance_id, eventid)；通知去重键加入渠道、接收对象及事件阶段。更新 / 确认消息可在同一 eventid 上出现，另存 update 标识或规范化内容摘要，不能全部按 eventid 丢弃。</w:t>
      </w:r>
    </w:p>
    <w:p>
      <w:pPr>
        <w:ind w:left="198" w:hanging="198"/>
      </w:pPr>
      <w:r>
        <w:rPr>
          <w:b w:val="0"/>
          <w:color w:val="000000"/>
        </w:rPr>
        <w:t>• 可信归属：Webhook 的租户标签只作线索，接收端根据已认证的 instance 与资产绑定推导租户。多主机 Trigger 必须限制在同一租户；未知或跨租户事件进入隔离队列，禁止自动派发。</w:t>
      </w:r>
    </w:p>
    <w:p>
      <w:pPr>
        <w:ind w:left="198" w:hanging="198"/>
      </w:pPr>
      <w:r>
        <w:rPr>
          <w:b w:val="0"/>
          <w:color w:val="000000"/>
        </w:rPr>
        <w:t>• 先持久化再确认：事件落库与 Outbox 同事务提交后返回成功；持久化失败返回失败，让发送端重试。消费失败指数退避，超过次数入死信；死信数量和最老年龄纳入平台自身监控。</w:t>
      </w:r>
    </w:p>
    <w:p>
      <w:pPr>
        <w:ind w:left="198" w:hanging="198"/>
      </w:pPr>
      <w:r>
        <w:rPr>
          <w:b w:val="0"/>
          <w:color w:val="000000"/>
        </w:rPr>
        <w:t>• 补偿读取：每实例保存 eventid 水位，使用 event.get 按 ID 升序和上限批量拉取，持久化整批后提交水位，边界重读去重。增加时间重叠窗口复扫，避免并发提交、短时故障等造成遗漏；最长中断不得超过源端事件保留期。</w:t>
      </w:r>
    </w:p>
    <w:p>
      <w:pPr>
        <w:ind w:left="198" w:hanging="198"/>
      </w:pPr>
      <w:r>
        <w:rPr>
          <w:b w:val="0"/>
          <w:color w:val="000000"/>
        </w:rPr>
        <w:t>• 恢复对账：仅按新 eventid 拉取不能覆盖旧事件的确认 / 恢复字段变化，因此周期刷新所有未关闭事件及近期变更事件，并按 r_eventid 读取恢复关联。problem.get 主要用于未恢复及近期恢复问题，不能承担完整历史台账。</w:t>
      </w:r>
    </w:p>
    <w:p>
      <w:pPr>
        <w:ind w:left="198" w:hanging="198"/>
      </w:pPr>
      <w:r>
        <w:rPr>
          <w:b w:val="0"/>
          <w:color w:val="000000"/>
        </w:rPr>
        <w:t>• 乱序处理：保留源事件时间与平台接收时间。恢复先到时创建待关联记录，之后补齐问题事件；重放历史消息不能把已恢复事件倒退为新问题。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// 平台规范化事件示例；字段由 Adapter 生成，不是原生 API 对象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{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"schema_version": 1,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"instance_id": "pool-east-01",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"event_id": "9384750281",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"problem_event_id": "9384750281",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"recovery_event_id": null,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"tenant_id": "&lt;resolved-from-asset-binding&gt;",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"asset_id": "asset-a81",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"source_state": "PROBLEM",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"handling_state": "NEW",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"source_time": "&lt;source timestamp&gt;",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 xml:space="preserve">  "received_at": "&lt;receive timestamp&gt;"</w:t>
      </w:r>
    </w:p>
    <w:p>
      <w:pPr>
        <w:keepNext w:val="0"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}</w:t>
      </w:r>
    </w:p>
    <w:p>
      <w:pPr>
        <w:spacing w:after="0"/>
      </w:pPr>
    </w:p>
    <w:p>
      <w:pPr>
        <w:pStyle w:val="Heading2"/>
      </w:pPr>
      <w:r>
        <w:t>7.2 告警降噪与智能分析</w:t>
      </w:r>
    </w:p>
    <w:p>
      <w:r>
        <w:rPr>
          <w:b w:val="0"/>
          <w:color w:val="000000"/>
        </w:rPr>
        <w:t>第一阶段使用 Trigger 持续时间、恢复滞回、依赖关系、维护窗口和按租户 / 资产 / 规则指纹归并；高等级事件可以绕过聚合等待。告警风暴中限制重复通知，但保留原始事件与关键告警的独立升级通道。事件相关性建议从 CMDB 服务依赖开始，拓扑过期时只提示候选原因。</w:t>
      </w:r>
    </w:p>
    <w:p>
      <w:r>
        <w:rPr>
          <w:b w:val="0"/>
          <w:color w:val="000000"/>
        </w:rPr>
        <w:t>第二阶段统计日 / 周基线和异常变化，先离线回放测量误报、漏报及降噪率。大模型可总结证据、检索 Runbook、草拟工单；输入需脱敏，输出关联证据，默认不获得执行凭据。此项为可选扩展，不作为首期关键告警链路依赖。</w:t>
      </w:r>
    </w:p>
    <w:p>
      <w:pPr>
        <w:pStyle w:val="Heading2"/>
      </w:pPr>
      <w:r>
        <w:t>7.3 多渠道和 ITSM 的状态职责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005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集成点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实现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邮件 / 短信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统一消息模板、值班表和分级路由；短信连接已有供应商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供应商限流重试、备用渠道；保存请求号与回执，区分“受理”和“送达”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钉钉 / 企业微信 / Webhook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按租户保存连接器配置、密钥和目标范围；签名方式按各渠道要求适配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失败告警、重试预算、死信重放；自定义 Webhook 限制允许的目标与重定向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ITSM 工单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以 tenant + incident 唯一绑定外部工单，传入资产、优先级、时间线与证据链接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创建超时先查询幂等标识；外部系统不支持幂等时保留重复检测与合并入口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状态同步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Zabbix 负责 PROBLEM / RECOVERED，平台负责处置状态，ITSM 负责工单状态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回调签名、来源标识、版本或摘要去重；防止双方更新无限循环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keepNext/>
      </w:pPr>
      <w:r>
        <w:rPr>
          <w:b/>
          <w:color w:val="000000"/>
        </w:rPr>
        <w:t>恢复不等于结单</w:t>
      </w:r>
    </w:p>
    <w:p>
      <w:r>
        <w:rPr>
          <w:b w:val="0"/>
          <w:color w:val="000000"/>
        </w:rPr>
        <w:t>监控状态：PROBLEM → RECOVERED。处置状态：NEW → ACKNOWLEDGED → IN_PROGRESS → RESOLVED → CLOSED。Zabbix 恢复后可进入待复核；执行脚本成功、有人确认或工单被关闭，都不能伪造监控恢复。</w:t>
      </w:r>
    </w:p>
    <w:p>
      <w:pPr>
        <w:pStyle w:val="Heading1"/>
      </w:pPr>
      <w:r>
        <w:t>8 自动化与运营可视化</w:t>
      </w:r>
    </w:p>
    <w:p>
      <w:pPr>
        <w:pStyle w:val="Heading2"/>
      </w:pPr>
      <w:r>
        <w:t>8.1 Runbook 执行控制</w:t>
      </w:r>
    </w:p>
    <w:p>
      <w:r>
        <w:rPr>
          <w:b w:val="0"/>
          <w:color w:val="000000"/>
        </w:rPr>
        <w:t>为每个 Runbook 定义版本、适用资产类型、参数 Schema、允许的目标范围、权限级别、预检查、成功判据、超时与补偿步骤。审批与执行分离；执行前再次解析资产所属和凭据，避免资产迁移或撤权后使用旧授权。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005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操作等级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示例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执行策略（建议）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只读诊断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采集进程、连接数、磁盘、最近错误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预先授权后自动执行，限定频率和输出大小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低风险修复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重启单个非关键无状态服务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满足健康门槛、限单主机并有明确预授权时自动；否则审批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高风险变更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批量重启、网络配置、数据库修改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明确审批、维护窗口、灰度和回退；首期以人工操作为主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color w:val="000000"/>
        </w:rPr>
        <w:t>推荐执行流程：资产核验 → 前置检查 → 审批 / 预授权判定 → 锁定目标 → 执行 → 观察恢复 → 留证 / 补偿。同一事件与 Runbook 版本限制并发，设置每租户任务数、最大目标数和冷却期；执行器按网络区域部署，输出脱敏后归档。</w:t>
      </w:r>
    </w:p>
    <w:p>
      <w:r>
        <w:rPr>
          <w:b w:val="0"/>
          <w:color w:val="000000"/>
        </w:rPr>
        <w:t>AWX 工作流支持作业、项目 / 清单同步以及 Approval 节点，可作为编排引擎；平台仍需验证审批人范围与职责分离，不能假设默认权限自动满足所有审批政策。命令执行中断后先检查目标真实状态；Ansible 任务是否幂等取决于具体模块与 Playbook，不能依靠工具名称保证回滚成功。</w:t>
      </w:r>
    </w:p>
    <w:p>
      <w:pPr>
        <w:pStyle w:val="Heading2"/>
      </w:pPr>
      <w:r>
        <w:t>8.2 看板与报表设计</w:t>
      </w:r>
    </w:p>
    <w:p>
      <w:r>
        <w:rPr>
          <w:b w:val="0"/>
          <w:color w:val="000000"/>
        </w:rPr>
        <w:t>服务健康与履约。资产在线率、当前严重问题、服务可用性、故障时间线、待处理工单。数据缺失显示“未知”，与服务正常区分。</w:t>
      </w:r>
    </w:p>
    <w:p>
      <w:r>
        <w:rPr>
          <w:b w:val="0"/>
          <w:color w:val="000000"/>
        </w:rPr>
        <w:t>优先级与处置效率。未确认告警、升级计时、责任人、拓扑影响、关联 Runbook 与执行记录。保留关键异常的独立入口。</w:t>
      </w:r>
    </w:p>
    <w:p>
      <w:r>
        <w:rPr>
          <w:b w:val="0"/>
          <w:color w:val="000000"/>
        </w:rPr>
        <w:t>租户成本与交付。租户资产 / Item 数、实际写入量、数据保留量、工单响应、告警降噪和服务覆盖率；用于计量，不直接等同收费。</w:t>
      </w:r>
    </w:p>
    <w:p>
      <w:r>
        <w:rPr>
          <w:b w:val="0"/>
          <w:color w:val="000000"/>
        </w:rPr>
        <w:t>监控系统本身的健康。Proxy 延迟、Server 队列、DB 写入、API 延迟、Webhook 落库失败、补偿水位、死信与备份恢复状态。</w:t>
      </w:r>
    </w:p>
    <w:p>
      <w:pPr>
        <w:keepNext/>
      </w:pPr>
      <w:r>
        <w:rPr>
          <w:b/>
          <w:color w:val="000000"/>
        </w:rPr>
        <w:t>Grafana 的文件夹和下拉变量不构成数据隔离</w:t>
      </w:r>
    </w:p>
    <w:p>
      <w:r>
        <w:rPr>
          <w:b w:val="0"/>
          <w:color w:val="000000"/>
        </w:rPr>
        <w:t>Grafana 默认允许组织内用户查询组织内数据源，细粒度数据源权限涉及 Enterprise / Cloud 能力。Direct DB 会绕过 Zabbix API 读取历史与趋势。因此客户门户默认由平台聚合 API 提供图表；若使用 Grafana，采用独立组织 / 实例和仅能访问该租户的受限数据源，并实际验证查询边界。共享全量监控数据库的 SQL 数据源只用于受控内部运营。</w:t>
      </w:r>
    </w:p>
    <w:p>
      <w:pPr>
        <w:pStyle w:val="Heading2"/>
      </w:pPr>
      <w:r>
        <w:t>8.3 SLA 与运营口径</w:t>
      </w:r>
    </w:p>
    <w:p>
      <w:r>
        <w:rPr>
          <w:b w:val="0"/>
          <w:color w:val="000000"/>
        </w:rPr>
        <w:t>服务可用性按服务树和事件区间计算，不能直接用“正常主机数 / 总主机数”替代。Zabbix 原生 SLA 支持服务关联、服务时段及排除停机；平台统一合同版本、时区、计划停机规则和月报快照。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可用率 = 1 - 不可用时间并集 / 有效服务时间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有效服务时间 = 约定服务时段 - 经批准排除的时间区间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MTTA = 首次有效人工确认时间 - 问题发生时间</w:t>
      </w:r>
    </w:p>
    <w:p>
      <w:pPr>
        <w:keepNext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MTTR（本报告口径）= 监控恢复时间 - 问题发生时间</w:t>
      </w:r>
    </w:p>
    <w:p>
      <w:pPr>
        <w:keepNext w:val="0"/>
        <w:spacing w:after="0" w:line="252" w:lineRule="auto"/>
        <w:ind w:left="170"/>
      </w:pPr>
      <w:r>
        <w:rPr>
          <w:rFonts w:ascii="Consolas" w:hAnsi="Consolas" w:eastAsia="宋体"/>
          <w:color w:val="000000"/>
          <w:sz w:val="17"/>
        </w:rPr>
        <w:t>工单解决时长单独统计；无数据区间单列，不默认视为可用。</w:t>
      </w:r>
    </w:p>
    <w:p>
      <w:pPr>
        <w:spacing w:after="0"/>
      </w:pPr>
    </w:p>
    <w:p>
      <w:r>
        <w:rPr>
          <w:b w:val="0"/>
          <w:color w:val="000000"/>
        </w:rPr>
        <w:t>相同服务多个故障的重叠区间取并集，跨月事件裁剪到报表周期；同时报告均值、P95、样本量和未恢复数量。小时趋势用于容量展示，事件时间线用于可用性核算，不能用小时均值推断短时故障。</w:t>
      </w:r>
    </w:p>
    <w:p>
      <w:pPr>
        <w:pStyle w:val="Heading1"/>
      </w:pPr>
      <w:r>
        <w:t>9 容量与性能设计</w:t>
      </w:r>
    </w:p>
    <w:p>
      <w:r>
        <w:rPr>
          <w:b w:val="0"/>
          <w:color w:val="000000"/>
        </w:rPr>
        <w:t>按有效 Item、更新频率、写入值数和查询负载测算，不能仅按主机数采购。一条主指标可能生成大量依赖指标；LLD、预处理、日志、事件和历史查询会增加开销。以下模型假设均匀周期采集，所有结果均为未压缩的粗估，不是已测吞吐。</w:t>
      </w:r>
    </w:p>
    <w:p>
      <w:pPr>
        <w:pStyle w:val="Heading2"/>
      </w:pPr>
      <w:r>
        <w:t>9.1 容量测算参数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778"/>
        <w:gridCol w:w="464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测算取值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主机与监控项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5,000 台 × 150 Item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共 750,000 个有效 Item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采样间隔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60 秒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按均匀周期采集测算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历史数据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保留 30 天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每值按 80 字节估算，包含索引等摊销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趋势数据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保留 365 天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数值项占 80%，每小时每项一行，每行 128 字节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运行空间余量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40%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不替代 WAL、副本、备份、日志及业务库预算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83"/>
        <w:gridCol w:w="3458"/>
      </w:tblGrid>
      <w:tr>
        <w:trPr>
          <w:cantSplit/>
          <w:tblHeader/>
        </w:trPr>
        <w:tc>
          <w:tcPr>
            <w:tcW w:type="dxa" w:w="57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测算结果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平均写入速率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12,500 值/秒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每日历史数据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86.40 GB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历史数据总量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2.592 TB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趋势数据总量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672.768 GB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单数据节点容量 含运行余量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4.571 TB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主备两份容量 含运行余量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9.141 TB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两倍峰值验证目标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25,000 值/秒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color w:val="000000"/>
        </w:rPr>
        <w:t>采用十进制单位，1 GB = 10⁹ 字节，1 TB = 10¹² 字节。测算不计压缩收益，字节系数须通过真实模板与数据分布校准；以上是容量估算，不是已测吞吐或生产资源保证。</w:t>
      </w:r>
    </w:p>
    <w:p>
      <w:pPr>
        <w:pStyle w:val="Heading2"/>
      </w:pPr>
      <w:r>
        <w:t>9.2 计算依据</w:t>
      </w:r>
    </w:p>
    <w:p>
      <w:r>
        <w:rPr>
          <w:b w:val="0"/>
          <w:color w:val="000000"/>
        </w:rPr>
        <w:t>NVPS = 主机数 × 每台有效 Item ÷ 采样间隔</w:t>
      </w:r>
    </w:p>
    <w:p>
      <w:r>
        <w:rPr>
          <w:b w:val="0"/>
          <w:color w:val="000000"/>
        </w:rPr>
        <w:t>历史字节 = NVPS × 86,400 × 历史天数 × 每值字节</w:t>
      </w:r>
    </w:p>
    <w:p>
      <w:r>
        <w:rPr>
          <w:b w:val="0"/>
          <w:color w:val="000000"/>
        </w:rPr>
        <w:t>趋势字节 = 主机数 × Item × 数值项比例 × 24 × 趋势天数 × 128</w:t>
      </w:r>
    </w:p>
    <w:p>
      <w:r>
        <w:rPr>
          <w:b w:val="0"/>
          <w:color w:val="000000"/>
        </w:rPr>
        <w:t>单节点容量 =（历史字节 + 趋势字节）×（1 + 余量比例）</w:t>
      </w:r>
    </w:p>
    <w:p>
      <w:r>
        <w:rPr>
          <w:b w:val="0"/>
          <w:color w:val="000000"/>
        </w:rPr>
        <w:t>默认场景产生 75 万有效 Item、日均 10.8 亿个值。30 天历史约 2.592 TB，365 天趋势约 0.673 TB，合计加 40% 运行余量约 4.571 TB / 数据节点。主备各保留一份时约 9.141 TB，另加 WAL、备份及其他数据。</w:t>
      </w:r>
    </w:p>
    <w:p>
      <w:pPr>
        <w:pStyle w:val="Heading2"/>
      </w:pPr>
      <w:r>
        <w:t>9.3 存储与保留政策</w:t>
      </w:r>
    </w:p>
    <w:p>
      <w:pPr>
        <w:ind w:left="198" w:hanging="198"/>
      </w:pPr>
      <w:r>
        <w:rPr>
          <w:b w:val="0"/>
          <w:color w:val="000000"/>
        </w:rPr>
        <w:t>• 分层保留：建议标准池历史 30 天、数值趋势 365 天；高频短期指标可缩短历史保留。需要更长原始数据的客户使用独享池或受控离线导出，避免拖累全池。</w:t>
      </w:r>
    </w:p>
    <w:p>
      <w:pPr>
        <w:ind w:left="198" w:hanging="198"/>
      </w:pPr>
      <w:r>
        <w:rPr>
          <w:b w:val="0"/>
          <w:color w:val="000000"/>
        </w:rPr>
        <w:t>• TimescaleDB：按官方脚本维护 hypertable 与 housekeeping；Zabbix LTS 的相关配置存在全局历史 / 趋势保留覆盖，应将不同保留政策拆池。压缩窗口至少 7 天，且文档提示超过压缩窗口的迟到数据可能被丢弃；Proxy 离线期限与补传窗口必须一起验证。TimescaleDB 不用于 Proxy。</w:t>
      </w:r>
    </w:p>
    <w:p>
      <w:pPr>
        <w:ind w:left="198" w:hanging="198"/>
      </w:pPr>
      <w:r>
        <w:rPr>
          <w:b w:val="0"/>
          <w:color w:val="000000"/>
        </w:rPr>
        <w:t>• 归档：平台审计、事件与月报按合同留存；原始指标如需归档，导出时保存 schema、租户 / 资产映射、时间范围与校验和。对象存储中的归档不会自动成为 Zabbix 在线历史，查询或恢复需单独流程。</w:t>
      </w:r>
    </w:p>
    <w:p>
      <w:pPr>
        <w:ind w:left="198" w:hanging="198"/>
      </w:pPr>
      <w:r>
        <w:rPr>
          <w:b w:val="0"/>
          <w:color w:val="000000"/>
        </w:rPr>
        <w:t>• Proxy 缓冲：按站点 NVPS × 最长断网秒数 × 实测每值空间 × 余量测量本地磁盘，并核查缓冲参数。Proxy Group 不代表本地待上送缓冲有同步副本，磁盘损坏后的数据损失边界需实测。</w:t>
      </w:r>
    </w:p>
    <w:p>
      <w:pPr>
        <w:pStyle w:val="Heading2"/>
      </w:pPr>
      <w:r>
        <w:t>9.4 性能优化策略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005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观察信号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先采取的动作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扩容依据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不支持的 Item、发现膨胀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修复模板、收敛 LLD、降低无价值高频采样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健康采集后再判断容量，避免扩大无效负载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Proxy 队列 / 延迟上升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查网络、慢检查、本地磁盘；按站点和协议拆分采集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Proxy 忙碌与延迟持续超过压测基线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预处理 / Server 队列积压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检查重型正则 / 脚本、依赖指标、处理进程与缓存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CPU 与处理队列持续饱和，先验证增配再评估拆池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DB 写延迟 / WAL / IOPS 压力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独立高性能存储，审查索引、保留周期、检查点和慢查询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峰值写入和报表混合压测不达标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大屏拖慢 API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缓存、限曲线 / 点数、趋势聚合、异步报告、请求合并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经过限流仍影响采集或交互，则独立分析通道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单租户占据大部分资源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租户配额、Worker 公平调度、限制高成本查询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建议初始告警线为单租户持续占池负载 20%，评审迁往独享池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color w:val="000000"/>
        </w:rPr>
        <w:t>原生 Proxy Group 的均衡依据不是每台主机真实开销；大型数据库主机与普通服务器应按实测成本分组。不要用“新增 Server 备用节点”替代拆分监控实例。</w:t>
      </w:r>
    </w:p>
    <w:p>
      <w:pPr>
        <w:pStyle w:val="Heading1"/>
      </w:pPr>
      <w:r>
        <w:t>10 高可用与运行维护</w:t>
      </w:r>
    </w:p>
    <w:p>
      <w:r>
        <w:rPr>
          <w:b w:val="0"/>
          <w:color w:val="000000"/>
        </w:rPr>
        <w:t>高可用必须分别覆盖入口、业务库、消息链路、监控 Server、监控数据库和客户采集网络。Zabbix 原生 Server HA 共享同一个数据库，每次只有一个活动节点；它不会顺带解决数据库可用性。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005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建议部署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需要验证的故障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门户 / API / Worker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2 个以上无状态副本，跨故障域部署；任务消费幂等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副本退出、发布中断、重复消费、缓存丢失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平台 PostgreSQL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主备复制 + 独立备份 + 明确故障切换机制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主库失败、网络分区、误删除、恢复后任务重放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消息系统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生产使用持久队列与仲裁副本；发布确认、消费确认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节点离线、未确认消息重投、死信重放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Zabbix API 前端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冗余 Web / PHP 前端，共用配置与数据库入口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API 路由失效、认证头未转发、连接池耗尽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Zabbix Server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原生 HA 主备，分别配置节点标识与地址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活动节点退出、DB 失联、恢复期间告警延迟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Zabbix PostgreSQL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独立主备与备份；TimescaleDB 版本和扩展同步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复制延迟、主库切换、WAL 堆积、数据恢复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客户 Proxy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普通站点单 Proxy 可缓冲；关键站点双 Proxy Group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断网、代理故障、目标不可达、缓冲耗尽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10.1 可用性与恢复目标</w:t>
      </w:r>
    </w:p>
    <w:p>
      <w:r>
        <w:rPr>
          <w:b w:val="0"/>
          <w:color w:val="000000"/>
        </w:rPr>
        <w:t>首期试点以控制层可用性 99.9% 为候选目标（30 天约 43.2 分钟不可用预算），核心平台数据备份 RPO ≤ 15 分钟、灾难恢复 RTO ≤ 60 分钟；单组件主备切换另设较短目标并实测。Zabbix 故障转移时间取决于配置与外部数据库状态，故障切换时间与数据完整性须通过测试确定。</w:t>
      </w:r>
    </w:p>
    <w:p>
      <w:r>
        <w:rPr>
          <w:b w:val="0"/>
          <w:color w:val="000000"/>
        </w:rPr>
        <w:t>指标完整性按“预期采集值中成功入库比例”和端到端数据新鲜度分别衡量。断网时 Proxy 可缓冲，但缓存不足、介质损坏、超出保留或压缩补传窗口时不能保证指标 RPO 为零。每季度恢复演练覆盖业务库、Zabbix 配置、事件、证书与执行模板，不只检查备份文件存在。</w:t>
      </w:r>
    </w:p>
    <w:p>
      <w:pPr>
        <w:pStyle w:val="Heading2"/>
      </w:pPr>
      <w:r>
        <w:t>10.2 部署起始配置与演进</w:t>
      </w:r>
    </w:p>
    <w:p>
      <w:r>
        <w:rPr>
          <w:b w:val="0"/>
          <w:color w:val="000000"/>
        </w:rPr>
        <w:t>PoC 示例为 200 台主机、每台 100 个 Item、60 秒间隔，平均约 333 NVPS。可从 API / Worker 各 4 vCPU / 8 GB、Zabbix Server 4 vCPU / 8 GB、监控 PostgreSQL 8 vCPU / 16 GB、Proxy 每台 2 vCPU / 4 GB 的测试资源起步；这是实验起点，不是 5,000 台生产环境的规格保证。用真实模板逐步放量，记录 CPU、内存、磁盘和查询并发，再确定生产节点。</w:t>
      </w:r>
    </w:p>
    <w:p>
      <w:r>
        <w:rPr>
          <w:b w:val="0"/>
          <w:color w:val="000000"/>
        </w:rPr>
        <w:t>数据库优先使用独立稳定存储；现有团队若擅长虚拟机与自动化配置，就以该方式运行监控核心。需要采用 Kubernetes 时，将数据库持久化、节点驱逐、Operator 升级及恢复责任纳入方案，不能把“容器有副本”视为数据库 HA。</w:t>
      </w:r>
    </w:p>
    <w:p>
      <w:pPr>
        <w:pStyle w:val="Heading2"/>
      </w:pPr>
      <w:r>
        <w:t>10.3 升级迁移与回退</w:t>
      </w:r>
    </w:p>
    <w:p>
      <w:pPr>
        <w:ind w:left="198" w:hanging="198"/>
      </w:pPr>
      <w:r>
        <w:rPr>
          <w:b w:val="0"/>
          <w:color w:val="000000"/>
        </w:rPr>
        <w:t>1. 固定基线：锁定 Zabbix / Proxy / Agent / DB / 扩展和模板版本；在预生产验证 API 契约、权限矩阵、典型触发器与升级脚本。</w:t>
      </w:r>
    </w:p>
    <w:p>
      <w:pPr>
        <w:ind w:left="198" w:hanging="198"/>
      </w:pPr>
      <w:r>
        <w:rPr>
          <w:b w:val="0"/>
          <w:color w:val="000000"/>
        </w:rPr>
        <w:t>2. 灰度升级：先选小型资源池，明确写入窗口与 Proxy 缓冲；比较升级前后采集延迟、事件数量和图表结果。按官方升级流程处理数据库及 TimescaleDB schema。</w:t>
      </w:r>
    </w:p>
    <w:p>
      <w:pPr>
        <w:ind w:left="198" w:hanging="198"/>
      </w:pPr>
      <w:r>
        <w:rPr>
          <w:b w:val="0"/>
          <w:color w:val="000000"/>
        </w:rPr>
        <w:t>3. 回退准备：升级前制作经验证的备份。数据库 schema 升级后，不能假设回滚容器镜像即可恢复；必要时恢复整个兼容版本数据库和配置，并对切换期间数据做补偿核查。</w:t>
      </w:r>
    </w:p>
    <w:p>
      <w:pPr>
        <w:ind w:left="198" w:hanging="198"/>
      </w:pPr>
      <w:r>
        <w:rPr>
          <w:b w:val="0"/>
          <w:color w:val="000000"/>
        </w:rPr>
        <w:t>4. 租户迁池：创建新池资源、保留平台资产 ID、校验新绑定与凭据；短暂双采时用迁移标记抑制重复通知，逐站切换并验证。旧历史保留只读路由到原池直至到期，避免高成本整库搬迁；回退使用原路由与时间化映射。</w:t>
      </w:r>
    </w:p>
    <w:p>
      <w:r>
        <w:rPr>
          <w:b w:val="0"/>
          <w:color w:val="000000"/>
        </w:rPr>
        <w:t>平台自身需要独立于被监控 Zabbix 的最小健康探测和告警渠道，以便在整个监控资源池不可用时仍能通知值班人员。</w:t>
      </w:r>
    </w:p>
    <w:p>
      <w:pPr>
        <w:pStyle w:val="Heading1"/>
      </w:pPr>
      <w:r>
        <w:t>11 实施计划</w:t>
      </w:r>
    </w:p>
    <w:p>
      <w:r>
        <w:rPr>
          <w:b w:val="0"/>
          <w:color w:val="000000"/>
        </w:rPr>
        <w:t>建议以 14–16 周完成可试点版本，先交付一个完整闭环。假设核心团队 5 人：架构 / 后端 1、后端集成 1、前端 1、SRE 1、QA 1；产品负责人和客户 IT 配合。已有 CMDB / ITSM / 身份平台提供可用测试接口，首期接入两类监控对象、一个 ITSM、两种通知渠道及一个受控修复场景。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7654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主要工作与交付物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第1—2周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验证关键可行性。双租户权限 PoC、真实模板采集、Webhook 补偿、版本组合、数据保留。交付：架构决策记录、权限用例、样例容量曲线。退出门槛：跨租户读取与写入均被拒绝。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第3—6周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打通租户与监控接入。身份、成员、资产绑定、模板发布、配置 Worker、CMDB 同步、资产及指标门户。交付：可演示接入流程、接口文档、同步失败与对账界面。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第7—10周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告警进入处置闭环。事件持久化、去重补偿、通知、工单、审批和首个 Runbook。交付：从故障注入到恢复结单的端到端演示；覆盖重复、乱序与外部接口失败。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第11—14周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性能、运营与恢复验证。SLA 报告、运营看板、限流配额、容量回放、主备切换和备份恢复。交付：压测报告、恢复演练记录、部署和升级手册。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第15—16周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客户试点与交付。选择 2–3 个客户灰度，上线观察、缺陷收敛、值班培训、责任移交。交付：验收报告、已知限制、下一阶段清单；通过后再扩大租户和设备类型。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11.1 首期范围与后续扩展</w:t>
      </w:r>
    </w:p>
    <w:p>
      <w:r>
        <w:rPr>
          <w:b w:val="0"/>
          <w:color w:val="000000"/>
        </w:rPr>
        <w:t>可运行的最小服务闭环。租户 / 角色 / 资产隔离、监控模板接入、当前指标、事件中心、两渠道通知、单 ITSM、审批执行、审计、基本 SLA、部署与恢复验证。</w:t>
      </w:r>
    </w:p>
    <w:p>
      <w:r>
        <w:rPr>
          <w:b w:val="0"/>
          <w:color w:val="000000"/>
        </w:rPr>
        <w:t>按证据扩展产品。更多云与网络设备、复杂服务拓扑、自助模板市场、智能降噪、更多自动化场景、精细计费、大客户专属交付。每项明确增量成本和验收。</w:t>
      </w:r>
    </w:p>
    <w:p>
      <w:pPr>
        <w:pStyle w:val="Heading1"/>
      </w:pPr>
      <w:r>
        <w:t>12 验收标准</w:t>
      </w:r>
    </w:p>
    <w:p>
      <w:r>
        <w:rPr>
          <w:b w:val="0"/>
          <w:color w:val="000000"/>
        </w:rPr>
        <w:t>验收采用确定的模板、数据分布与并发脚本，记录环境、原始数据、测试区间及结果。以下性能和恢复指标为候选目标，应在压测与服务等级确认后纳入验收。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628"/>
        <w:gridCol w:w="4082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验收项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测试方式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候选通过标准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跨租户隔离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 / B 租户互换 hostid、itemid、eventid、报告、工单、任务及缓存键；覆盖批量、导出、撤权与异步消费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全部越权请求被拒绝，零跨租户数据返回或执行；包含 Zabbix 受限凭据验证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配置一致性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模拟 API 超时、重复请求、Worker 重启和人工配置漂移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不重复创建资产；期望与实际可追踪，正常环境 5 分钟内收敛或显式报错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告警可靠性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Webhook 重复 10 次、乱序、入口停机 30 分钟再恢复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已知测试事件全部补齐，通知 / 工单副作用幂等，恢复关联正确；补偿在恢复后 5 分钟内完成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采集与 API 性能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默认 12,500 NVPS 回放或等效生成，叠加 50 并发用户及典型报表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稳定运行 24 小时，无持续积压；授权列表 API P95 ≤ 1 秒，仪表盘聚合 P95 ≤ 3 秒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峰值与过载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2 倍写入峰值持续 30 分钟，叠加高成本租户查询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核心事件不静默丢弃；系统限流或排队明确，恢复常态后 15 分钟内排空积压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通知时效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记录问题生成、平台落库、请求渠道受理与回执时间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正常负载从事件生成到渠道受理 P95 ≤ 30 秒；送达与用户响应分别报告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自动化执行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跨租户目标、无审批、参数注入、重复执行、超时、目标失联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无越权执行；审批可追溯；失败状态与目标实际状态可核对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HA / 恢复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Server、数据库与 Proxy 故障注入；从备份恢复独立环境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符合约定 RPO / RTO；清楚列出数据缺口、补传量和时间，禁止用进程启动代替恢复验证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SLA / 报表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跨月、重叠故障、维护、时区、未知数据、未恢复事件样本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与人工算例逐项一致，报告生成后具有口径版本与数据快照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12.1 实施前置条件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005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当前假设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2F2"/>
          </w:tcPr>
          <w:p>
            <w:pPr>
              <w:keepNext/>
              <w:spacing w:after="0" w:line="283" w:lineRule="auto"/>
            </w:pPr>
            <w:r>
              <w:rPr>
                <w:b/>
                <w:color w:val="000000"/>
                <w:sz w:val="18"/>
              </w:rPr>
              <w:t>改变后影响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用途与用户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对外 MSP 服务，内部工程师共用运营台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若仅内部使用，可缩小租户运营与门户定制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规模与协议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生产估算 5,000 主机、150 Item / 主机、60 秒；PoC 200 主机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影响采集拓扑、实例数、存储和压测负载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隔离与部署地点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标准客户共享池，大客户可独享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决定故障域、凭据与数据放置、运维成本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已有系统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可接入 OIDC、CMDB、一个 ITSM；复用自动化平台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接口不完整会增加开发周期和主数据治理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保留与合同口径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历史 30 天、趋势 365 天；事件与审计另议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改变存储成本、资源池分组、报表和删除流程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服务等级与团队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先按 99.9% / 5 人核心团队设计试点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更高可用性、7×24 值守或更短周期需要额外资源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</w:pPr>
      <w:r>
        <w:t>参考资料</w:t>
      </w:r>
    </w:p>
    <w:p>
      <w:pPr>
        <w:spacing w:after="40" w:line="240" w:lineRule="auto"/>
      </w:pPr>
      <w:r>
        <w:rPr>
          <w:color w:val="000000"/>
          <w:sz w:val="18"/>
        </w:rPr>
        <w:t xml:space="preserve">[1] </w:t>
      </w:r>
      <w:hyperlink r:id="rId9">
        <w:r>
          <w:rPr>
            <w:color w:val="000000"/>
            <w:sz w:val="18"/>
          </w:rPr>
          <w:t>Zabbix LTS User groups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[2] </w:t>
      </w:r>
      <w:hyperlink r:id="rId10">
        <w:r>
          <w:rPr>
            <w:color w:val="000000"/>
            <w:sz w:val="18"/>
          </w:rPr>
          <w:t>Zabbix LTS API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[3] </w:t>
      </w:r>
      <w:hyperlink r:id="rId11">
        <w:r>
          <w:rPr>
            <w:color w:val="000000"/>
            <w:sz w:val="18"/>
          </w:rPr>
          <w:t>Zabbix LTS Server High availability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[4] </w:t>
      </w:r>
      <w:hyperlink r:id="rId12">
        <w:r>
          <w:rPr>
            <w:color w:val="000000"/>
            <w:sz w:val="18"/>
          </w:rPr>
          <w:t>Zabbix LTS Requirements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[5] </w:t>
      </w:r>
      <w:hyperlink r:id="rId13">
        <w:r>
          <w:rPr>
            <w:color w:val="000000"/>
            <w:sz w:val="18"/>
          </w:rPr>
          <w:t>Zabbix LTS TimescaleDB setup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[6] </w:t>
      </w:r>
      <w:hyperlink r:id="rId14">
        <w:r>
          <w:rPr>
            <w:color w:val="000000"/>
            <w:sz w:val="18"/>
          </w:rPr>
          <w:t>Zabbix LTS Proxy load balancing and HA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[7] </w:t>
      </w:r>
      <w:hyperlink r:id="rId15">
        <w:r>
          <w:rPr>
            <w:color w:val="000000"/>
            <w:sz w:val="18"/>
          </w:rPr>
          <w:t>Zabbix LTS Webhook media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[8] </w:t>
      </w:r>
      <w:hyperlink r:id="rId16">
        <w:r>
          <w:rPr>
            <w:color w:val="000000"/>
            <w:sz w:val="18"/>
          </w:rPr>
          <w:t>Zabbix LTS event.get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[9] </w:t>
      </w:r>
      <w:hyperlink r:id="rId17">
        <w:r>
          <w:rPr>
            <w:color w:val="000000"/>
            <w:sz w:val="18"/>
          </w:rPr>
          <w:t>Zabbix LTS problem.get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[10] </w:t>
      </w:r>
      <w:hyperlink r:id="rId18">
        <w:r>
          <w:rPr>
            <w:color w:val="000000"/>
            <w:sz w:val="18"/>
          </w:rPr>
          <w:t>PostgreSQL Row Security Policies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[11] </w:t>
      </w:r>
      <w:hyperlink r:id="rId19">
        <w:r>
          <w:rPr>
            <w:color w:val="000000"/>
            <w:sz w:val="18"/>
          </w:rPr>
          <w:t>Grafana Data sources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[12] </w:t>
      </w:r>
      <w:hyperlink r:id="rId20">
        <w:r>
          <w:rPr>
            <w:color w:val="000000"/>
            <w:sz w:val="18"/>
          </w:rPr>
          <w:t>Grafana Zabbix Plugin Configure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[13] </w:t>
      </w:r>
      <w:hyperlink r:id="rId21">
        <w:r>
          <w:rPr>
            <w:color w:val="000000"/>
            <w:sz w:val="18"/>
          </w:rPr>
          <w:t>Ansible AWX Workflow Job Templates</w:t>
        </w:r>
      </w:hyperlink>
    </w:p>
    <w:p>
      <w:pPr>
        <w:spacing w:after="40" w:line="240" w:lineRule="auto"/>
      </w:pPr>
      <w:r>
        <w:rPr>
          <w:color w:val="000000"/>
          <w:sz w:val="18"/>
        </w:rPr>
        <w:t xml:space="preserve">[14] </w:t>
      </w:r>
      <w:hyperlink r:id="rId22">
        <w:r>
          <w:rPr>
            <w:color w:val="000000"/>
            <w:sz w:val="18"/>
          </w:rPr>
          <w:t>Zabbix LTS SLA</w:t>
        </w:r>
      </w:hyperlink>
    </w:p>
    <w:sectPr w:rsidR="00FC693F" w:rsidRPr="0006063C" w:rsidSect="00034616">
      <w:footerReference w:type="default" r:id="rId23"/>
      <w:pgSz w:w="11906" w:h="16838"/>
      <w:pgMar w:top="1304" w:right="1332" w:bottom="1247" w:left="1332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Times New Roman" w:hAnsi="Times New Roman" w:cs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60"/>
      <w:outlineLvl w:val="0"/>
    </w:pPr>
    <w:rPr>
      <w:rFonts w:ascii="Times New Roman" w:hAnsi="Times New Roman" w:cs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="Times New Roman" w:hAnsi="Times New Roman" w:cs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="Times New Roman" w:hAnsi="Times New Roman" w:cs="Times New Roman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20" w:line="240" w:lineRule="auto"/>
      <w:contextualSpacing/>
    </w:pPr>
    <w:rPr>
      <w:rFonts w:ascii="Times New Roman" w:hAnsi="Times New Roman" w:cs="Times New Roman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312" w:lineRule="auto"/>
      <w:contextualSpacing/>
    </w:pPr>
    <w:rPr>
      <w:rFonts w:ascii="Times New Roman" w:hAnsi="Times New Roman" w:cs="Times New Roman" w:eastAsia="宋体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312" w:lineRule="auto"/>
      <w:contextualSpacing/>
    </w:pPr>
    <w:rPr>
      <w:rFonts w:ascii="Times New Roman" w:hAnsi="Times New Roman" w:cs="Times New Roman" w:eastAsia="宋体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abbix.com/documentation/7.0/en/manual/config/users_and_usergroups/usergroup" TargetMode="External"/><Relationship Id="rId10" Type="http://schemas.openxmlformats.org/officeDocument/2006/relationships/hyperlink" Target="https://www.zabbix.com/documentation/7.0/en/manual/api" TargetMode="External"/><Relationship Id="rId11" Type="http://schemas.openxmlformats.org/officeDocument/2006/relationships/hyperlink" Target="https://www.zabbix.com/documentation/7.0/en/manual/concepts/server/ha" TargetMode="External"/><Relationship Id="rId12" Type="http://schemas.openxmlformats.org/officeDocument/2006/relationships/hyperlink" Target="https://www.zabbix.com/documentation/7.0/en/manual/installation/requirements" TargetMode="External"/><Relationship Id="rId13" Type="http://schemas.openxmlformats.org/officeDocument/2006/relationships/hyperlink" Target="https://www.zabbix.com/documentation/7.0/en/manual/appendix/install/timescaledb" TargetMode="External"/><Relationship Id="rId14" Type="http://schemas.openxmlformats.org/officeDocument/2006/relationships/hyperlink" Target="https://www.zabbix.com/documentation/7.0/en/manual/distributed_monitoring/proxies/ha" TargetMode="External"/><Relationship Id="rId15" Type="http://schemas.openxmlformats.org/officeDocument/2006/relationships/hyperlink" Target="https://www.zabbix.com/documentation/7.0/en/manual/config/notifications/media/webhook" TargetMode="External"/><Relationship Id="rId16" Type="http://schemas.openxmlformats.org/officeDocument/2006/relationships/hyperlink" Target="https://www.zabbix.com/documentation/7.0/en/manual/api/reference/event/get" TargetMode="External"/><Relationship Id="rId17" Type="http://schemas.openxmlformats.org/officeDocument/2006/relationships/hyperlink" Target="https://www.zabbix.com/documentation/7.0/en/manual/api/reference/problem/get" TargetMode="External"/><Relationship Id="rId18" Type="http://schemas.openxmlformats.org/officeDocument/2006/relationships/hyperlink" Target="https://www.postgresql.org/docs/current/ddl-rowsecurity.html" TargetMode="External"/><Relationship Id="rId19" Type="http://schemas.openxmlformats.org/officeDocument/2006/relationships/hyperlink" Target="https://grafana.com/docs/grafana/latest/datasources/" TargetMode="External"/><Relationship Id="rId20" Type="http://schemas.openxmlformats.org/officeDocument/2006/relationships/hyperlink" Target="https://grafana.com/docs/plugins/alexanderzobnin-zabbix-app/latest/configure/" TargetMode="External"/><Relationship Id="rId21" Type="http://schemas.openxmlformats.org/officeDocument/2006/relationships/hyperlink" Target="https://docs.ansible.com/projects/awx/en/24.6.1/userguide/workflow_templates.html" TargetMode="External"/><Relationship Id="rId22" Type="http://schemas.openxmlformats.org/officeDocument/2006/relationships/hyperlink" Target="https://www.zabbix.com/documentation/7.0/en/manual/it_services/sla" TargetMode="Externa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Zabbix 多租户托管运维平台技术方案</dc:title>
  <dc:subject>平台架构与实施方案</dc:subject>
  <dc:creator/>
  <cp:keywords/>
  <dc:description/>
  <cp:lastModifiedBy/>
  <cp:category/>
</cp:coreProperties>
</file>