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DC990B">
      <w:pPr>
        <w:spacing w:after="0" w:line="520" w:lineRule="exact"/>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合同登记编号：</w:t>
      </w:r>
    </w:p>
    <w:p w14:paraId="1782FF88">
      <w:pPr>
        <w:spacing w:after="0" w:line="240" w:lineRule="auto"/>
        <w:jc w:val="center"/>
        <w:rPr>
          <w:rFonts w:hint="eastAsia" w:ascii="宋体" w:hAnsi="宋体" w:eastAsia="宋体" w:cs="宋体"/>
          <w:color w:val="auto"/>
          <w:sz w:val="24"/>
          <w:szCs w:val="24"/>
          <w:highlight w:val="none"/>
        </w:rPr>
      </w:pPr>
    </w:p>
    <w:p w14:paraId="5CBC35A6">
      <w:pPr>
        <w:spacing w:after="0" w:line="240" w:lineRule="auto"/>
        <w:jc w:val="center"/>
        <w:rPr>
          <w:rFonts w:hint="eastAsia" w:ascii="宋体" w:hAnsi="宋体" w:eastAsia="宋体" w:cs="宋体"/>
          <w:b/>
          <w:bCs/>
          <w:color w:val="auto"/>
          <w:sz w:val="24"/>
          <w:szCs w:val="24"/>
          <w:highlight w:val="none"/>
        </w:rPr>
      </w:pPr>
    </w:p>
    <w:p w14:paraId="1D695ED0">
      <w:pPr>
        <w:spacing w:after="0" w:line="240" w:lineRule="auto"/>
        <w:jc w:val="center"/>
        <w:rPr>
          <w:rFonts w:hint="eastAsia" w:ascii="宋体" w:hAnsi="宋体" w:eastAsia="宋体" w:cs="宋体"/>
          <w:b/>
          <w:bCs/>
          <w:color w:val="auto"/>
          <w:sz w:val="40"/>
          <w:szCs w:val="40"/>
          <w:highlight w:val="none"/>
        </w:rPr>
      </w:pPr>
      <w:r>
        <w:rPr>
          <w:rFonts w:hint="eastAsia" w:ascii="宋体" w:hAnsi="宋体" w:eastAsia="宋体" w:cs="宋体"/>
          <w:b/>
          <w:bCs/>
          <w:color w:val="auto"/>
          <w:sz w:val="40"/>
          <w:szCs w:val="40"/>
          <w:highlight w:val="none"/>
        </w:rPr>
        <w:t>技术开发合同</w:t>
      </w:r>
    </w:p>
    <w:p w14:paraId="48676E52">
      <w:pPr>
        <w:spacing w:after="0" w:line="240" w:lineRule="auto"/>
        <w:jc w:val="center"/>
        <w:rPr>
          <w:rFonts w:hint="eastAsia" w:ascii="宋体" w:hAnsi="宋体" w:eastAsia="宋体" w:cs="宋体"/>
          <w:color w:val="auto"/>
          <w:sz w:val="24"/>
          <w:szCs w:val="24"/>
          <w:highlight w:val="none"/>
        </w:rPr>
      </w:pPr>
    </w:p>
    <w:p w14:paraId="7806BC03">
      <w:pPr>
        <w:spacing w:after="0" w:line="240" w:lineRule="auto"/>
        <w:jc w:val="center"/>
        <w:rPr>
          <w:rFonts w:hint="eastAsia" w:ascii="宋体" w:hAnsi="宋体" w:eastAsia="宋体" w:cs="宋体"/>
          <w:color w:val="auto"/>
          <w:sz w:val="24"/>
          <w:szCs w:val="24"/>
          <w:highlight w:val="none"/>
        </w:rPr>
      </w:pPr>
    </w:p>
    <w:p w14:paraId="4F237796">
      <w:pPr>
        <w:spacing w:after="0" w:line="240" w:lineRule="auto"/>
        <w:jc w:val="center"/>
        <w:rPr>
          <w:rFonts w:hint="eastAsia" w:ascii="宋体" w:hAnsi="宋体" w:eastAsia="宋体" w:cs="宋体"/>
          <w:color w:val="auto"/>
          <w:sz w:val="24"/>
          <w:szCs w:val="24"/>
          <w:highlight w:val="none"/>
        </w:rPr>
      </w:pPr>
    </w:p>
    <w:p w14:paraId="36122C06">
      <w:pPr>
        <w:spacing w:after="0" w:line="240" w:lineRule="auto"/>
        <w:jc w:val="center"/>
        <w:rPr>
          <w:rFonts w:hint="eastAsia" w:ascii="宋体" w:hAnsi="宋体" w:eastAsia="宋体" w:cs="宋体"/>
          <w:color w:val="auto"/>
          <w:sz w:val="24"/>
          <w:szCs w:val="24"/>
          <w:highlight w:val="none"/>
        </w:rPr>
      </w:pPr>
    </w:p>
    <w:p w14:paraId="51A2E99D">
      <w:pPr>
        <w:spacing w:after="0" w:line="240" w:lineRule="auto"/>
        <w:jc w:val="center"/>
        <w:rPr>
          <w:rFonts w:hint="eastAsia" w:ascii="宋体" w:hAnsi="宋体" w:eastAsia="宋体" w:cs="宋体"/>
          <w:color w:val="auto"/>
          <w:sz w:val="24"/>
          <w:szCs w:val="24"/>
          <w:highlight w:val="none"/>
        </w:rPr>
      </w:pPr>
    </w:p>
    <w:p w14:paraId="5E7E0F8F">
      <w:pPr>
        <w:spacing w:after="0" w:line="240" w:lineRule="auto"/>
        <w:jc w:val="center"/>
        <w:rPr>
          <w:rFonts w:hint="eastAsia" w:ascii="宋体" w:hAnsi="宋体" w:eastAsia="宋体" w:cs="宋体"/>
          <w:color w:val="auto"/>
          <w:sz w:val="24"/>
          <w:szCs w:val="24"/>
          <w:highlight w:val="none"/>
        </w:rPr>
      </w:pPr>
    </w:p>
    <w:p w14:paraId="142B6403">
      <w:pPr>
        <w:spacing w:after="0" w:line="240" w:lineRule="auto"/>
        <w:jc w:val="center"/>
        <w:rPr>
          <w:rFonts w:hint="eastAsia" w:ascii="宋体" w:hAnsi="宋体" w:eastAsia="宋体" w:cs="宋体"/>
          <w:color w:val="auto"/>
          <w:sz w:val="24"/>
          <w:szCs w:val="24"/>
          <w:highlight w:val="none"/>
        </w:rPr>
      </w:pPr>
    </w:p>
    <w:p w14:paraId="00F0FDCA">
      <w:pPr>
        <w:spacing w:after="0" w:line="240" w:lineRule="auto"/>
        <w:jc w:val="center"/>
        <w:rPr>
          <w:rFonts w:hint="eastAsia" w:ascii="宋体" w:hAnsi="宋体" w:eastAsia="宋体" w:cs="宋体"/>
          <w:color w:val="auto"/>
          <w:sz w:val="24"/>
          <w:szCs w:val="24"/>
          <w:highlight w:val="none"/>
        </w:rPr>
      </w:pPr>
    </w:p>
    <w:p w14:paraId="6085D86B">
      <w:pPr>
        <w:spacing w:after="0" w:line="240" w:lineRule="auto"/>
        <w:jc w:val="center"/>
        <w:rPr>
          <w:rFonts w:hint="eastAsia" w:ascii="宋体" w:hAnsi="宋体" w:eastAsia="宋体" w:cs="宋体"/>
          <w:color w:val="auto"/>
          <w:sz w:val="24"/>
          <w:szCs w:val="24"/>
          <w:highlight w:val="none"/>
        </w:rPr>
      </w:pPr>
    </w:p>
    <w:p w14:paraId="41A71090">
      <w:pPr>
        <w:spacing w:after="0" w:line="240" w:lineRule="auto"/>
        <w:jc w:val="center"/>
        <w:rPr>
          <w:rFonts w:hint="eastAsia" w:ascii="宋体" w:hAnsi="宋体" w:eastAsia="宋体" w:cs="宋体"/>
          <w:color w:val="auto"/>
          <w:sz w:val="24"/>
          <w:szCs w:val="24"/>
          <w:highlight w:val="none"/>
        </w:rPr>
      </w:pPr>
    </w:p>
    <w:p w14:paraId="0BBE609C">
      <w:pPr>
        <w:spacing w:after="0" w:line="240" w:lineRule="auto"/>
        <w:jc w:val="center"/>
        <w:rPr>
          <w:rFonts w:hint="eastAsia" w:ascii="宋体" w:hAnsi="宋体" w:eastAsia="宋体" w:cs="宋体"/>
          <w:color w:val="auto"/>
          <w:sz w:val="24"/>
          <w:szCs w:val="24"/>
          <w:highlight w:val="none"/>
        </w:rPr>
      </w:pPr>
    </w:p>
    <w:p w14:paraId="3827653B">
      <w:pPr>
        <w:spacing w:after="0" w:line="240" w:lineRule="auto"/>
        <w:jc w:val="center"/>
        <w:rPr>
          <w:rFonts w:hint="eastAsia" w:ascii="宋体" w:hAnsi="宋体" w:eastAsia="宋体" w:cs="宋体"/>
          <w:color w:val="auto"/>
          <w:sz w:val="24"/>
          <w:szCs w:val="24"/>
          <w:highlight w:val="none"/>
        </w:rPr>
      </w:pPr>
    </w:p>
    <w:p w14:paraId="0F950B13">
      <w:pPr>
        <w:spacing w:after="0" w:line="240" w:lineRule="auto"/>
        <w:jc w:val="center"/>
        <w:rPr>
          <w:rFonts w:hint="eastAsia" w:ascii="宋体" w:hAnsi="宋体" w:eastAsia="宋体" w:cs="宋体"/>
          <w:color w:val="auto"/>
          <w:sz w:val="24"/>
          <w:szCs w:val="24"/>
          <w:highlight w:val="none"/>
        </w:rPr>
      </w:pPr>
    </w:p>
    <w:p w14:paraId="2A8C1852">
      <w:pPr>
        <w:spacing w:after="0" w:line="240" w:lineRule="auto"/>
        <w:jc w:val="center"/>
        <w:rPr>
          <w:rFonts w:hint="eastAsia" w:ascii="宋体" w:hAnsi="宋体" w:eastAsia="宋体" w:cs="宋体"/>
          <w:color w:val="auto"/>
          <w:sz w:val="24"/>
          <w:szCs w:val="24"/>
          <w:highlight w:val="none"/>
        </w:rPr>
      </w:pPr>
    </w:p>
    <w:p w14:paraId="1724D3C8">
      <w:pPr>
        <w:spacing w:after="0" w:line="240" w:lineRule="auto"/>
        <w:jc w:val="center"/>
        <w:rPr>
          <w:rFonts w:hint="eastAsia" w:ascii="宋体" w:hAnsi="宋体" w:eastAsia="宋体" w:cs="宋体"/>
          <w:color w:val="auto"/>
          <w:sz w:val="24"/>
          <w:szCs w:val="24"/>
          <w:highlight w:val="none"/>
        </w:rPr>
      </w:pPr>
    </w:p>
    <w:p w14:paraId="512E1969">
      <w:pPr>
        <w:spacing w:after="0" w:line="552" w:lineRule="auto"/>
        <w:ind w:right="-31" w:rightChars="-15" w:firstLine="1928" w:firstLineChars="800"/>
        <w:rPr>
          <w:rFonts w:hint="eastAsia" w:ascii="宋体" w:hAnsi="宋体" w:eastAsia="宋体" w:cs="宋体"/>
          <w:color w:val="auto"/>
          <w:sz w:val="24"/>
          <w:szCs w:val="24"/>
          <w:highlight w:val="none"/>
          <w:lang w:eastAsia="zh-CN"/>
        </w:rPr>
      </w:pPr>
      <w:r>
        <w:rPr>
          <w:rFonts w:hint="eastAsia" w:ascii="宋体" w:hAnsi="宋体" w:eastAsia="宋体" w:cs="宋体"/>
          <w:b/>
          <w:bCs/>
          <w:color w:val="auto"/>
          <w:sz w:val="24"/>
          <w:szCs w:val="24"/>
          <w:highlight w:val="none"/>
        </w:rPr>
        <w:t>项目名称：</w:t>
      </w:r>
      <w:r>
        <w:rPr>
          <w:rFonts w:hint="eastAsia" w:ascii="宋体" w:hAnsi="宋体" w:eastAsia="宋体" w:cs="宋体"/>
          <w:color w:val="auto"/>
          <w:sz w:val="24"/>
          <w:szCs w:val="24"/>
          <w:highlight w:val="none"/>
          <w:u w:val="single"/>
        </w:rPr>
        <w:t>M</w:t>
      </w:r>
      <w:r>
        <w:rPr>
          <w:rFonts w:hint="eastAsia" w:ascii="宋体" w:hAnsi="宋体" w:eastAsia="宋体" w:cs="宋体"/>
          <w:color w:val="auto"/>
          <w:sz w:val="24"/>
          <w:szCs w:val="24"/>
          <w:highlight w:val="none"/>
          <w:u w:val="single"/>
          <w:lang w:val="en-US" w:eastAsia="zh-CN"/>
        </w:rPr>
        <w:t>O</w:t>
      </w:r>
      <w:r>
        <w:rPr>
          <w:rFonts w:hint="eastAsia" w:ascii="宋体" w:hAnsi="宋体" w:eastAsia="宋体" w:cs="宋体"/>
          <w:color w:val="auto"/>
          <w:sz w:val="24"/>
          <w:szCs w:val="24"/>
          <w:highlight w:val="none"/>
          <w:u w:val="single"/>
        </w:rPr>
        <w:t>P基础网络代维平台开发项目</w:t>
      </w:r>
    </w:p>
    <w:p w14:paraId="05A1B53C">
      <w:pPr>
        <w:spacing w:after="0" w:line="552" w:lineRule="auto"/>
        <w:ind w:right="-15" w:firstLine="1928" w:firstLineChars="800"/>
        <w:rPr>
          <w:rFonts w:hint="default" w:ascii="宋体" w:hAnsi="宋体" w:eastAsia="宋体" w:cs="宋体"/>
          <w:b/>
          <w:bCs/>
          <w:color w:val="auto"/>
          <w:sz w:val="24"/>
          <w:szCs w:val="24"/>
          <w:highlight w:val="none"/>
          <w:u w:val="single"/>
          <w:lang w:val="en-US" w:eastAsia="zh-CN"/>
        </w:rPr>
      </w:pPr>
      <w:r>
        <w:rPr>
          <w:rFonts w:hint="eastAsia" w:ascii="宋体" w:hAnsi="宋体" w:eastAsia="宋体" w:cs="宋体"/>
          <w:b/>
          <w:bCs/>
          <w:color w:val="auto"/>
          <w:sz w:val="24"/>
          <w:szCs w:val="24"/>
          <w:highlight w:val="none"/>
        </w:rPr>
        <w:t>委托方（甲方）：</w:t>
      </w:r>
      <w:r>
        <w:rPr>
          <w:rFonts w:hint="eastAsia" w:ascii="宋体" w:hAnsi="宋体" w:eastAsia="宋体" w:cs="宋体"/>
          <w:color w:val="auto"/>
          <w:sz w:val="24"/>
          <w:szCs w:val="24"/>
          <w:highlight w:val="none"/>
          <w:u w:val="single"/>
          <w:lang w:val="en-US" w:eastAsia="zh-CN"/>
        </w:rPr>
        <w:t>深圳市众安在线技术有限公司</w:t>
      </w:r>
    </w:p>
    <w:p w14:paraId="0E1A5561">
      <w:pPr>
        <w:spacing w:after="0" w:line="552" w:lineRule="auto"/>
        <w:ind w:right="-15" w:firstLine="1928" w:firstLineChars="800"/>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rPr>
        <w:t>受托方（乙方）：</w:t>
      </w:r>
      <w:r>
        <w:rPr>
          <w:rFonts w:hint="eastAsia" w:ascii="宋体" w:hAnsi="宋体" w:eastAsia="宋体" w:cs="宋体"/>
          <w:color w:val="auto"/>
          <w:sz w:val="24"/>
          <w:szCs w:val="24"/>
          <w:highlight w:val="none"/>
          <w:u w:val="single"/>
          <w:lang w:val="en-US" w:eastAsia="zh-CN"/>
        </w:rPr>
        <w:t>北京昭明算界科技有限公司</w:t>
      </w:r>
    </w:p>
    <w:p w14:paraId="108BA529">
      <w:pPr>
        <w:spacing w:after="0" w:line="552" w:lineRule="auto"/>
        <w:ind w:right="-15" w:firstLine="1928" w:firstLineChars="800"/>
        <w:rPr>
          <w:rFonts w:hint="eastAsia" w:ascii="宋体" w:hAnsi="宋体" w:eastAsia="宋体" w:cs="宋体"/>
          <w:color w:val="auto"/>
          <w:sz w:val="24"/>
          <w:szCs w:val="24"/>
          <w:highlight w:val="none"/>
          <w:u w:val="single"/>
          <w:lang w:eastAsia="zh-CN"/>
        </w:rPr>
      </w:pPr>
      <w:r>
        <w:rPr>
          <w:rFonts w:hint="eastAsia" w:ascii="宋体" w:hAnsi="宋体" w:eastAsia="宋体" w:cs="宋体"/>
          <w:b/>
          <w:bCs/>
          <w:color w:val="auto"/>
          <w:sz w:val="24"/>
          <w:szCs w:val="24"/>
          <w:highlight w:val="none"/>
        </w:rPr>
        <w:t>签订时间：</w:t>
      </w:r>
      <w:r>
        <w:rPr>
          <w:rFonts w:hint="eastAsia" w:ascii="宋体" w:hAnsi="宋体" w:cs="宋体"/>
          <w:color w:val="auto"/>
          <w:sz w:val="24"/>
          <w:szCs w:val="24"/>
          <w:highlight w:val="none"/>
          <w:u w:val="single"/>
          <w:lang w:val="en-US" w:eastAsia="zh-CN"/>
        </w:rPr>
        <w:t>2026</w:t>
      </w:r>
      <w:r>
        <w:rPr>
          <w:rFonts w:hint="eastAsia" w:ascii="宋体" w:hAnsi="宋体" w:eastAsia="宋体" w:cs="宋体"/>
          <w:color w:val="auto"/>
          <w:sz w:val="24"/>
          <w:szCs w:val="24"/>
          <w:highlight w:val="none"/>
          <w:u w:val="single"/>
          <w:lang w:val="en-US" w:eastAsia="zh-CN"/>
        </w:rPr>
        <w:t>年</w:t>
      </w:r>
      <w:r>
        <w:rPr>
          <w:rFonts w:hint="eastAsia" w:ascii="宋体" w:hAnsi="宋体" w:cs="宋体"/>
          <w:color w:val="auto"/>
          <w:sz w:val="24"/>
          <w:szCs w:val="24"/>
          <w:highlight w:val="none"/>
          <w:u w:val="single"/>
          <w:lang w:val="en-US" w:eastAsia="zh-CN"/>
        </w:rPr>
        <w:t>09</w:t>
      </w:r>
      <w:r>
        <w:rPr>
          <w:rFonts w:hint="eastAsia" w:ascii="宋体" w:hAnsi="宋体" w:eastAsia="宋体" w:cs="宋体"/>
          <w:color w:val="auto"/>
          <w:sz w:val="24"/>
          <w:szCs w:val="24"/>
          <w:highlight w:val="none"/>
          <w:u w:val="single"/>
          <w:lang w:val="en-US" w:eastAsia="zh-CN"/>
        </w:rPr>
        <w:t>月</w:t>
      </w:r>
      <w:r>
        <w:rPr>
          <w:rFonts w:hint="eastAsia" w:ascii="宋体" w:hAnsi="宋体" w:cs="宋体"/>
          <w:color w:val="auto"/>
          <w:sz w:val="24"/>
          <w:szCs w:val="24"/>
          <w:highlight w:val="none"/>
          <w:u w:val="single"/>
          <w:lang w:val="en-US" w:eastAsia="zh-CN"/>
        </w:rPr>
        <w:t>24</w:t>
      </w:r>
      <w:r>
        <w:rPr>
          <w:rFonts w:hint="eastAsia" w:ascii="宋体" w:hAnsi="宋体" w:eastAsia="宋体" w:cs="宋体"/>
          <w:color w:val="auto"/>
          <w:sz w:val="24"/>
          <w:szCs w:val="24"/>
          <w:highlight w:val="none"/>
          <w:u w:val="single"/>
          <w:lang w:val="en-US" w:eastAsia="zh-CN"/>
        </w:rPr>
        <w:t>日</w:t>
      </w:r>
    </w:p>
    <w:p w14:paraId="336C7C5C">
      <w:pPr>
        <w:spacing w:after="0" w:line="552" w:lineRule="auto"/>
        <w:ind w:right="-15" w:firstLine="1928" w:firstLineChars="800"/>
        <w:rPr>
          <w:rFonts w:hint="eastAsia" w:ascii="宋体" w:hAnsi="宋体" w:eastAsia="宋体" w:cs="宋体"/>
          <w:color w:val="auto"/>
          <w:sz w:val="24"/>
          <w:szCs w:val="24"/>
          <w:highlight w:val="none"/>
          <w:u w:val="single"/>
          <w:lang w:eastAsia="zh-CN"/>
        </w:rPr>
      </w:pPr>
      <w:r>
        <w:rPr>
          <w:rFonts w:hint="eastAsia" w:ascii="宋体" w:hAnsi="宋体" w:eastAsia="宋体" w:cs="宋体"/>
          <w:b/>
          <w:bCs/>
          <w:color w:val="auto"/>
          <w:sz w:val="24"/>
          <w:szCs w:val="24"/>
          <w:highlight w:val="none"/>
        </w:rPr>
        <w:t>有效期限：</w:t>
      </w:r>
      <w:r>
        <w:rPr>
          <w:rFonts w:hint="eastAsia" w:ascii="宋体" w:hAnsi="宋体" w:cs="宋体"/>
          <w:color w:val="auto"/>
          <w:sz w:val="24"/>
          <w:szCs w:val="24"/>
          <w:highlight w:val="none"/>
          <w:u w:val="single"/>
          <w:lang w:val="en-US" w:eastAsia="zh-CN"/>
        </w:rPr>
        <w:t>2026</w:t>
      </w:r>
      <w:r>
        <w:rPr>
          <w:rFonts w:hint="eastAsia" w:ascii="宋体" w:hAnsi="宋体" w:eastAsia="宋体" w:cs="宋体"/>
          <w:color w:val="auto"/>
          <w:sz w:val="24"/>
          <w:szCs w:val="24"/>
          <w:highlight w:val="none"/>
          <w:u w:val="single"/>
          <w:lang w:val="en-US" w:eastAsia="zh-CN"/>
        </w:rPr>
        <w:t>年</w:t>
      </w:r>
      <w:r>
        <w:rPr>
          <w:rFonts w:hint="eastAsia" w:ascii="宋体" w:hAnsi="宋体" w:cs="宋体"/>
          <w:color w:val="auto"/>
          <w:sz w:val="24"/>
          <w:szCs w:val="24"/>
          <w:highlight w:val="none"/>
          <w:u w:val="single"/>
          <w:lang w:val="en-US" w:eastAsia="zh-CN"/>
        </w:rPr>
        <w:t>09</w:t>
      </w:r>
      <w:r>
        <w:rPr>
          <w:rFonts w:hint="eastAsia" w:ascii="宋体" w:hAnsi="宋体" w:eastAsia="宋体" w:cs="宋体"/>
          <w:color w:val="auto"/>
          <w:sz w:val="24"/>
          <w:szCs w:val="24"/>
          <w:highlight w:val="none"/>
          <w:u w:val="single"/>
          <w:lang w:val="en-US" w:eastAsia="zh-CN"/>
        </w:rPr>
        <w:t>月</w:t>
      </w:r>
      <w:r>
        <w:rPr>
          <w:rFonts w:hint="eastAsia" w:ascii="宋体" w:hAnsi="宋体" w:cs="宋体"/>
          <w:color w:val="auto"/>
          <w:sz w:val="24"/>
          <w:szCs w:val="24"/>
          <w:highlight w:val="none"/>
          <w:u w:val="single"/>
          <w:lang w:val="en-US" w:eastAsia="zh-CN"/>
        </w:rPr>
        <w:t>24</w:t>
      </w:r>
      <w:r>
        <w:rPr>
          <w:rFonts w:hint="eastAsia" w:ascii="宋体" w:hAnsi="宋体" w:eastAsia="宋体" w:cs="宋体"/>
          <w:color w:val="auto"/>
          <w:sz w:val="24"/>
          <w:szCs w:val="24"/>
          <w:highlight w:val="none"/>
          <w:u w:val="single"/>
          <w:lang w:val="en-US" w:eastAsia="zh-CN"/>
        </w:rPr>
        <w:t>日至</w:t>
      </w:r>
      <w:r>
        <w:rPr>
          <w:rFonts w:hint="eastAsia" w:ascii="宋体" w:hAnsi="宋体" w:cs="宋体"/>
          <w:color w:val="auto"/>
          <w:sz w:val="24"/>
          <w:szCs w:val="24"/>
          <w:highlight w:val="none"/>
          <w:u w:val="single"/>
          <w:lang w:val="en-US" w:eastAsia="zh-CN"/>
        </w:rPr>
        <w:t>2027</w:t>
      </w:r>
      <w:r>
        <w:rPr>
          <w:rFonts w:hint="eastAsia" w:ascii="宋体" w:hAnsi="宋体" w:eastAsia="宋体" w:cs="宋体"/>
          <w:color w:val="auto"/>
          <w:sz w:val="24"/>
          <w:szCs w:val="24"/>
          <w:highlight w:val="none"/>
          <w:u w:val="single"/>
          <w:lang w:val="en-US" w:eastAsia="zh-CN"/>
        </w:rPr>
        <w:t>年</w:t>
      </w:r>
      <w:r>
        <w:rPr>
          <w:rFonts w:hint="eastAsia" w:ascii="宋体" w:hAnsi="宋体" w:cs="宋体"/>
          <w:color w:val="auto"/>
          <w:sz w:val="24"/>
          <w:szCs w:val="24"/>
          <w:highlight w:val="none"/>
          <w:u w:val="single"/>
          <w:lang w:val="en-US" w:eastAsia="zh-CN"/>
        </w:rPr>
        <w:t>09</w:t>
      </w:r>
      <w:r>
        <w:rPr>
          <w:rFonts w:hint="eastAsia" w:ascii="宋体" w:hAnsi="宋体" w:eastAsia="宋体" w:cs="宋体"/>
          <w:color w:val="auto"/>
          <w:sz w:val="24"/>
          <w:szCs w:val="24"/>
          <w:highlight w:val="none"/>
          <w:u w:val="single"/>
          <w:lang w:val="en-US" w:eastAsia="zh-CN"/>
        </w:rPr>
        <w:t>月</w:t>
      </w:r>
      <w:r>
        <w:rPr>
          <w:rFonts w:hint="eastAsia" w:ascii="宋体" w:hAnsi="宋体" w:cs="宋体"/>
          <w:color w:val="auto"/>
          <w:sz w:val="24"/>
          <w:szCs w:val="24"/>
          <w:highlight w:val="none"/>
          <w:u w:val="single"/>
          <w:lang w:val="en-US" w:eastAsia="zh-CN"/>
        </w:rPr>
        <w:t>24</w:t>
      </w:r>
      <w:r>
        <w:rPr>
          <w:rFonts w:hint="eastAsia" w:ascii="宋体" w:hAnsi="宋体" w:eastAsia="宋体" w:cs="宋体"/>
          <w:color w:val="auto"/>
          <w:sz w:val="24"/>
          <w:szCs w:val="24"/>
          <w:highlight w:val="none"/>
          <w:u w:val="single"/>
          <w:lang w:val="en-US" w:eastAsia="zh-CN"/>
        </w:rPr>
        <w:t>日</w:t>
      </w:r>
    </w:p>
    <w:p w14:paraId="55A1A6C6">
      <w:pPr>
        <w:spacing w:after="0" w:line="600" w:lineRule="auto"/>
        <w:ind w:right="-15"/>
        <w:rPr>
          <w:rFonts w:hint="eastAsia" w:ascii="宋体" w:hAnsi="宋体" w:eastAsia="宋体" w:cs="宋体"/>
          <w:color w:val="auto"/>
          <w:sz w:val="24"/>
          <w:szCs w:val="24"/>
          <w:highlight w:val="none"/>
          <w:lang w:eastAsia="zh-CN"/>
        </w:rPr>
      </w:pPr>
    </w:p>
    <w:p w14:paraId="0D716258">
      <w:pPr>
        <w:spacing w:after="0" w:line="240" w:lineRule="auto"/>
        <w:jc w:val="center"/>
        <w:rPr>
          <w:rFonts w:hint="eastAsia" w:ascii="宋体" w:hAnsi="宋体" w:eastAsia="宋体" w:cs="宋体"/>
          <w:color w:val="auto"/>
          <w:sz w:val="24"/>
          <w:szCs w:val="24"/>
          <w:highlight w:val="none"/>
        </w:rPr>
      </w:pPr>
    </w:p>
    <w:p w14:paraId="352A09BA">
      <w:pPr>
        <w:spacing w:after="0" w:line="240" w:lineRule="auto"/>
        <w:jc w:val="center"/>
        <w:rPr>
          <w:rFonts w:hint="eastAsia" w:ascii="宋体" w:hAnsi="宋体" w:eastAsia="宋体" w:cs="宋体"/>
          <w:color w:val="auto"/>
          <w:sz w:val="24"/>
          <w:szCs w:val="24"/>
          <w:highlight w:val="none"/>
        </w:rPr>
      </w:pPr>
    </w:p>
    <w:p w14:paraId="172417B1">
      <w:pPr>
        <w:spacing w:after="0" w:line="240" w:lineRule="auto"/>
        <w:jc w:val="center"/>
        <w:rPr>
          <w:rFonts w:hint="eastAsia" w:ascii="宋体" w:hAnsi="宋体" w:eastAsia="宋体" w:cs="宋体"/>
          <w:color w:val="auto"/>
          <w:sz w:val="24"/>
          <w:szCs w:val="24"/>
          <w:highlight w:val="none"/>
        </w:rPr>
      </w:pPr>
    </w:p>
    <w:p w14:paraId="62C03DCA">
      <w:pPr>
        <w:spacing w:after="0" w:line="240" w:lineRule="auto"/>
        <w:jc w:val="center"/>
        <w:rPr>
          <w:rFonts w:hint="eastAsia" w:ascii="宋体" w:hAnsi="宋体" w:eastAsia="宋体" w:cs="宋体"/>
          <w:color w:val="auto"/>
          <w:sz w:val="24"/>
          <w:szCs w:val="24"/>
          <w:highlight w:val="none"/>
        </w:rPr>
      </w:pPr>
    </w:p>
    <w:p w14:paraId="7B2D37D6">
      <w:pPr>
        <w:jc w:val="center"/>
        <w:rPr>
          <w:rFonts w:hint="eastAsia" w:ascii="宋体" w:hAnsi="宋体" w:eastAsia="宋体" w:cs="宋体"/>
          <w:color w:val="auto"/>
          <w:sz w:val="24"/>
          <w:szCs w:val="24"/>
          <w:highlight w:val="none"/>
        </w:rPr>
      </w:pPr>
    </w:p>
    <w:p w14:paraId="42E6FDEA">
      <w:pPr>
        <w:jc w:val="center"/>
        <w:rPr>
          <w:rFonts w:hint="eastAsia" w:ascii="宋体" w:hAnsi="宋体" w:eastAsia="宋体" w:cs="宋体"/>
          <w:color w:val="auto"/>
          <w:sz w:val="24"/>
          <w:szCs w:val="24"/>
          <w:highlight w:val="none"/>
        </w:rPr>
        <w:sectPr>
          <w:footerReference r:id="rId6" w:type="default"/>
          <w:headerReference r:id="rId5" w:type="even"/>
          <w:footerReference r:id="rId7" w:type="even"/>
          <w:pgSz w:w="11906" w:h="16838"/>
          <w:pgMar w:top="1304" w:right="1469" w:bottom="1304" w:left="1469" w:header="851" w:footer="992" w:gutter="0"/>
          <w:cols w:space="425" w:num="1"/>
          <w:titlePg/>
          <w:docGrid w:type="lines" w:linePitch="312" w:charSpace="0"/>
        </w:sectPr>
      </w:pPr>
    </w:p>
    <w:p w14:paraId="158F86FE">
      <w:pPr>
        <w:widowControl/>
        <w:spacing w:after="0" w:line="360" w:lineRule="auto"/>
        <w:jc w:val="center"/>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填写说明</w:t>
      </w:r>
    </w:p>
    <w:p w14:paraId="5434EF68">
      <w:pPr>
        <w:spacing w:after="0" w:line="360" w:lineRule="auto"/>
        <w:jc w:val="center"/>
        <w:rPr>
          <w:rFonts w:hint="eastAsia" w:ascii="宋体" w:hAnsi="宋体" w:eastAsia="宋体" w:cs="宋体"/>
          <w:color w:val="auto"/>
          <w:sz w:val="24"/>
          <w:szCs w:val="24"/>
          <w:highlight w:val="none"/>
        </w:rPr>
      </w:pPr>
    </w:p>
    <w:p w14:paraId="01594CF8">
      <w:pPr>
        <w:widowControl/>
        <w:numPr>
          <w:ilvl w:val="0"/>
          <w:numId w:val="2"/>
        </w:numPr>
        <w:spacing w:line="360" w:lineRule="auto"/>
        <w:ind w:left="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本合同为中华人民共和国科学技术部印制的技术开发（委托）合同示范文本，各技术合同登记机构可推介技术合同当事人参照使用。</w:t>
      </w:r>
    </w:p>
    <w:p w14:paraId="344A4040">
      <w:pPr>
        <w:widowControl/>
        <w:numPr>
          <w:ilvl w:val="0"/>
          <w:numId w:val="2"/>
        </w:numPr>
        <w:spacing w:before="120" w:after="120" w:line="360" w:lineRule="auto"/>
        <w:ind w:left="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本合同书适用于一方当事人委托另一方当事人进行新技术、新产品、新工艺、新材料或者新品种及其系统的研究开发所订立的技术开发合同。</w:t>
      </w:r>
    </w:p>
    <w:p w14:paraId="1401C888">
      <w:pPr>
        <w:widowControl/>
        <w:numPr>
          <w:ilvl w:val="0"/>
          <w:numId w:val="2"/>
        </w:numPr>
        <w:spacing w:before="120" w:after="120" w:line="360" w:lineRule="auto"/>
        <w:ind w:left="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签约一方为多个当事人的，可按各自在合同关系中的作用等，在“委托方”、“受托方”项下（增页）分别排列为共同委托人或共同受托人。</w:t>
      </w:r>
    </w:p>
    <w:p w14:paraId="00777D0C">
      <w:pPr>
        <w:widowControl/>
        <w:numPr>
          <w:ilvl w:val="0"/>
          <w:numId w:val="2"/>
        </w:numPr>
        <w:spacing w:before="120" w:after="120" w:line="360" w:lineRule="auto"/>
        <w:ind w:left="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本合同书未尽事项，可由当事人附页另行约定，并可作为本合同的组成部分。</w:t>
      </w:r>
    </w:p>
    <w:p w14:paraId="6A6AD84A">
      <w:pPr>
        <w:widowControl/>
        <w:numPr>
          <w:ilvl w:val="0"/>
          <w:numId w:val="2"/>
        </w:numPr>
        <w:spacing w:before="120" w:after="120" w:line="360" w:lineRule="auto"/>
        <w:ind w:left="0"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当事人使用本合同书时约定无需填写的条款，应在该条款处注明“无”等字样。</w:t>
      </w:r>
    </w:p>
    <w:p w14:paraId="320156A1">
      <w:pPr>
        <w:widowControl/>
        <w:spacing w:after="0" w:line="240" w:lineRule="auto"/>
        <w:jc w:val="left"/>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br w:type="page"/>
      </w:r>
    </w:p>
    <w:p w14:paraId="3726183B">
      <w:pPr>
        <w:spacing w:after="0" w:line="36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合同协议书</w:t>
      </w:r>
    </w:p>
    <w:p w14:paraId="1C124893">
      <w:pPr>
        <w:spacing w:after="0" w:line="36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合同编号：</w:t>
      </w:r>
    </w:p>
    <w:p w14:paraId="122359F8">
      <w:pPr>
        <w:spacing w:after="0" w:line="520" w:lineRule="exact"/>
        <w:rPr>
          <w:rFonts w:hint="eastAsia" w:ascii="宋体" w:hAnsi="宋体" w:eastAsia="宋体" w:cs="宋体"/>
          <w:color w:val="auto"/>
          <w:sz w:val="24"/>
          <w:szCs w:val="24"/>
          <w:highlight w:val="none"/>
        </w:rPr>
      </w:pPr>
    </w:p>
    <w:p w14:paraId="7A76A460">
      <w:pPr>
        <w:spacing w:after="0" w:line="360" w:lineRule="auto"/>
        <w:rPr>
          <w:rFonts w:hint="eastAsia" w:ascii="宋体" w:hAnsi="宋体" w:eastAsia="宋体" w:cs="宋体"/>
          <w:color w:val="auto"/>
          <w:sz w:val="24"/>
          <w:szCs w:val="24"/>
          <w:highlight w:val="none"/>
          <w:u w:val="single"/>
          <w:lang w:val="en-US" w:eastAsia="zh-CN"/>
        </w:rPr>
      </w:pPr>
      <w:r>
        <w:rPr>
          <w:rFonts w:hint="eastAsia" w:ascii="宋体" w:hAnsi="宋体" w:eastAsia="宋体" w:cs="宋体"/>
          <w:color w:val="auto"/>
          <w:sz w:val="24"/>
          <w:szCs w:val="24"/>
          <w:highlight w:val="none"/>
        </w:rPr>
        <w:t>项目名称：</w:t>
      </w:r>
      <w:r>
        <w:rPr>
          <w:rFonts w:hint="eastAsia" w:ascii="宋体" w:hAnsi="宋体" w:eastAsia="宋体" w:cs="宋体"/>
          <w:color w:val="auto"/>
          <w:sz w:val="24"/>
          <w:szCs w:val="24"/>
          <w:highlight w:val="none"/>
          <w:u w:val="single"/>
          <w:lang w:val="en-US" w:eastAsia="zh-CN"/>
        </w:rPr>
        <w:t>MOP基础网络代维平台开发项目</w:t>
      </w:r>
    </w:p>
    <w:p w14:paraId="2957C39F">
      <w:pPr>
        <w:spacing w:after="0" w:line="360" w:lineRule="auto"/>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甲方：</w:t>
      </w:r>
      <w:r>
        <w:rPr>
          <w:rFonts w:hint="eastAsia" w:ascii="宋体" w:hAnsi="宋体" w:cs="宋体"/>
          <w:color w:val="auto"/>
          <w:sz w:val="24"/>
          <w:szCs w:val="24"/>
          <w:highlight w:val="none"/>
          <w:lang w:val="en-US" w:eastAsia="zh-CN"/>
        </w:rPr>
        <w:t>深圳市众安在线技术有限公司</w:t>
      </w:r>
    </w:p>
    <w:p w14:paraId="026B3F7B">
      <w:pPr>
        <w:spacing w:after="0" w:line="360" w:lineRule="auto"/>
        <w:rPr>
          <w:rFonts w:hint="eastAsia" w:ascii="宋体" w:hAnsi="宋体" w:eastAsia="宋体" w:cs="宋体"/>
          <w:color w:val="auto"/>
          <w:sz w:val="24"/>
          <w:szCs w:val="24"/>
          <w:highlight w:val="none"/>
          <w:u w:val="single"/>
          <w:lang w:eastAsia="zh-CN"/>
        </w:rPr>
      </w:pPr>
      <w:r>
        <w:rPr>
          <w:rFonts w:hint="eastAsia" w:ascii="宋体" w:hAnsi="宋体" w:eastAsia="宋体" w:cs="宋体"/>
          <w:color w:val="auto"/>
          <w:sz w:val="24"/>
          <w:szCs w:val="24"/>
          <w:highlight w:val="none"/>
        </w:rPr>
        <w:t>住所地：</w:t>
      </w:r>
      <w:r>
        <w:rPr>
          <w:rFonts w:hint="eastAsia" w:ascii="宋体" w:hAnsi="宋体" w:cs="宋体"/>
          <w:color w:val="auto"/>
          <w:sz w:val="24"/>
          <w:szCs w:val="24"/>
          <w:highlight w:val="none"/>
          <w:lang w:val="en-US" w:eastAsia="zh-CN"/>
        </w:rPr>
        <w:t>深圳市南山区软件园2期12栋501</w:t>
      </w:r>
    </w:p>
    <w:p w14:paraId="0E9DA08C">
      <w:pPr>
        <w:spacing w:after="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法定代表人（或委托代理人）：</w:t>
      </w:r>
      <w:r>
        <w:rPr>
          <w:rFonts w:hint="eastAsia" w:ascii="宋体" w:hAnsi="宋体" w:cs="宋体"/>
          <w:color w:val="auto"/>
          <w:sz w:val="24"/>
          <w:szCs w:val="24"/>
          <w:highlight w:val="none"/>
          <w:lang w:val="en-US" w:eastAsia="zh-CN"/>
        </w:rPr>
        <w:t>蒋发明</w:t>
      </w:r>
    </w:p>
    <w:p w14:paraId="3819A2F1">
      <w:pPr>
        <w:spacing w:after="0" w:line="360" w:lineRule="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项目联系人：</w:t>
      </w:r>
      <w:r>
        <w:rPr>
          <w:rFonts w:hint="eastAsia" w:ascii="宋体" w:hAnsi="宋体" w:cs="宋体"/>
          <w:color w:val="auto"/>
          <w:sz w:val="24"/>
          <w:szCs w:val="24"/>
          <w:highlight w:val="none"/>
          <w:lang w:val="en-US" w:eastAsia="zh-CN"/>
        </w:rPr>
        <w:t>蒋发明</w:t>
      </w:r>
    </w:p>
    <w:p w14:paraId="1EAD8D86">
      <w:pPr>
        <w:spacing w:after="0" w:line="360" w:lineRule="auto"/>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电子信箱：</w:t>
      </w:r>
      <w:r>
        <w:rPr>
          <w:rFonts w:hint="eastAsia" w:ascii="宋体" w:hAnsi="宋体" w:cs="宋体"/>
          <w:color w:val="auto"/>
          <w:sz w:val="24"/>
          <w:szCs w:val="24"/>
          <w:highlight w:val="none"/>
          <w:lang w:val="en-US" w:eastAsia="zh-CN"/>
        </w:rPr>
        <w:t>jiangfm@all-online.com.cn</w:t>
      </w:r>
    </w:p>
    <w:p w14:paraId="7968FC6B">
      <w:pPr>
        <w:spacing w:after="0" w:line="360" w:lineRule="auto"/>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通讯地址：</w:t>
      </w:r>
      <w:r>
        <w:rPr>
          <w:rFonts w:hint="eastAsia" w:ascii="宋体" w:hAnsi="宋体" w:cs="宋体"/>
          <w:color w:val="auto"/>
          <w:sz w:val="24"/>
          <w:szCs w:val="24"/>
          <w:highlight w:val="none"/>
          <w:lang w:val="en-US" w:eastAsia="zh-CN"/>
        </w:rPr>
        <w:t>深圳市南山区软件园2期12栋501</w:t>
      </w:r>
    </w:p>
    <w:p w14:paraId="14380BD1">
      <w:pPr>
        <w:spacing w:after="0" w:line="36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电话：传真：</w:t>
      </w:r>
      <w:r>
        <w:rPr>
          <w:rFonts w:hint="eastAsia" w:ascii="宋体" w:hAnsi="宋体" w:eastAsia="宋体" w:cs="宋体"/>
          <w:color w:val="auto"/>
          <w:sz w:val="24"/>
          <w:szCs w:val="24"/>
          <w:highlight w:val="none"/>
          <w:u w:val="single"/>
          <w:lang w:val="en-US" w:eastAsia="zh-CN"/>
        </w:rPr>
        <w:t>/</w:t>
      </w:r>
    </w:p>
    <w:p w14:paraId="2A6F3805">
      <w:pPr>
        <w:spacing w:after="0" w:line="360" w:lineRule="auto"/>
        <w:ind w:firstLine="480" w:firstLineChars="200"/>
        <w:rPr>
          <w:rFonts w:hint="eastAsia" w:ascii="宋体" w:hAnsi="宋体" w:eastAsia="宋体" w:cs="宋体"/>
          <w:color w:val="auto"/>
          <w:sz w:val="24"/>
          <w:szCs w:val="24"/>
          <w:highlight w:val="none"/>
        </w:rPr>
      </w:pPr>
    </w:p>
    <w:p w14:paraId="693BBA8E">
      <w:pPr>
        <w:spacing w:after="0" w:line="360" w:lineRule="auto"/>
        <w:ind w:firstLine="480" w:firstLineChars="200"/>
        <w:rPr>
          <w:rFonts w:hint="eastAsia" w:ascii="宋体" w:hAnsi="宋体" w:eastAsia="宋体" w:cs="宋体"/>
          <w:color w:val="auto"/>
          <w:sz w:val="24"/>
          <w:szCs w:val="24"/>
          <w:highlight w:val="none"/>
        </w:rPr>
      </w:pPr>
    </w:p>
    <w:p w14:paraId="398F349B">
      <w:pPr>
        <w:spacing w:after="0" w:line="36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乙方：北京昭明算界科技有限公司</w:t>
      </w:r>
    </w:p>
    <w:p w14:paraId="24BE9B41">
      <w:pPr>
        <w:spacing w:after="0" w:line="36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住所地：北京市通州区吉祥园甲19号楼102室576号</w:t>
      </w:r>
    </w:p>
    <w:p w14:paraId="5A728658">
      <w:pPr>
        <w:spacing w:after="0" w:line="36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法定代表人：石晓飞</w:t>
      </w:r>
    </w:p>
    <w:p w14:paraId="0A96F163">
      <w:pPr>
        <w:spacing w:after="0" w:line="36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项目联系人：武旭阳</w:t>
      </w:r>
    </w:p>
    <w:p w14:paraId="67B64FA8">
      <w:pPr>
        <w:spacing w:after="0" w:line="36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电子信箱：wuxuyang0223@outlook.com</w:t>
      </w:r>
    </w:p>
    <w:p w14:paraId="639E4E29">
      <w:pPr>
        <w:spacing w:after="0" w:line="36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通讯地址：北京市通州区吉祥园甲19号楼102室576号</w:t>
      </w:r>
    </w:p>
    <w:p w14:paraId="6B6A7DAE">
      <w:pPr>
        <w:spacing w:after="0" w:line="36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电话：传真：</w:t>
      </w:r>
      <w:r>
        <w:rPr>
          <w:rFonts w:hint="eastAsia" w:ascii="宋体" w:hAnsi="宋体" w:eastAsia="宋体" w:cs="宋体"/>
          <w:color w:val="auto"/>
          <w:sz w:val="24"/>
          <w:szCs w:val="24"/>
          <w:highlight w:val="none"/>
          <w:u w:val="single"/>
          <w:lang w:val="en-US" w:eastAsia="zh-CN"/>
        </w:rPr>
        <w:t>/</w:t>
      </w:r>
    </w:p>
    <w:p w14:paraId="74E4479B">
      <w:pPr>
        <w:widowControl/>
        <w:spacing w:after="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br w:type="page"/>
      </w:r>
    </w:p>
    <w:p w14:paraId="715ACF9E">
      <w:pPr>
        <w:spacing w:line="360" w:lineRule="auto"/>
        <w:jc w:val="center"/>
        <w:rPr>
          <w:rFonts w:hint="eastAsia" w:ascii="宋体" w:hAnsi="宋体" w:eastAsia="宋体" w:cs="宋体"/>
          <w:b/>
          <w:color w:val="auto"/>
          <w:sz w:val="24"/>
          <w:szCs w:val="24"/>
          <w:highlight w:val="none"/>
        </w:rPr>
        <w:sectPr>
          <w:headerReference r:id="rId9" w:type="first"/>
          <w:headerReference r:id="rId8" w:type="even"/>
          <w:endnotePr>
            <w:numFmt w:val="decimal"/>
          </w:endnotePr>
          <w:pgSz w:w="11906" w:h="16838"/>
          <w:pgMar w:top="1440" w:right="1134" w:bottom="1440" w:left="1588" w:header="851" w:footer="992" w:gutter="0"/>
          <w:cols w:space="720" w:num="1"/>
          <w:docGrid w:linePitch="450" w:charSpace="-4697"/>
        </w:sectPr>
      </w:pPr>
    </w:p>
    <w:p w14:paraId="3C408F0C">
      <w:pPr>
        <w:spacing w:after="0" w:line="360" w:lineRule="auto"/>
        <w:jc w:val="center"/>
        <w:rPr>
          <w:rFonts w:hint="eastAsia" w:ascii="宋体" w:hAnsi="宋体" w:eastAsia="宋体" w:cs="宋体"/>
          <w:b/>
          <w:bCs/>
          <w:color w:val="auto"/>
          <w:sz w:val="28"/>
          <w:szCs w:val="28"/>
          <w:highlight w:val="none"/>
        </w:rPr>
      </w:pPr>
      <w:r>
        <w:rPr>
          <w:rFonts w:hint="eastAsia" w:ascii="宋体" w:hAnsi="宋体" w:eastAsia="宋体" w:cs="宋体"/>
          <w:b/>
          <w:bCs/>
          <w:color w:val="auto"/>
          <w:sz w:val="28"/>
          <w:szCs w:val="28"/>
          <w:highlight w:val="none"/>
        </w:rPr>
        <w:t>合同正文</w:t>
      </w:r>
    </w:p>
    <w:p w14:paraId="66966E4D">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甲乙双方依照《中华人民共和国民法典》及其他有关法律、行政法规的规定，遵循平等、自愿、公平、诚实信用的原则，就甲方</w:t>
      </w:r>
      <w:r>
        <w:rPr>
          <w:rFonts w:hint="eastAsia" w:ascii="宋体" w:hAnsi="宋体" w:eastAsia="宋体" w:cs="宋体"/>
          <w:color w:val="auto"/>
          <w:kern w:val="28"/>
          <w:sz w:val="24"/>
          <w:szCs w:val="24"/>
          <w:highlight w:val="none"/>
          <w:u w:val="single"/>
          <w:lang w:eastAsia="zh-CN"/>
        </w:rPr>
        <w:t>MOP</w:t>
      </w:r>
      <w:r>
        <w:rPr>
          <w:rFonts w:hint="eastAsia" w:ascii="宋体" w:hAnsi="宋体" w:eastAsia="宋体" w:cs="宋体"/>
          <w:color w:val="auto"/>
          <w:kern w:val="28"/>
          <w:sz w:val="24"/>
          <w:szCs w:val="24"/>
          <w:highlight w:val="none"/>
          <w:u w:val="single"/>
        </w:rPr>
        <w:t>基础网络代维平台</w:t>
      </w:r>
      <w:r>
        <w:rPr>
          <w:rFonts w:hint="eastAsia" w:ascii="宋体" w:hAnsi="宋体" w:eastAsia="宋体" w:cs="宋体"/>
          <w:color w:val="auto"/>
          <w:kern w:val="28"/>
          <w:sz w:val="24"/>
          <w:szCs w:val="24"/>
          <w:highlight w:val="none"/>
          <w:u w:val="single"/>
          <w:lang w:val="en-US" w:eastAsia="zh-CN"/>
        </w:rPr>
        <w:t>开发</w:t>
      </w:r>
      <w:r>
        <w:rPr>
          <w:rFonts w:hint="eastAsia" w:ascii="宋体" w:hAnsi="宋体" w:eastAsia="宋体" w:cs="宋体"/>
          <w:color w:val="auto"/>
          <w:kern w:val="28"/>
          <w:sz w:val="24"/>
          <w:szCs w:val="24"/>
          <w:highlight w:val="none"/>
          <w:u w:val="single"/>
        </w:rPr>
        <w:t>项目</w:t>
      </w:r>
      <w:r>
        <w:rPr>
          <w:rFonts w:hint="eastAsia" w:ascii="宋体" w:hAnsi="宋体" w:eastAsia="宋体" w:cs="宋体"/>
          <w:color w:val="auto"/>
          <w:sz w:val="24"/>
          <w:szCs w:val="24"/>
          <w:highlight w:val="none"/>
        </w:rPr>
        <w:t>的实施，经协商一致，订立本合同。</w:t>
      </w:r>
    </w:p>
    <w:p w14:paraId="6661F103">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0" w:name="_Toc1901"/>
      <w:bookmarkStart w:id="1" w:name="_Toc20908"/>
      <w:bookmarkStart w:id="2" w:name="_Toc6996"/>
      <w:bookmarkStart w:id="3" w:name="_Toc108776991"/>
      <w:r>
        <w:rPr>
          <w:rFonts w:hint="eastAsia" w:ascii="宋体" w:hAnsi="宋体" w:eastAsia="宋体" w:cs="宋体"/>
          <w:b/>
          <w:bCs/>
          <w:color w:val="auto"/>
          <w:sz w:val="28"/>
          <w:szCs w:val="28"/>
          <w:highlight w:val="none"/>
        </w:rPr>
        <w:t>名词定义及解释</w:t>
      </w:r>
      <w:bookmarkEnd w:id="0"/>
      <w:bookmarkEnd w:id="1"/>
      <w:bookmarkEnd w:id="2"/>
      <w:bookmarkEnd w:id="3"/>
    </w:p>
    <w:p w14:paraId="6FB0D4F1">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如无特别说明，下列用语在本合同中的含义为：</w:t>
      </w:r>
    </w:p>
    <w:p w14:paraId="7D9900C3">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“项目”是指</w:t>
      </w:r>
      <w:bookmarkStart w:id="4" w:name="_Hlk106785702"/>
      <w:r>
        <w:rPr>
          <w:rFonts w:hint="eastAsia" w:ascii="宋体" w:hAnsi="宋体" w:eastAsia="宋体" w:cs="宋体"/>
          <w:color w:val="auto"/>
          <w:sz w:val="24"/>
          <w:szCs w:val="24"/>
          <w:highlight w:val="none"/>
        </w:rPr>
        <w:t>甲方委托乙方按照本合同约定进行的</w:t>
      </w:r>
      <w:bookmarkEnd w:id="4"/>
      <w:r>
        <w:rPr>
          <w:rFonts w:hint="eastAsia" w:ascii="宋体" w:hAnsi="宋体" w:eastAsia="宋体" w:cs="宋体"/>
          <w:color w:val="auto"/>
          <w:sz w:val="24"/>
          <w:szCs w:val="24"/>
          <w:highlight w:val="none"/>
          <w:lang w:eastAsia="zh-CN"/>
        </w:rPr>
        <w:t>MOP基础网络代维平台开发项目</w:t>
      </w:r>
      <w:r>
        <w:rPr>
          <w:rFonts w:hint="eastAsia" w:ascii="宋体" w:hAnsi="宋体" w:eastAsia="宋体" w:cs="宋体"/>
          <w:color w:val="auto"/>
          <w:sz w:val="24"/>
          <w:szCs w:val="24"/>
          <w:highlight w:val="none"/>
        </w:rPr>
        <w:t>。</w:t>
      </w:r>
    </w:p>
    <w:p w14:paraId="7B02D923">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“软件”包括“软件系统”，除另有指明外，指在本合同履行期内所开发和提供的当前和将来的软件版本，包括乙方为履行本合同所开发和提供的软件版本和相关的文件。</w:t>
      </w:r>
    </w:p>
    <w:p w14:paraId="661588C3">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“文档”指用来描述程序的内容、组成、设计、功能规格、开发情况、测试结果及使用方法的文字资料和图表等。</w:t>
      </w:r>
    </w:p>
    <w:p w14:paraId="56135794">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“资料”是指与软件相关的工作记录及工程文档。</w:t>
      </w:r>
    </w:p>
    <w:p w14:paraId="6F9FCC8F">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源代码”指用于本项目软件的源代码。其必须可被熟练的程序员理解、使用、修改并成功编译及运行，可打印以及被机器阅读或具备其他合理而必要的形式，包括对该软件的评估、测试、编译、运行或其它技术文件。</w:t>
      </w:r>
    </w:p>
    <w:p w14:paraId="7EF5AD92">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“知识产权”指本合同涉及的所有著作权、商标权、专利权、版权和其它智力成果的专有的权利和利益。</w:t>
      </w:r>
    </w:p>
    <w:p w14:paraId="06B14000">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“需求变更”是指经双方商定后对软件或资料所做的需求修改。</w:t>
      </w:r>
    </w:p>
    <w:p w14:paraId="0F5732F2">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“测试”是指根据本合同各方约定的方法和标准，对乙方所完成开发成果的全部或部分功能及运行状态所做的检测。</w:t>
      </w:r>
    </w:p>
    <w:p w14:paraId="6A5B5C28">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“上线”是指乙方开发的“软件”在甲方的工作环境中正式运行或被甲方用于业务办理。</w:t>
      </w:r>
    </w:p>
    <w:p w14:paraId="2A66B40D">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“工作日”指国家所规定的节假日之外的所有工作日。</w:t>
      </w:r>
    </w:p>
    <w:p w14:paraId="3653C9DC">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“工作说明书”指约定本合同工作范围、质量标准、项目进度、资源管理等特定内容的文件。</w:t>
      </w:r>
    </w:p>
    <w:p w14:paraId="239D7A02">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5" w:name="_Toc11670"/>
      <w:bookmarkStart w:id="6" w:name="_Toc15291"/>
      <w:bookmarkStart w:id="7" w:name="_Toc108776992"/>
      <w:bookmarkStart w:id="8" w:name="_Toc24733"/>
      <w:r>
        <w:rPr>
          <w:rFonts w:hint="eastAsia" w:ascii="宋体" w:hAnsi="宋体" w:eastAsia="宋体" w:cs="宋体"/>
          <w:b/>
          <w:bCs/>
          <w:color w:val="auto"/>
          <w:sz w:val="28"/>
          <w:szCs w:val="28"/>
          <w:highlight w:val="none"/>
        </w:rPr>
        <w:t>项目内容和要求</w:t>
      </w:r>
      <w:bookmarkEnd w:id="5"/>
      <w:bookmarkEnd w:id="6"/>
      <w:bookmarkEnd w:id="7"/>
      <w:bookmarkEnd w:id="8"/>
    </w:p>
    <w:p w14:paraId="36755014">
      <w:pPr>
        <w:numPr>
          <w:ilvl w:val="0"/>
          <w:numId w:val="5"/>
        </w:numPr>
        <w:tabs>
          <w:tab w:val="left" w:pos="284"/>
        </w:tabs>
        <w:adjustRightInd w:val="0"/>
        <w:snapToGrid w:val="0"/>
        <w:spacing w:line="360" w:lineRule="auto"/>
        <w:ind w:firstLine="420"/>
        <w:rPr>
          <w:rFonts w:hint="eastAsia" w:ascii="宋体" w:hAnsi="宋体" w:eastAsia="宋体" w:cs="宋体"/>
          <w:b/>
          <w:bCs/>
          <w:vanish/>
          <w:color w:val="auto"/>
          <w:sz w:val="24"/>
          <w:szCs w:val="24"/>
          <w:highlight w:val="none"/>
        </w:rPr>
      </w:pPr>
    </w:p>
    <w:p w14:paraId="5F348C13">
      <w:pPr>
        <w:numPr>
          <w:ilvl w:val="0"/>
          <w:numId w:val="5"/>
        </w:numPr>
        <w:tabs>
          <w:tab w:val="left" w:pos="284"/>
        </w:tabs>
        <w:adjustRightInd w:val="0"/>
        <w:snapToGrid w:val="0"/>
        <w:spacing w:line="360" w:lineRule="auto"/>
        <w:ind w:firstLine="420"/>
        <w:rPr>
          <w:rFonts w:hint="eastAsia" w:ascii="宋体" w:hAnsi="宋体" w:eastAsia="宋体" w:cs="宋体"/>
          <w:b/>
          <w:bCs/>
          <w:vanish/>
          <w:color w:val="auto"/>
          <w:sz w:val="24"/>
          <w:szCs w:val="24"/>
          <w:highlight w:val="none"/>
        </w:rPr>
      </w:pPr>
    </w:p>
    <w:p w14:paraId="737E277A">
      <w:pPr>
        <w:keepNext/>
        <w:keepLines/>
        <w:numPr>
          <w:ilvl w:val="1"/>
          <w:numId w:val="5"/>
        </w:numPr>
        <w:adjustRightInd w:val="0"/>
        <w:spacing w:before="40" w:after="40" w:line="360" w:lineRule="auto"/>
        <w:ind w:left="0" w:firstLine="482" w:firstLineChars="200"/>
        <w:outlineLvl w:val="1"/>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项目内容</w:t>
      </w:r>
    </w:p>
    <w:p w14:paraId="1DA19F3A">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甲方委托乙方进行</w:t>
      </w:r>
      <w:r>
        <w:rPr>
          <w:rFonts w:hint="eastAsia" w:ascii="宋体" w:hAnsi="宋体" w:eastAsia="宋体" w:cs="宋体"/>
          <w:color w:val="auto"/>
          <w:sz w:val="24"/>
          <w:szCs w:val="24"/>
          <w:highlight w:val="none"/>
          <w:u w:val="single"/>
        </w:rPr>
        <w:t>M</w:t>
      </w:r>
      <w:r>
        <w:rPr>
          <w:rFonts w:hint="eastAsia" w:ascii="宋体" w:hAnsi="宋体" w:eastAsia="宋体" w:cs="宋体"/>
          <w:color w:val="auto"/>
          <w:sz w:val="24"/>
          <w:szCs w:val="24"/>
          <w:highlight w:val="none"/>
          <w:u w:val="single"/>
          <w:lang w:val="en-US" w:eastAsia="zh-CN"/>
        </w:rPr>
        <w:t>O</w:t>
      </w:r>
      <w:r>
        <w:rPr>
          <w:rFonts w:hint="eastAsia" w:ascii="宋体" w:hAnsi="宋体" w:eastAsia="宋体" w:cs="宋体"/>
          <w:color w:val="auto"/>
          <w:sz w:val="24"/>
          <w:szCs w:val="24"/>
          <w:highlight w:val="none"/>
          <w:u w:val="single"/>
        </w:rPr>
        <w:t>P基础网络代维平台</w:t>
      </w:r>
      <w:r>
        <w:rPr>
          <w:rFonts w:hint="eastAsia" w:ascii="宋体" w:hAnsi="宋体" w:eastAsia="宋体" w:cs="宋体"/>
          <w:color w:val="auto"/>
          <w:sz w:val="24"/>
          <w:szCs w:val="24"/>
          <w:highlight w:val="none"/>
          <w:u w:val="single"/>
          <w:lang w:val="en-US" w:eastAsia="zh-CN"/>
        </w:rPr>
        <w:t>开发</w:t>
      </w:r>
      <w:r>
        <w:rPr>
          <w:rFonts w:hint="eastAsia" w:ascii="宋体" w:hAnsi="宋体" w:eastAsia="宋体" w:cs="宋体"/>
          <w:color w:val="auto"/>
          <w:sz w:val="24"/>
          <w:szCs w:val="24"/>
          <w:highlight w:val="none"/>
          <w:u w:val="single"/>
        </w:rPr>
        <w:t>项目</w:t>
      </w:r>
      <w:r>
        <w:rPr>
          <w:rFonts w:hint="eastAsia" w:ascii="宋体" w:hAnsi="宋体" w:eastAsia="宋体" w:cs="宋体"/>
          <w:color w:val="auto"/>
          <w:sz w:val="24"/>
          <w:szCs w:val="24"/>
          <w:highlight w:val="none"/>
        </w:rPr>
        <w:t>的实施，主要包括</w:t>
      </w:r>
      <w:r>
        <w:rPr>
          <w:rFonts w:hint="eastAsia" w:ascii="宋体" w:hAnsi="宋体" w:eastAsia="宋体" w:cs="宋体"/>
          <w:color w:val="auto"/>
          <w:sz w:val="24"/>
          <w:szCs w:val="24"/>
          <w:highlight w:val="none"/>
          <w:lang w:eastAsia="zh-CN"/>
        </w:rPr>
        <w:t>M</w:t>
      </w:r>
      <w:r>
        <w:rPr>
          <w:rFonts w:hint="eastAsia" w:ascii="宋体" w:hAnsi="宋体" w:eastAsia="宋体" w:cs="宋体"/>
          <w:color w:val="auto"/>
          <w:sz w:val="24"/>
          <w:szCs w:val="24"/>
          <w:highlight w:val="none"/>
          <w:lang w:val="en-US" w:eastAsia="zh-CN"/>
        </w:rPr>
        <w:t>O</w:t>
      </w:r>
      <w:r>
        <w:rPr>
          <w:rFonts w:hint="eastAsia" w:ascii="宋体" w:hAnsi="宋体" w:eastAsia="宋体" w:cs="宋体"/>
          <w:color w:val="auto"/>
          <w:sz w:val="24"/>
          <w:szCs w:val="24"/>
          <w:highlight w:val="none"/>
          <w:lang w:eastAsia="zh-CN"/>
        </w:rPr>
        <w:t>P基础网络代维平台</w:t>
      </w:r>
      <w:r>
        <w:rPr>
          <w:rFonts w:hint="eastAsia" w:ascii="宋体" w:hAnsi="宋体" w:eastAsia="宋体" w:cs="宋体"/>
          <w:color w:val="auto"/>
          <w:sz w:val="24"/>
          <w:szCs w:val="24"/>
          <w:highlight w:val="none"/>
        </w:rPr>
        <w:t>软件开发</w:t>
      </w:r>
      <w:r>
        <w:rPr>
          <w:rFonts w:hint="eastAsia" w:ascii="宋体" w:hAnsi="宋体" w:eastAsia="宋体" w:cs="宋体"/>
          <w:color w:val="auto"/>
          <w:sz w:val="24"/>
          <w:szCs w:val="24"/>
          <w:highlight w:val="none"/>
          <w:lang w:val="en-US" w:eastAsia="zh-CN"/>
        </w:rPr>
        <w:t>及部署。</w:t>
      </w:r>
      <w:r>
        <w:rPr>
          <w:rFonts w:hint="eastAsia" w:ascii="宋体" w:hAnsi="宋体" w:eastAsia="宋体" w:cs="宋体"/>
          <w:color w:val="auto"/>
          <w:sz w:val="24"/>
          <w:szCs w:val="24"/>
          <w:highlight w:val="none"/>
        </w:rPr>
        <w:t>乙方负责为甲方提供上述软件的系统功能定制化开发、内外部系统集成、部署调试、培训及技术支持等服务。具体功能要求详见</w:t>
      </w:r>
      <w:r>
        <w:rPr>
          <w:rFonts w:hint="eastAsia" w:ascii="宋体" w:hAnsi="宋体" w:eastAsia="宋体" w:cs="宋体"/>
          <w:color w:val="auto"/>
          <w:sz w:val="24"/>
          <w:szCs w:val="24"/>
          <w:highlight w:val="none"/>
          <w:lang w:eastAsia="zh-CN"/>
        </w:rPr>
        <w:t>附件一</w:t>
      </w:r>
      <w:r>
        <w:rPr>
          <w:rFonts w:hint="eastAsia" w:ascii="宋体" w:hAnsi="宋体" w:eastAsia="宋体" w:cs="宋体"/>
          <w:color w:val="auto"/>
          <w:sz w:val="24"/>
          <w:szCs w:val="24"/>
          <w:highlight w:val="none"/>
        </w:rPr>
        <w:t>《工作说明书》，乙方应根据该《工作说明书》中的内容作为最终的软件开发依据，按期完成并交付软件。</w:t>
      </w:r>
    </w:p>
    <w:p w14:paraId="57DBDF4E">
      <w:pPr>
        <w:keepNext/>
        <w:keepLines/>
        <w:numPr>
          <w:ilvl w:val="1"/>
          <w:numId w:val="5"/>
        </w:numPr>
        <w:adjustRightInd w:val="0"/>
        <w:spacing w:before="40" w:after="40" w:line="360" w:lineRule="auto"/>
        <w:ind w:left="0" w:firstLine="482" w:firstLineChars="200"/>
        <w:outlineLvl w:val="1"/>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项目实施时间</w:t>
      </w:r>
    </w:p>
    <w:p w14:paraId="1F6D3F7E">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项目自合同签订之日起</w:t>
      </w:r>
      <w:r>
        <w:rPr>
          <w:rFonts w:hint="eastAsia" w:ascii="宋体" w:hAnsi="宋体" w:eastAsia="宋体" w:cs="宋体"/>
          <w:color w:val="auto"/>
          <w:sz w:val="24"/>
          <w:szCs w:val="24"/>
          <w:highlight w:val="none"/>
          <w:u w:val="single"/>
          <w:lang w:val="en-US" w:eastAsia="zh-CN"/>
        </w:rPr>
        <w:t>2</w:t>
      </w:r>
      <w:r>
        <w:rPr>
          <w:rFonts w:hint="eastAsia" w:ascii="宋体" w:hAnsi="宋体" w:eastAsia="宋体" w:cs="宋体"/>
          <w:color w:val="auto"/>
          <w:sz w:val="24"/>
          <w:szCs w:val="24"/>
          <w:highlight w:val="none"/>
        </w:rPr>
        <w:t>个月内完成软件</w:t>
      </w:r>
      <w:r>
        <w:rPr>
          <w:rFonts w:hint="eastAsia" w:ascii="宋体" w:hAnsi="宋体" w:eastAsia="宋体" w:cs="宋体"/>
          <w:color w:val="auto"/>
          <w:sz w:val="24"/>
          <w:szCs w:val="24"/>
          <w:highlight w:val="none"/>
          <w:lang w:val="en-US" w:eastAsia="zh-CN"/>
        </w:rPr>
        <w:t>开发及</w:t>
      </w:r>
      <w:r>
        <w:rPr>
          <w:rFonts w:hint="eastAsia" w:ascii="宋体" w:hAnsi="宋体" w:eastAsia="宋体" w:cs="宋体"/>
          <w:color w:val="auto"/>
          <w:sz w:val="24"/>
          <w:szCs w:val="24"/>
          <w:highlight w:val="none"/>
        </w:rPr>
        <w:t>上线，并由甲方自软件上线试运行结束后</w:t>
      </w:r>
      <w:r>
        <w:rPr>
          <w:rFonts w:hint="eastAsia" w:ascii="宋体" w:hAnsi="宋体" w:eastAsia="宋体" w:cs="宋体"/>
          <w:color w:val="auto"/>
          <w:sz w:val="24"/>
          <w:szCs w:val="24"/>
          <w:highlight w:val="none"/>
          <w:u w:val="single"/>
        </w:rPr>
        <w:t>1</w:t>
      </w:r>
      <w:r>
        <w:rPr>
          <w:rFonts w:hint="eastAsia" w:ascii="宋体" w:hAnsi="宋体" w:eastAsia="宋体" w:cs="宋体"/>
          <w:color w:val="auto"/>
          <w:sz w:val="24"/>
          <w:szCs w:val="24"/>
          <w:highlight w:val="none"/>
        </w:rPr>
        <w:t>个月内进行验收（如因</w:t>
      </w:r>
      <w:r>
        <w:rPr>
          <w:rFonts w:hint="eastAsia" w:ascii="宋体" w:hAnsi="宋体" w:eastAsia="宋体" w:cs="宋体"/>
          <w:color w:val="auto"/>
          <w:sz w:val="24"/>
          <w:szCs w:val="24"/>
          <w:highlight w:val="none"/>
          <w:lang w:val="en-US" w:eastAsia="zh-CN"/>
        </w:rPr>
        <w:t>软件质量</w:t>
      </w:r>
      <w:r>
        <w:rPr>
          <w:rFonts w:hint="eastAsia" w:ascii="宋体" w:hAnsi="宋体" w:eastAsia="宋体" w:cs="宋体"/>
          <w:color w:val="auto"/>
          <w:sz w:val="24"/>
          <w:szCs w:val="24"/>
          <w:highlight w:val="none"/>
        </w:rPr>
        <w:t>原因导致验收延期的情况除外），具体验收时间以甲乙双方签署《项目验收报告》时间为准。</w:t>
      </w:r>
    </w:p>
    <w:p w14:paraId="7AD7CB7A">
      <w:pPr>
        <w:keepNext/>
        <w:keepLines/>
        <w:numPr>
          <w:ilvl w:val="1"/>
          <w:numId w:val="5"/>
        </w:numPr>
        <w:adjustRightInd w:val="0"/>
        <w:spacing w:before="40" w:after="40" w:line="360" w:lineRule="auto"/>
        <w:ind w:left="0" w:firstLine="482" w:firstLineChars="200"/>
        <w:outlineLvl w:val="1"/>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项目培训</w:t>
      </w:r>
    </w:p>
    <w:p w14:paraId="5D5AEB41">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乙方应根据相关培训承诺及项目实施进度，安排熟悉项目所涉及软硬件系统的工程师对甲方相关人员进行免费培训（详见</w:t>
      </w:r>
      <w:r>
        <w:rPr>
          <w:rFonts w:hint="eastAsia" w:ascii="宋体" w:hAnsi="宋体" w:eastAsia="宋体" w:cs="宋体"/>
          <w:color w:val="auto"/>
          <w:sz w:val="24"/>
          <w:szCs w:val="24"/>
          <w:highlight w:val="none"/>
          <w:lang w:eastAsia="zh-CN"/>
        </w:rPr>
        <w:t>附件三</w:t>
      </w:r>
      <w:r>
        <w:rPr>
          <w:rFonts w:hint="eastAsia" w:ascii="宋体" w:hAnsi="宋体" w:eastAsia="宋体" w:cs="宋体"/>
          <w:color w:val="auto"/>
          <w:sz w:val="24"/>
          <w:szCs w:val="24"/>
          <w:highlight w:val="none"/>
        </w:rPr>
        <w:t>《交付物及培训》）。</w:t>
      </w:r>
    </w:p>
    <w:p w14:paraId="43279311">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9" w:name="_Toc108776993"/>
      <w:bookmarkStart w:id="10" w:name="_Toc32188"/>
      <w:bookmarkStart w:id="11" w:name="_Toc2917"/>
      <w:bookmarkStart w:id="12" w:name="_Toc12792"/>
      <w:r>
        <w:rPr>
          <w:rFonts w:hint="eastAsia" w:ascii="宋体" w:hAnsi="宋体" w:eastAsia="宋体" w:cs="宋体"/>
          <w:b/>
          <w:bCs/>
          <w:color w:val="auto"/>
          <w:sz w:val="28"/>
          <w:szCs w:val="28"/>
          <w:highlight w:val="none"/>
        </w:rPr>
        <w:t>验收及交付</w:t>
      </w:r>
      <w:bookmarkEnd w:id="9"/>
      <w:bookmarkEnd w:id="10"/>
      <w:bookmarkEnd w:id="11"/>
      <w:bookmarkEnd w:id="12"/>
    </w:p>
    <w:p w14:paraId="0E515B79">
      <w:pPr>
        <w:keepNext/>
        <w:keepLines/>
        <w:numPr>
          <w:ilvl w:val="0"/>
          <w:numId w:val="5"/>
        </w:numPr>
        <w:adjustRightInd w:val="0"/>
        <w:spacing w:before="40" w:after="40" w:line="360" w:lineRule="auto"/>
        <w:ind w:firstLine="420"/>
        <w:rPr>
          <w:rFonts w:hint="eastAsia" w:ascii="宋体" w:hAnsi="宋体" w:eastAsia="宋体" w:cs="宋体"/>
          <w:b/>
          <w:bCs/>
          <w:vanish/>
          <w:color w:val="auto"/>
          <w:sz w:val="24"/>
          <w:szCs w:val="24"/>
          <w:highlight w:val="none"/>
        </w:rPr>
      </w:pPr>
    </w:p>
    <w:p w14:paraId="045C026D">
      <w:pPr>
        <w:keepNext/>
        <w:keepLines/>
        <w:numPr>
          <w:ilvl w:val="1"/>
          <w:numId w:val="5"/>
        </w:numPr>
        <w:adjustRightInd w:val="0"/>
        <w:spacing w:before="40" w:after="40" w:line="360" w:lineRule="auto"/>
        <w:ind w:left="0" w:firstLine="482" w:firstLineChars="200"/>
        <w:outlineLvl w:val="1"/>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试运行</w:t>
      </w:r>
    </w:p>
    <w:p w14:paraId="5934B82A">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从软件全部功能上线之日起，双方约定试运行期为</w:t>
      </w:r>
      <w:r>
        <w:rPr>
          <w:rFonts w:hint="eastAsia" w:ascii="宋体" w:hAnsi="宋体" w:eastAsia="宋体" w:cs="宋体"/>
          <w:color w:val="auto"/>
          <w:sz w:val="24"/>
          <w:szCs w:val="24"/>
          <w:highlight w:val="none"/>
          <w:u w:val="single"/>
        </w:rPr>
        <w:t>30</w:t>
      </w:r>
      <w:r>
        <w:rPr>
          <w:rFonts w:hint="eastAsia" w:ascii="宋体" w:hAnsi="宋体" w:eastAsia="宋体" w:cs="宋体"/>
          <w:color w:val="auto"/>
          <w:sz w:val="24"/>
          <w:szCs w:val="24"/>
          <w:highlight w:val="none"/>
        </w:rPr>
        <w:t>天。软件在试运行期间出现故障或问题的，乙方应及时排除。如有需要，甲方有权根据具体情况通知乙方延长试运行期，直至软件完全符合甲方要求。试运行完成后，甲方应及时按约定对该软件进行系统验收。</w:t>
      </w:r>
    </w:p>
    <w:p w14:paraId="1A9BB2C9">
      <w:pPr>
        <w:keepNext/>
        <w:keepLines/>
        <w:numPr>
          <w:ilvl w:val="1"/>
          <w:numId w:val="5"/>
        </w:numPr>
        <w:adjustRightInd w:val="0"/>
        <w:spacing w:before="40" w:after="40" w:line="360" w:lineRule="auto"/>
        <w:ind w:left="0" w:firstLine="482" w:firstLineChars="200"/>
        <w:outlineLvl w:val="1"/>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交付内容</w:t>
      </w:r>
    </w:p>
    <w:p w14:paraId="609BC47B">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乙方向甲方交付的软件应为</w:t>
      </w:r>
      <w:r>
        <w:rPr>
          <w:rFonts w:hint="eastAsia" w:ascii="宋体" w:hAnsi="宋体" w:eastAsia="宋体" w:cs="宋体"/>
          <w:color w:val="auto"/>
          <w:sz w:val="24"/>
          <w:szCs w:val="24"/>
          <w:highlight w:val="none"/>
          <w:u w:val="single"/>
        </w:rPr>
        <w:t>加密附件或甲方指定的方式</w:t>
      </w:r>
      <w:r>
        <w:rPr>
          <w:rFonts w:hint="eastAsia" w:ascii="宋体" w:hAnsi="宋体" w:eastAsia="宋体" w:cs="宋体"/>
          <w:color w:val="auto"/>
          <w:sz w:val="24"/>
          <w:szCs w:val="24"/>
          <w:highlight w:val="none"/>
        </w:rPr>
        <w:t>，交付对象为甲方或甲方指定的机构或个人。具体交付内容详见</w:t>
      </w:r>
      <w:r>
        <w:rPr>
          <w:rFonts w:hint="eastAsia" w:ascii="宋体" w:hAnsi="宋体" w:eastAsia="宋体" w:cs="宋体"/>
          <w:color w:val="auto"/>
          <w:sz w:val="24"/>
          <w:szCs w:val="24"/>
          <w:highlight w:val="none"/>
          <w:lang w:eastAsia="zh-CN"/>
        </w:rPr>
        <w:t>附件三</w:t>
      </w:r>
      <w:r>
        <w:rPr>
          <w:rFonts w:hint="eastAsia" w:ascii="宋体" w:hAnsi="宋体" w:eastAsia="宋体" w:cs="宋体"/>
          <w:color w:val="auto"/>
          <w:sz w:val="24"/>
          <w:szCs w:val="24"/>
          <w:highlight w:val="none"/>
        </w:rPr>
        <w:t>《交付物及培训》。</w:t>
      </w:r>
    </w:p>
    <w:p w14:paraId="6C0261F3">
      <w:pPr>
        <w:keepNext/>
        <w:keepLines/>
        <w:numPr>
          <w:ilvl w:val="1"/>
          <w:numId w:val="5"/>
        </w:numPr>
        <w:adjustRightInd w:val="0"/>
        <w:spacing w:before="40" w:after="40" w:line="360" w:lineRule="auto"/>
        <w:ind w:left="0" w:firstLine="482" w:firstLineChars="200"/>
        <w:outlineLvl w:val="1"/>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验收程序和标准</w:t>
      </w:r>
    </w:p>
    <w:p w14:paraId="73628CAD">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详见</w:t>
      </w:r>
      <w:r>
        <w:rPr>
          <w:rFonts w:hint="eastAsia" w:ascii="宋体" w:hAnsi="宋体" w:eastAsia="宋体" w:cs="宋体"/>
          <w:color w:val="auto"/>
          <w:sz w:val="24"/>
          <w:szCs w:val="24"/>
          <w:highlight w:val="none"/>
          <w:lang w:eastAsia="zh-CN"/>
        </w:rPr>
        <w:t>附件四</w:t>
      </w:r>
      <w:r>
        <w:rPr>
          <w:rFonts w:hint="eastAsia" w:ascii="宋体" w:hAnsi="宋体" w:eastAsia="宋体" w:cs="宋体"/>
          <w:color w:val="auto"/>
          <w:sz w:val="24"/>
          <w:szCs w:val="24"/>
          <w:highlight w:val="none"/>
        </w:rPr>
        <w:t>《项目阶段确认和验收》。如验收不合格，甲方向乙方提出整改意见，乙方接到整改意见后在甲方要求的时限内进行整改，直至验收合格。</w:t>
      </w:r>
    </w:p>
    <w:p w14:paraId="4E75B722">
      <w:pPr>
        <w:keepNext/>
        <w:keepLines/>
        <w:numPr>
          <w:ilvl w:val="1"/>
          <w:numId w:val="5"/>
        </w:numPr>
        <w:adjustRightInd w:val="0"/>
        <w:spacing w:before="40" w:after="40" w:line="360" w:lineRule="auto"/>
        <w:ind w:left="0" w:firstLine="482" w:firstLineChars="200"/>
        <w:outlineLvl w:val="1"/>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验收报告</w:t>
      </w:r>
    </w:p>
    <w:p w14:paraId="7C69935B">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按照本合同的约定为甲方开发、安装和调试软件，直至符合本合同约定的验收标准。双方按照本合同约定的验收标准和流程进行项目验收合格且乙方将合同约定的全部交付物完整交付甲方后，甲乙双方共同签署《项目验收报告》。</w:t>
      </w:r>
    </w:p>
    <w:p w14:paraId="6A13A2BD">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13" w:name="_Toc32621"/>
      <w:bookmarkStart w:id="14" w:name="_Toc15027"/>
      <w:bookmarkStart w:id="15" w:name="_Toc108776994"/>
      <w:bookmarkStart w:id="16" w:name="_Toc1717"/>
      <w:r>
        <w:rPr>
          <w:rFonts w:hint="eastAsia" w:ascii="宋体" w:hAnsi="宋体" w:eastAsia="宋体" w:cs="宋体"/>
          <w:b/>
          <w:bCs/>
          <w:color w:val="auto"/>
          <w:sz w:val="28"/>
          <w:szCs w:val="28"/>
          <w:highlight w:val="none"/>
        </w:rPr>
        <w:t>合同金额及支付方式</w:t>
      </w:r>
      <w:bookmarkEnd w:id="13"/>
      <w:bookmarkEnd w:id="14"/>
      <w:bookmarkEnd w:id="15"/>
      <w:bookmarkEnd w:id="16"/>
    </w:p>
    <w:p w14:paraId="6A636B41">
      <w:pPr>
        <w:keepNext/>
        <w:keepLines/>
        <w:numPr>
          <w:ilvl w:val="0"/>
          <w:numId w:val="5"/>
        </w:numPr>
        <w:tabs>
          <w:tab w:val="clear" w:pos="555"/>
        </w:tabs>
        <w:adjustRightInd w:val="0"/>
        <w:spacing w:before="40" w:after="40" w:line="360" w:lineRule="auto"/>
        <w:ind w:firstLine="420"/>
        <w:outlineLvl w:val="2"/>
        <w:rPr>
          <w:rFonts w:hint="eastAsia" w:ascii="宋体" w:hAnsi="宋体" w:eastAsia="宋体" w:cs="宋体"/>
          <w:b/>
          <w:bCs/>
          <w:vanish/>
          <w:color w:val="auto"/>
          <w:sz w:val="24"/>
          <w:szCs w:val="24"/>
          <w:highlight w:val="none"/>
        </w:rPr>
      </w:pPr>
    </w:p>
    <w:p w14:paraId="5E85121B">
      <w:pPr>
        <w:keepNext/>
        <w:keepLines/>
        <w:numPr>
          <w:ilvl w:val="1"/>
          <w:numId w:val="5"/>
        </w:numPr>
        <w:adjustRightInd w:val="0"/>
        <w:spacing w:before="40" w:after="40" w:line="360" w:lineRule="auto"/>
        <w:ind w:left="0" w:firstLine="482" w:firstLineChars="200"/>
        <w:outlineLvl w:val="1"/>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合同金额</w:t>
      </w:r>
    </w:p>
    <w:p w14:paraId="0491DC6F">
      <w:pPr>
        <w:keepNext w:val="0"/>
        <w:keepLines w:val="0"/>
        <w:pageBreakBefore w:val="0"/>
        <w:widowControl w:val="0"/>
        <w:kinsoku/>
        <w:wordWrap/>
        <w:overflowPunct/>
        <w:topLinePunct w:val="0"/>
        <w:autoSpaceDE/>
        <w:autoSpaceDN/>
        <w:bidi w:val="0"/>
        <w:adjustRightInd w:val="0"/>
        <w:snapToGrid/>
        <w:spacing w:after="0" w:line="360" w:lineRule="auto"/>
        <w:ind w:firstLine="482"/>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本合同含税总金额为¥</w:t>
      </w:r>
      <w:r>
        <w:rPr>
          <w:rFonts w:hint="eastAsia" w:ascii="宋体" w:hAnsi="宋体" w:eastAsia="宋体" w:cs="宋体"/>
          <w:color w:val="auto"/>
          <w:kern w:val="2"/>
          <w:sz w:val="24"/>
          <w:szCs w:val="24"/>
          <w:highlight w:val="none"/>
          <w:u w:val="single"/>
          <w:lang w:val="en-US" w:eastAsia="zh-CN"/>
        </w:rPr>
        <w:t>30,000.00</w:t>
      </w:r>
      <w:r>
        <w:rPr>
          <w:rFonts w:hint="eastAsia" w:ascii="宋体" w:hAnsi="宋体" w:eastAsia="宋体" w:cs="宋体"/>
          <w:color w:val="auto"/>
          <w:sz w:val="24"/>
          <w:szCs w:val="24"/>
          <w:highlight w:val="none"/>
        </w:rPr>
        <w:t>元（大写：人民币</w:t>
      </w:r>
      <w:r>
        <w:rPr>
          <w:rFonts w:hint="eastAsia" w:ascii="宋体" w:hAnsi="宋体" w:eastAsia="宋体" w:cs="宋体"/>
          <w:color w:val="auto"/>
          <w:sz w:val="24"/>
          <w:szCs w:val="24"/>
          <w:highlight w:val="none"/>
          <w:u w:val="single"/>
          <w:lang w:val="en-US" w:eastAsia="zh-CN"/>
        </w:rPr>
        <w:t>叁万元</w:t>
      </w:r>
      <w:r>
        <w:rPr>
          <w:rFonts w:hint="eastAsia" w:ascii="宋体" w:hAnsi="宋体" w:eastAsia="宋体" w:cs="宋体"/>
          <w:color w:val="auto"/>
          <w:sz w:val="24"/>
          <w:szCs w:val="24"/>
          <w:highlight w:val="none"/>
        </w:rPr>
        <w:t>整）。</w:t>
      </w:r>
      <w:r>
        <w:rPr>
          <w:rFonts w:hint="eastAsia" w:ascii="宋体" w:hAnsi="宋体" w:eastAsia="宋体" w:cs="宋体"/>
          <w:color w:val="auto"/>
          <w:kern w:val="2"/>
          <w:sz w:val="24"/>
          <w:szCs w:val="24"/>
          <w:highlight w:val="none"/>
        </w:rPr>
        <w:t>该价格为含税价，税率6%，已包括增值税、所得税等所有税项</w:t>
      </w:r>
      <w:r>
        <w:rPr>
          <w:rFonts w:hint="eastAsia" w:ascii="宋体" w:hAnsi="宋体" w:eastAsia="宋体" w:cs="宋体"/>
          <w:color w:val="auto"/>
          <w:sz w:val="24"/>
          <w:szCs w:val="24"/>
          <w:highlight w:val="none"/>
        </w:rPr>
        <w:t>。</w:t>
      </w:r>
    </w:p>
    <w:p w14:paraId="0A7FFA2D">
      <w:pPr>
        <w:keepNext/>
        <w:keepLines/>
        <w:numPr>
          <w:ilvl w:val="1"/>
          <w:numId w:val="5"/>
        </w:numPr>
        <w:adjustRightInd w:val="0"/>
        <w:spacing w:before="40" w:after="40" w:line="360" w:lineRule="auto"/>
        <w:ind w:left="0" w:firstLine="482" w:firstLineChars="200"/>
        <w:outlineLvl w:val="1"/>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支付方式</w:t>
      </w:r>
    </w:p>
    <w:p w14:paraId="22F723D3">
      <w:pPr>
        <w:keepNext w:val="0"/>
        <w:keepLines w:val="0"/>
        <w:pageBreakBefore w:val="0"/>
        <w:widowControl w:val="0"/>
        <w:numPr>
          <w:ilvl w:val="1"/>
          <w:numId w:val="6"/>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合同生效后，</w:t>
      </w:r>
      <w:r>
        <w:rPr>
          <w:rFonts w:hint="eastAsia" w:ascii="宋体" w:hAnsi="宋体" w:eastAsia="宋体" w:cs="宋体"/>
          <w:color w:val="auto"/>
          <w:sz w:val="24"/>
          <w:szCs w:val="24"/>
          <w:highlight w:val="none"/>
          <w:lang w:val="en-US" w:eastAsia="zh-CN"/>
        </w:rPr>
        <w:t>乙方完成《项目启动计划》及《系统详细设计说明书》，经甲方确认并完成文档验收后，</w:t>
      </w:r>
      <w:r>
        <w:rPr>
          <w:rFonts w:hint="eastAsia" w:ascii="宋体" w:hAnsi="宋体" w:eastAsia="宋体" w:cs="宋体"/>
          <w:color w:val="auto"/>
          <w:sz w:val="24"/>
          <w:szCs w:val="24"/>
          <w:highlight w:val="none"/>
        </w:rPr>
        <w:t>甲方向乙方支付</w:t>
      </w:r>
      <w:r>
        <w:rPr>
          <w:rFonts w:hint="eastAsia" w:ascii="宋体" w:hAnsi="宋体" w:eastAsia="宋体" w:cs="宋体"/>
          <w:color w:val="auto"/>
          <w:sz w:val="24"/>
          <w:szCs w:val="24"/>
          <w:highlight w:val="none"/>
          <w:lang w:val="en-US" w:eastAsia="zh-CN"/>
        </w:rPr>
        <w:t>2</w:t>
      </w:r>
      <w:r>
        <w:rPr>
          <w:rFonts w:hint="eastAsia" w:ascii="宋体" w:hAnsi="宋体" w:eastAsia="宋体" w:cs="宋体"/>
          <w:color w:val="auto"/>
          <w:sz w:val="24"/>
          <w:szCs w:val="24"/>
          <w:highlight w:val="none"/>
        </w:rPr>
        <w:t>0%合同款，计¥</w:t>
      </w:r>
      <w:r>
        <w:rPr>
          <w:rFonts w:hint="eastAsia" w:ascii="宋体" w:hAnsi="宋体" w:eastAsia="宋体" w:cs="宋体"/>
          <w:color w:val="auto"/>
          <w:sz w:val="24"/>
          <w:szCs w:val="24"/>
          <w:highlight w:val="none"/>
          <w:u w:val="single"/>
          <w:lang w:val="en-US" w:eastAsia="zh-CN"/>
        </w:rPr>
        <w:t>6000.00</w:t>
      </w:r>
      <w:r>
        <w:rPr>
          <w:rFonts w:hint="eastAsia" w:ascii="宋体" w:hAnsi="宋体" w:eastAsia="宋体" w:cs="宋体"/>
          <w:color w:val="auto"/>
          <w:sz w:val="24"/>
          <w:szCs w:val="24"/>
          <w:highlight w:val="none"/>
        </w:rPr>
        <w:t>元（大写：人民币</w:t>
      </w:r>
      <w:r>
        <w:rPr>
          <w:rFonts w:hint="eastAsia" w:ascii="宋体" w:hAnsi="宋体" w:eastAsia="宋体" w:cs="宋体"/>
          <w:color w:val="auto"/>
          <w:sz w:val="24"/>
          <w:szCs w:val="24"/>
          <w:highlight w:val="none"/>
          <w:u w:val="single"/>
          <w:lang w:val="en-US" w:eastAsia="zh-CN"/>
        </w:rPr>
        <w:t>陆仟元</w:t>
      </w:r>
      <w:r>
        <w:rPr>
          <w:rFonts w:hint="eastAsia" w:ascii="宋体" w:hAnsi="宋体" w:eastAsia="宋体" w:cs="宋体"/>
          <w:color w:val="auto"/>
          <w:sz w:val="24"/>
          <w:szCs w:val="24"/>
          <w:highlight w:val="none"/>
        </w:rPr>
        <w:t>整）。</w:t>
      </w:r>
    </w:p>
    <w:p w14:paraId="241CF4F9">
      <w:pPr>
        <w:keepNext w:val="0"/>
        <w:keepLines w:val="0"/>
        <w:pageBreakBefore w:val="0"/>
        <w:widowControl w:val="0"/>
        <w:numPr>
          <w:ilvl w:val="1"/>
          <w:numId w:val="6"/>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乙方完成《工作说明书》中</w:t>
      </w:r>
      <w:r>
        <w:rPr>
          <w:rFonts w:hint="eastAsia" w:ascii="宋体" w:hAnsi="宋体" w:eastAsia="宋体" w:cs="宋体"/>
          <w:color w:val="auto"/>
          <w:sz w:val="24"/>
          <w:szCs w:val="24"/>
          <w:highlight w:val="none"/>
          <w:lang w:eastAsia="zh-CN"/>
        </w:rPr>
        <w:t>的</w:t>
      </w:r>
      <w:r>
        <w:rPr>
          <w:rFonts w:hint="eastAsia" w:ascii="宋体" w:hAnsi="宋体" w:eastAsia="宋体" w:cs="宋体"/>
          <w:color w:val="auto"/>
          <w:sz w:val="24"/>
          <w:szCs w:val="24"/>
          <w:highlight w:val="none"/>
        </w:rPr>
        <w:t>所有功能</w:t>
      </w:r>
      <w:r>
        <w:rPr>
          <w:rFonts w:hint="eastAsia" w:ascii="宋体" w:hAnsi="宋体" w:eastAsia="宋体" w:cs="宋体"/>
          <w:color w:val="auto"/>
          <w:sz w:val="24"/>
          <w:szCs w:val="24"/>
          <w:highlight w:val="none"/>
          <w:lang w:val="en-US" w:eastAsia="zh-CN"/>
        </w:rPr>
        <w:t>模块开发及测试，并在甲方指定网络环境完成系统部署上线，经</w:t>
      </w:r>
      <w:r>
        <w:rPr>
          <w:rFonts w:hint="eastAsia" w:ascii="宋体" w:hAnsi="宋体" w:eastAsia="宋体" w:cs="宋体"/>
          <w:color w:val="auto"/>
          <w:sz w:val="24"/>
          <w:szCs w:val="24"/>
          <w:highlight w:val="none"/>
        </w:rPr>
        <w:t>甲方</w:t>
      </w:r>
      <w:r>
        <w:rPr>
          <w:rFonts w:hint="eastAsia" w:ascii="宋体" w:hAnsi="宋体" w:eastAsia="宋体" w:cs="宋体"/>
          <w:color w:val="auto"/>
          <w:sz w:val="24"/>
          <w:szCs w:val="24"/>
          <w:highlight w:val="none"/>
          <w:lang w:val="en-US" w:eastAsia="zh-CN"/>
        </w:rPr>
        <w:t>完成系统功能验收确认后</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甲方</w:t>
      </w:r>
      <w:r>
        <w:rPr>
          <w:rFonts w:hint="eastAsia" w:ascii="宋体" w:hAnsi="宋体" w:eastAsia="宋体" w:cs="宋体"/>
          <w:color w:val="auto"/>
          <w:sz w:val="24"/>
          <w:szCs w:val="24"/>
          <w:highlight w:val="none"/>
        </w:rPr>
        <w:t>向乙方支付</w:t>
      </w:r>
      <w:r>
        <w:rPr>
          <w:rFonts w:hint="eastAsia" w:ascii="宋体" w:hAnsi="宋体" w:eastAsia="宋体" w:cs="宋体"/>
          <w:color w:val="auto"/>
          <w:sz w:val="24"/>
          <w:szCs w:val="24"/>
          <w:highlight w:val="none"/>
          <w:lang w:val="en-US" w:eastAsia="zh-CN"/>
        </w:rPr>
        <w:t>3</w:t>
      </w:r>
      <w:r>
        <w:rPr>
          <w:rFonts w:hint="eastAsia" w:ascii="宋体" w:hAnsi="宋体" w:eastAsia="宋体" w:cs="宋体"/>
          <w:color w:val="auto"/>
          <w:sz w:val="24"/>
          <w:szCs w:val="24"/>
          <w:highlight w:val="none"/>
        </w:rPr>
        <w:t>0%合同款，计¥</w:t>
      </w:r>
      <w:r>
        <w:rPr>
          <w:rFonts w:hint="eastAsia" w:ascii="宋体" w:hAnsi="宋体" w:eastAsia="宋体" w:cs="宋体"/>
          <w:color w:val="auto"/>
          <w:sz w:val="24"/>
          <w:szCs w:val="24"/>
          <w:highlight w:val="none"/>
          <w:u w:val="single"/>
          <w:lang w:val="en-US" w:eastAsia="zh-CN"/>
        </w:rPr>
        <w:t>9,000.00</w:t>
      </w:r>
      <w:r>
        <w:rPr>
          <w:rFonts w:hint="eastAsia" w:ascii="宋体" w:hAnsi="宋体" w:eastAsia="宋体" w:cs="宋体"/>
          <w:color w:val="auto"/>
          <w:sz w:val="24"/>
          <w:szCs w:val="24"/>
          <w:highlight w:val="none"/>
        </w:rPr>
        <w:t>元（大写：人民币</w:t>
      </w:r>
      <w:r>
        <w:rPr>
          <w:rFonts w:hint="eastAsia" w:ascii="宋体" w:hAnsi="宋体" w:eastAsia="宋体" w:cs="宋体"/>
          <w:color w:val="auto"/>
          <w:sz w:val="24"/>
          <w:szCs w:val="24"/>
          <w:highlight w:val="none"/>
          <w:u w:val="single"/>
          <w:lang w:val="en-US" w:eastAsia="zh-CN"/>
        </w:rPr>
        <w:t>玖仟元</w:t>
      </w:r>
      <w:r>
        <w:rPr>
          <w:rFonts w:hint="eastAsia" w:ascii="宋体" w:hAnsi="宋体" w:eastAsia="宋体" w:cs="宋体"/>
          <w:color w:val="auto"/>
          <w:sz w:val="24"/>
          <w:szCs w:val="24"/>
          <w:highlight w:val="none"/>
        </w:rPr>
        <w:t>整）。</w:t>
      </w:r>
    </w:p>
    <w:p w14:paraId="2E595AB1">
      <w:pPr>
        <w:keepNext w:val="0"/>
        <w:keepLines w:val="0"/>
        <w:pageBreakBefore w:val="0"/>
        <w:widowControl w:val="0"/>
        <w:numPr>
          <w:ilvl w:val="1"/>
          <w:numId w:val="6"/>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乙方在</w:t>
      </w:r>
      <w:r>
        <w:rPr>
          <w:rFonts w:hint="eastAsia" w:ascii="宋体" w:hAnsi="宋体" w:eastAsia="宋体" w:cs="宋体"/>
          <w:color w:val="auto"/>
          <w:sz w:val="24"/>
          <w:szCs w:val="24"/>
          <w:highlight w:val="none"/>
          <w:lang w:val="en-US" w:eastAsia="zh-CN"/>
        </w:rPr>
        <w:t>系统</w:t>
      </w:r>
      <w:r>
        <w:rPr>
          <w:rFonts w:hint="eastAsia" w:ascii="宋体" w:hAnsi="宋体" w:eastAsia="宋体" w:cs="宋体"/>
          <w:color w:val="auto"/>
          <w:sz w:val="24"/>
          <w:szCs w:val="24"/>
          <w:highlight w:val="none"/>
        </w:rPr>
        <w:t>试运行期结束后，</w:t>
      </w:r>
      <w:r>
        <w:rPr>
          <w:rFonts w:hint="eastAsia" w:ascii="宋体" w:hAnsi="宋体" w:eastAsia="宋体" w:cs="宋体"/>
          <w:color w:val="auto"/>
          <w:sz w:val="24"/>
          <w:szCs w:val="24"/>
          <w:highlight w:val="none"/>
          <w:lang w:val="en-US" w:eastAsia="zh-CN"/>
        </w:rPr>
        <w:t>向甲方移交《交付物及培训》中的所有交付物并完成相应培训，</w:t>
      </w:r>
      <w:r>
        <w:rPr>
          <w:rFonts w:hint="eastAsia" w:ascii="宋体" w:hAnsi="宋体" w:eastAsia="宋体" w:cs="宋体"/>
          <w:color w:val="auto"/>
          <w:sz w:val="24"/>
          <w:szCs w:val="24"/>
          <w:highlight w:val="none"/>
        </w:rPr>
        <w:t>经甲方确认</w:t>
      </w:r>
      <w:r>
        <w:rPr>
          <w:rFonts w:hint="eastAsia" w:ascii="宋体" w:hAnsi="宋体" w:eastAsia="宋体" w:cs="宋体"/>
          <w:color w:val="auto"/>
          <w:sz w:val="24"/>
          <w:szCs w:val="24"/>
          <w:highlight w:val="none"/>
          <w:lang w:val="en-US" w:eastAsia="zh-CN"/>
        </w:rPr>
        <w:t>并签署《项目验收报告》后</w:t>
      </w:r>
      <w:r>
        <w:rPr>
          <w:rFonts w:hint="eastAsia" w:ascii="宋体" w:hAnsi="宋体" w:eastAsia="宋体" w:cs="宋体"/>
          <w:color w:val="auto"/>
          <w:sz w:val="24"/>
          <w:szCs w:val="24"/>
          <w:highlight w:val="none"/>
        </w:rPr>
        <w:t>，甲方向乙方支付</w:t>
      </w:r>
      <w:r>
        <w:rPr>
          <w:rFonts w:hint="eastAsia" w:ascii="宋体" w:hAnsi="宋体" w:eastAsia="宋体" w:cs="宋体"/>
          <w:color w:val="auto"/>
          <w:sz w:val="24"/>
          <w:szCs w:val="24"/>
          <w:highlight w:val="none"/>
          <w:lang w:val="en-US" w:eastAsia="zh-CN"/>
        </w:rPr>
        <w:t>4</w:t>
      </w:r>
      <w:r>
        <w:rPr>
          <w:rFonts w:hint="eastAsia" w:ascii="宋体" w:hAnsi="宋体" w:eastAsia="宋体" w:cs="宋体"/>
          <w:color w:val="auto"/>
          <w:sz w:val="24"/>
          <w:szCs w:val="24"/>
          <w:highlight w:val="none"/>
        </w:rPr>
        <w:t>0%合同款，计¥</w:t>
      </w:r>
      <w:r>
        <w:rPr>
          <w:rFonts w:hint="eastAsia" w:ascii="宋体" w:hAnsi="宋体" w:eastAsia="宋体" w:cs="宋体"/>
          <w:color w:val="auto"/>
          <w:sz w:val="24"/>
          <w:szCs w:val="24"/>
          <w:highlight w:val="none"/>
          <w:u w:val="single"/>
          <w:lang w:val="en-US" w:eastAsia="zh-CN"/>
        </w:rPr>
        <w:t>12,000.00</w:t>
      </w:r>
      <w:r>
        <w:rPr>
          <w:rFonts w:hint="eastAsia" w:ascii="宋体" w:hAnsi="宋体" w:eastAsia="宋体" w:cs="宋体"/>
          <w:color w:val="auto"/>
          <w:sz w:val="24"/>
          <w:szCs w:val="24"/>
          <w:highlight w:val="none"/>
        </w:rPr>
        <w:t>元（大写：人民币</w:t>
      </w:r>
      <w:r>
        <w:rPr>
          <w:rFonts w:hint="eastAsia" w:ascii="宋体" w:hAnsi="宋体" w:eastAsia="宋体" w:cs="宋体"/>
          <w:color w:val="auto"/>
          <w:sz w:val="24"/>
          <w:szCs w:val="24"/>
          <w:highlight w:val="none"/>
          <w:u w:val="single"/>
          <w:lang w:val="en-US" w:eastAsia="zh-CN"/>
        </w:rPr>
        <w:t>壹万贰仟元</w:t>
      </w:r>
      <w:r>
        <w:rPr>
          <w:rFonts w:hint="eastAsia" w:ascii="宋体" w:hAnsi="宋体" w:eastAsia="宋体" w:cs="宋体"/>
          <w:color w:val="auto"/>
          <w:sz w:val="24"/>
          <w:szCs w:val="24"/>
          <w:highlight w:val="none"/>
        </w:rPr>
        <w:t>整）。</w:t>
      </w:r>
    </w:p>
    <w:p w14:paraId="106411A1">
      <w:pPr>
        <w:keepNext w:val="0"/>
        <w:keepLines w:val="0"/>
        <w:pageBreakBefore w:val="0"/>
        <w:widowControl w:val="0"/>
        <w:numPr>
          <w:ilvl w:val="1"/>
          <w:numId w:val="6"/>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本项目维保期满后</w:t>
      </w:r>
      <w:r>
        <w:rPr>
          <w:rFonts w:hint="eastAsia" w:ascii="宋体" w:hAnsi="宋体" w:eastAsia="宋体" w:cs="宋体"/>
          <w:color w:val="auto"/>
          <w:sz w:val="24"/>
          <w:szCs w:val="24"/>
          <w:highlight w:val="none"/>
          <w:u w:val="single"/>
          <w:lang w:val="en-US" w:eastAsia="zh-CN"/>
        </w:rPr>
        <w:t>30</w:t>
      </w:r>
      <w:r>
        <w:rPr>
          <w:rFonts w:hint="eastAsia" w:ascii="宋体" w:hAnsi="宋体" w:eastAsia="宋体" w:cs="宋体"/>
          <w:color w:val="auto"/>
          <w:sz w:val="24"/>
          <w:szCs w:val="24"/>
          <w:highlight w:val="none"/>
        </w:rPr>
        <w:t>天内，乙方提交“项目竣工验收报告”，经甲方确认无遗留问题后，甲方向乙方支付10%合同款，计¥</w:t>
      </w:r>
      <w:r>
        <w:rPr>
          <w:rFonts w:hint="eastAsia" w:ascii="宋体" w:hAnsi="宋体" w:eastAsia="宋体" w:cs="宋体"/>
          <w:color w:val="auto"/>
          <w:sz w:val="24"/>
          <w:szCs w:val="24"/>
          <w:highlight w:val="none"/>
          <w:u w:val="single"/>
          <w:lang w:val="en-US" w:eastAsia="zh-CN"/>
        </w:rPr>
        <w:t>3,000.00</w:t>
      </w:r>
      <w:r>
        <w:rPr>
          <w:rFonts w:hint="eastAsia" w:ascii="宋体" w:hAnsi="宋体" w:eastAsia="宋体" w:cs="宋体"/>
          <w:color w:val="auto"/>
          <w:sz w:val="24"/>
          <w:szCs w:val="24"/>
          <w:highlight w:val="none"/>
        </w:rPr>
        <w:t>元（大写：人民币</w:t>
      </w:r>
      <w:r>
        <w:rPr>
          <w:rFonts w:hint="eastAsia" w:ascii="宋体" w:hAnsi="宋体" w:eastAsia="宋体" w:cs="宋体"/>
          <w:color w:val="auto"/>
          <w:sz w:val="24"/>
          <w:szCs w:val="24"/>
          <w:highlight w:val="none"/>
          <w:u w:val="single"/>
          <w:lang w:val="en-US" w:eastAsia="zh-CN"/>
        </w:rPr>
        <w:t>叁仟元</w:t>
      </w:r>
      <w:r>
        <w:rPr>
          <w:rFonts w:hint="eastAsia" w:ascii="宋体" w:hAnsi="宋体" w:eastAsia="宋体" w:cs="宋体"/>
          <w:color w:val="auto"/>
          <w:sz w:val="24"/>
          <w:szCs w:val="24"/>
          <w:highlight w:val="none"/>
        </w:rPr>
        <w:t>整）。</w:t>
      </w:r>
    </w:p>
    <w:p w14:paraId="5573FC6C">
      <w:pPr>
        <w:keepNext/>
        <w:keepLines/>
        <w:numPr>
          <w:ilvl w:val="1"/>
          <w:numId w:val="5"/>
        </w:numPr>
        <w:adjustRightInd w:val="0"/>
        <w:spacing w:before="40" w:after="40" w:line="360" w:lineRule="auto"/>
        <w:ind w:left="0" w:firstLine="482" w:firstLineChars="200"/>
        <w:outlineLvl w:val="1"/>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付款申请和发票</w:t>
      </w:r>
    </w:p>
    <w:p w14:paraId="5C908AB5">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在甲方每次付款前提交《付款申请》，并根据甲方的要求开具等额有效增值税专用发票（发票税目：技术服务费，税率：6%）。甲方在收到《付款申请》，且发票验收合格后的5个工作日内向乙方支付相应款项。甲方未收到发票或发票存在问题的，付款期限顺延且不承担违约责任。</w:t>
      </w:r>
    </w:p>
    <w:p w14:paraId="51A0C167">
      <w:pPr>
        <w:keepNext w:val="0"/>
        <w:keepLines w:val="0"/>
        <w:pageBreakBefore w:val="0"/>
        <w:widowControl w:val="0"/>
        <w:kinsoku/>
        <w:wordWrap/>
        <w:overflowPunct/>
        <w:topLinePunct w:val="0"/>
        <w:autoSpaceDE/>
        <w:autoSpaceDN/>
        <w:bidi w:val="0"/>
        <w:adjustRightInd w:val="0"/>
        <w:snapToGrid/>
        <w:spacing w:after="0" w:line="360" w:lineRule="auto"/>
        <w:ind w:firstLine="420" w:firstLineChars="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甲方增值税专用发票开票信息：</w:t>
      </w:r>
    </w:p>
    <w:p w14:paraId="21275477">
      <w:pPr>
        <w:keepNext w:val="0"/>
        <w:keepLines w:val="0"/>
        <w:pageBreakBefore w:val="0"/>
        <w:widowControl w:val="0"/>
        <w:kinsoku/>
        <w:wordWrap/>
        <w:overflowPunct/>
        <w:topLinePunct w:val="0"/>
        <w:autoSpaceDE/>
        <w:autoSpaceDN/>
        <w:bidi w:val="0"/>
        <w:adjustRightInd w:val="0"/>
        <w:snapToGrid/>
        <w:spacing w:after="0" w:line="360" w:lineRule="auto"/>
        <w:ind w:firstLine="420" w:firstLineChars="0"/>
        <w:textAlignment w:val="auto"/>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公司名称：</w:t>
      </w:r>
      <w:r>
        <w:rPr>
          <w:rFonts w:hint="eastAsia" w:ascii="宋体" w:hAnsi="宋体" w:cs="宋体"/>
          <w:color w:val="auto"/>
          <w:sz w:val="24"/>
          <w:szCs w:val="24"/>
          <w:highlight w:val="none"/>
          <w:lang w:val="en-US" w:eastAsia="zh-CN"/>
        </w:rPr>
        <w:t>深圳市众安在线技术有限公司</w:t>
      </w:r>
    </w:p>
    <w:p w14:paraId="0BE4BF24">
      <w:pPr>
        <w:keepNext w:val="0"/>
        <w:keepLines w:val="0"/>
        <w:pageBreakBefore w:val="0"/>
        <w:widowControl w:val="0"/>
        <w:kinsoku/>
        <w:wordWrap/>
        <w:overflowPunct/>
        <w:topLinePunct w:val="0"/>
        <w:autoSpaceDE/>
        <w:autoSpaceDN/>
        <w:bidi w:val="0"/>
        <w:adjustRightInd w:val="0"/>
        <w:snapToGrid/>
        <w:spacing w:after="0" w:line="360" w:lineRule="auto"/>
        <w:ind w:firstLine="420" w:firstLineChars="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税务号：91440300MA5GT4DA4G</w:t>
      </w:r>
    </w:p>
    <w:p w14:paraId="188D27CF">
      <w:pPr>
        <w:keepNext w:val="0"/>
        <w:keepLines w:val="0"/>
        <w:pageBreakBefore w:val="0"/>
        <w:widowControl w:val="0"/>
        <w:kinsoku/>
        <w:wordWrap/>
        <w:overflowPunct/>
        <w:topLinePunct w:val="0"/>
        <w:autoSpaceDE/>
        <w:autoSpaceDN/>
        <w:bidi w:val="0"/>
        <w:adjustRightInd w:val="0"/>
        <w:snapToGrid/>
        <w:spacing w:after="0" w:line="360" w:lineRule="auto"/>
        <w:ind w:firstLine="420" w:firstLineChars="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开户行：兴业银行股份有限公司深圳北站支行</w:t>
      </w:r>
    </w:p>
    <w:p w14:paraId="087BC977">
      <w:pPr>
        <w:keepNext w:val="0"/>
        <w:keepLines w:val="0"/>
        <w:pageBreakBefore w:val="0"/>
        <w:widowControl w:val="0"/>
        <w:kinsoku/>
        <w:wordWrap/>
        <w:overflowPunct/>
        <w:topLinePunct w:val="0"/>
        <w:autoSpaceDE/>
        <w:autoSpaceDN/>
        <w:bidi w:val="0"/>
        <w:adjustRightInd w:val="0"/>
        <w:snapToGrid/>
        <w:spacing w:after="0" w:line="360" w:lineRule="auto"/>
        <w:ind w:firstLine="420" w:firstLineChars="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账号：338040100100575906</w:t>
      </w:r>
    </w:p>
    <w:p w14:paraId="0AD1ED25">
      <w:pPr>
        <w:keepNext/>
        <w:keepLines/>
        <w:numPr>
          <w:ilvl w:val="1"/>
          <w:numId w:val="5"/>
        </w:numPr>
        <w:adjustRightInd w:val="0"/>
        <w:spacing w:before="40" w:after="40" w:line="360" w:lineRule="auto"/>
        <w:ind w:left="0" w:firstLine="482" w:firstLineChars="200"/>
        <w:outlineLvl w:val="1"/>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结算方法</w:t>
      </w:r>
    </w:p>
    <w:p w14:paraId="40EE4255">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甲方应将合同款汇至合同首页乙方提供的账户。如果乙方变更账户，应在本合同规定的相应付款期限</w:t>
      </w:r>
      <w:r>
        <w:rPr>
          <w:rFonts w:hint="eastAsia" w:ascii="宋体" w:hAnsi="宋体" w:eastAsia="宋体" w:cs="宋体"/>
          <w:color w:val="auto"/>
          <w:sz w:val="24"/>
          <w:szCs w:val="24"/>
          <w:highlight w:val="none"/>
          <w:u w:val="single"/>
          <w:lang w:bidi="ar"/>
        </w:rPr>
        <w:t>5</w:t>
      </w:r>
      <w:r>
        <w:rPr>
          <w:rFonts w:hint="eastAsia" w:ascii="宋体" w:hAnsi="宋体" w:eastAsia="宋体" w:cs="宋体"/>
          <w:color w:val="auto"/>
          <w:sz w:val="24"/>
          <w:szCs w:val="24"/>
          <w:highlight w:val="none"/>
          <w:lang w:bidi="ar"/>
        </w:rPr>
        <w:t>个工作日以前以书面方式通知甲方。因乙方账户变更未及时通知甲方导致的甲方付款不成功、付款延期，甲方不承担违约责任。</w:t>
      </w:r>
    </w:p>
    <w:p w14:paraId="6F5A263E">
      <w:pPr>
        <w:keepNext w:val="0"/>
        <w:keepLines w:val="0"/>
        <w:pageBreakBefore w:val="0"/>
        <w:widowControl w:val="0"/>
        <w:kinsoku/>
        <w:wordWrap/>
        <w:overflowPunct/>
        <w:topLinePunct w:val="0"/>
        <w:autoSpaceDE/>
        <w:autoSpaceDN/>
        <w:bidi w:val="0"/>
        <w:adjustRightInd w:val="0"/>
        <w:snapToGrid/>
        <w:spacing w:after="0" w:line="360" w:lineRule="auto"/>
        <w:ind w:firstLine="420" w:firstLineChars="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乙方账户信息：北京昭明算界科技有限公司</w:t>
      </w:r>
    </w:p>
    <w:p w14:paraId="65B01D55">
      <w:pPr>
        <w:keepNext w:val="0"/>
        <w:keepLines w:val="0"/>
        <w:pageBreakBefore w:val="0"/>
        <w:widowControl w:val="0"/>
        <w:kinsoku/>
        <w:wordWrap/>
        <w:overflowPunct/>
        <w:topLinePunct w:val="0"/>
        <w:autoSpaceDE/>
        <w:autoSpaceDN/>
        <w:bidi w:val="0"/>
        <w:adjustRightInd w:val="0"/>
        <w:snapToGrid/>
        <w:spacing w:after="0" w:line="360" w:lineRule="auto"/>
        <w:ind w:firstLine="420" w:firstLineChars="0"/>
        <w:textAlignment w:val="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开户名称：91110112MAKCU7L515</w:t>
      </w:r>
    </w:p>
    <w:p w14:paraId="709A4837">
      <w:pPr>
        <w:keepNext w:val="0"/>
        <w:keepLines w:val="0"/>
        <w:pageBreakBefore w:val="0"/>
        <w:widowControl w:val="0"/>
        <w:kinsoku/>
        <w:wordWrap/>
        <w:overflowPunct/>
        <w:topLinePunct w:val="0"/>
        <w:autoSpaceDE/>
        <w:autoSpaceDN/>
        <w:bidi w:val="0"/>
        <w:adjustRightInd w:val="0"/>
        <w:snapToGrid/>
        <w:spacing w:after="0" w:line="360" w:lineRule="auto"/>
        <w:ind w:firstLine="420" w:firstLineChars="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开户行：中国银行股份有限公司北京潘家园支行</w:t>
      </w:r>
    </w:p>
    <w:p w14:paraId="49F64F41">
      <w:pPr>
        <w:keepNext w:val="0"/>
        <w:keepLines w:val="0"/>
        <w:pageBreakBefore w:val="0"/>
        <w:widowControl w:val="0"/>
        <w:kinsoku/>
        <w:wordWrap/>
        <w:overflowPunct/>
        <w:topLinePunct w:val="0"/>
        <w:autoSpaceDE/>
        <w:autoSpaceDN/>
        <w:bidi w:val="0"/>
        <w:adjustRightInd w:val="0"/>
        <w:snapToGrid/>
        <w:spacing w:after="0" w:line="360" w:lineRule="auto"/>
        <w:ind w:firstLine="420" w:firstLineChars="0"/>
        <w:textAlignment w:val="auto"/>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rPr>
        <w:t>账户：320777681579</w:t>
      </w:r>
    </w:p>
    <w:p w14:paraId="060D977D">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17" w:name="_Toc1054"/>
      <w:bookmarkStart w:id="18" w:name="_Toc6619"/>
      <w:bookmarkStart w:id="19" w:name="_Toc108776995"/>
      <w:bookmarkStart w:id="20" w:name="_Toc1467"/>
      <w:r>
        <w:rPr>
          <w:rFonts w:hint="eastAsia" w:ascii="宋体" w:hAnsi="宋体" w:eastAsia="宋体" w:cs="宋体"/>
          <w:b/>
          <w:bCs/>
          <w:color w:val="auto"/>
          <w:sz w:val="28"/>
          <w:szCs w:val="28"/>
          <w:highlight w:val="none"/>
        </w:rPr>
        <w:t>甲方权利和义务</w:t>
      </w:r>
      <w:bookmarkEnd w:id="17"/>
      <w:bookmarkEnd w:id="18"/>
      <w:bookmarkEnd w:id="19"/>
      <w:bookmarkEnd w:id="20"/>
    </w:p>
    <w:p w14:paraId="25A22924">
      <w:pPr>
        <w:numPr>
          <w:ilvl w:val="0"/>
          <w:numId w:val="4"/>
        </w:numPr>
        <w:adjustRightInd w:val="0"/>
        <w:spacing w:line="360" w:lineRule="auto"/>
        <w:ind w:firstLine="420"/>
        <w:rPr>
          <w:rFonts w:hint="eastAsia" w:ascii="宋体" w:hAnsi="宋体" w:eastAsia="宋体" w:cs="宋体"/>
          <w:vanish/>
          <w:color w:val="auto"/>
          <w:sz w:val="24"/>
          <w:szCs w:val="24"/>
          <w:highlight w:val="none"/>
        </w:rPr>
      </w:pPr>
    </w:p>
    <w:p w14:paraId="364F445F">
      <w:pPr>
        <w:numPr>
          <w:ilvl w:val="0"/>
          <w:numId w:val="4"/>
        </w:numPr>
        <w:adjustRightInd w:val="0"/>
        <w:spacing w:line="360" w:lineRule="auto"/>
        <w:ind w:firstLine="420"/>
        <w:rPr>
          <w:rFonts w:hint="eastAsia" w:ascii="宋体" w:hAnsi="宋体" w:eastAsia="宋体" w:cs="宋体"/>
          <w:vanish/>
          <w:color w:val="auto"/>
          <w:sz w:val="24"/>
          <w:szCs w:val="24"/>
          <w:highlight w:val="none"/>
        </w:rPr>
      </w:pPr>
    </w:p>
    <w:p w14:paraId="759184CA">
      <w:pPr>
        <w:numPr>
          <w:ilvl w:val="0"/>
          <w:numId w:val="4"/>
        </w:numPr>
        <w:adjustRightInd w:val="0"/>
        <w:spacing w:line="360" w:lineRule="auto"/>
        <w:ind w:firstLine="420"/>
        <w:rPr>
          <w:rFonts w:hint="eastAsia" w:ascii="宋体" w:hAnsi="宋体" w:eastAsia="宋体" w:cs="宋体"/>
          <w:vanish/>
          <w:color w:val="auto"/>
          <w:sz w:val="24"/>
          <w:szCs w:val="24"/>
          <w:highlight w:val="none"/>
        </w:rPr>
      </w:pPr>
    </w:p>
    <w:p w14:paraId="3F99AB79">
      <w:pPr>
        <w:numPr>
          <w:ilvl w:val="0"/>
          <w:numId w:val="4"/>
        </w:numPr>
        <w:adjustRightInd w:val="0"/>
        <w:spacing w:line="360" w:lineRule="auto"/>
        <w:ind w:firstLine="420"/>
        <w:rPr>
          <w:rFonts w:hint="eastAsia" w:ascii="宋体" w:hAnsi="宋体" w:eastAsia="宋体" w:cs="宋体"/>
          <w:vanish/>
          <w:color w:val="auto"/>
          <w:sz w:val="24"/>
          <w:szCs w:val="24"/>
          <w:highlight w:val="none"/>
        </w:rPr>
      </w:pPr>
    </w:p>
    <w:p w14:paraId="62755A75">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甲方应按照本合同内约定的合同金额及支付方式支付相应费用。</w:t>
      </w:r>
    </w:p>
    <w:p w14:paraId="6BF223E8">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应协调项目各相关部门配合乙方开展工作，提供业务说明，并提供项目投产的必要条件与支持，向乙方提供技术开发所需要的技术资料和数据，参与整个项目的全过程，协助配合乙方做好需求分析、方案设计、开发及测试等工作，对各项业务的需求报告及时确认，组织相关部门参加各阶段验收工作，提供测试和上线环境。</w:t>
      </w:r>
    </w:p>
    <w:p w14:paraId="26B11146">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甲方成立项目组，并指派</w:t>
      </w:r>
      <w:r>
        <w:rPr>
          <w:rFonts w:hint="eastAsia" w:ascii="宋体" w:hAnsi="宋体" w:eastAsia="宋体" w:cs="宋体"/>
          <w:color w:val="auto"/>
          <w:sz w:val="24"/>
          <w:szCs w:val="24"/>
          <w:highlight w:val="none"/>
          <w:u w:val="single"/>
        </w:rPr>
        <w:t>项目经理</w:t>
      </w:r>
      <w:r>
        <w:rPr>
          <w:rFonts w:hint="eastAsia" w:ascii="宋体" w:hAnsi="宋体" w:eastAsia="宋体" w:cs="宋体"/>
          <w:color w:val="auto"/>
          <w:sz w:val="24"/>
          <w:szCs w:val="24"/>
          <w:highlight w:val="none"/>
        </w:rPr>
        <w:t>负责现场处理项目实施过程中发生的各种问题，如果在合同履行过程中项目经理发生人员变更，必须提前通知乙方。</w:t>
      </w:r>
    </w:p>
    <w:p w14:paraId="3F1AFDC5">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非因甲方原因所导致的乙方迟延履行，甲方不承担乙方由此产生的额外费用。非经甲方事先书面同意，乙方不得擅自变更履约进度。</w:t>
      </w:r>
    </w:p>
    <w:p w14:paraId="2F7CDB66">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甲方协助乙方对软件进行联调测试、用户验收测试及系统压力测试，使系统进入试运行阶段至验收完成。</w:t>
      </w:r>
    </w:p>
    <w:p w14:paraId="1B4AA797">
      <w:pPr>
        <w:keepNext w:val="0"/>
        <w:keepLines w:val="0"/>
        <w:pageBreakBefore w:val="0"/>
        <w:widowControl w:val="0"/>
        <w:numPr>
          <w:ilvl w:val="1"/>
          <w:numId w:val="4"/>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甲方有权按照行业监管机构监控要求定期对乙方本合同下项目开展内、外部审计检查，乙方应积极配合甲方开展检查。</w:t>
      </w:r>
    </w:p>
    <w:p w14:paraId="53544B86">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21" w:name="_Toc108776996"/>
      <w:bookmarkStart w:id="22" w:name="_Toc19005"/>
      <w:bookmarkStart w:id="23" w:name="_Toc19253"/>
      <w:bookmarkStart w:id="24" w:name="_Toc18931"/>
      <w:bookmarkStart w:id="25" w:name="_Toc456646675"/>
      <w:r>
        <w:rPr>
          <w:rFonts w:hint="eastAsia" w:ascii="宋体" w:hAnsi="宋体" w:eastAsia="宋体" w:cs="宋体"/>
          <w:b/>
          <w:bCs/>
          <w:color w:val="auto"/>
          <w:sz w:val="28"/>
          <w:szCs w:val="28"/>
          <w:highlight w:val="none"/>
        </w:rPr>
        <w:t>乙方权利和义务</w:t>
      </w:r>
      <w:bookmarkEnd w:id="21"/>
      <w:bookmarkEnd w:id="22"/>
      <w:bookmarkEnd w:id="23"/>
      <w:bookmarkEnd w:id="24"/>
    </w:p>
    <w:p w14:paraId="7310C7AC">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53EFFD2E">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5515A2D5">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4A1699FC">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02D2A650">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46262AA7">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13E17D3A">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乙方有权依据本合同关于合同金额及支付方式的约定获取相应的报酬。</w:t>
      </w:r>
    </w:p>
    <w:p w14:paraId="22D18113">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委托乙方根据本合同规定的条款要求和条件，基于甲方的实际业务需求完成项目，乙方接受甲方的委托为甲方提供开发、咨询等相关工作。按照本合同约定的项目内容、技术要求和实施周期向甲方提供合格的项目管理、项目开发、质量管理和平台维护等工作，以及与相关第三方系统软件的接口开发和调试等工作。系统具体功能详见</w:t>
      </w:r>
      <w:r>
        <w:rPr>
          <w:rFonts w:hint="eastAsia" w:ascii="宋体" w:hAnsi="宋体" w:eastAsia="宋体" w:cs="宋体"/>
          <w:color w:val="auto"/>
          <w:sz w:val="24"/>
          <w:szCs w:val="24"/>
          <w:highlight w:val="none"/>
          <w:lang w:eastAsia="zh-CN"/>
        </w:rPr>
        <w:t>附件一</w:t>
      </w:r>
      <w:r>
        <w:rPr>
          <w:rFonts w:hint="eastAsia" w:ascii="宋体" w:hAnsi="宋体" w:eastAsia="宋体" w:cs="宋体"/>
          <w:color w:val="auto"/>
          <w:sz w:val="24"/>
          <w:szCs w:val="24"/>
          <w:highlight w:val="none"/>
        </w:rPr>
        <w:t>《工作说明书》，该《工作说明书》经甲乙双方书面确认后作为合同的有效补充，与本合同具备同等法律效力。乙方应按照该《工作说明书》中的内容按期完成并交付软件，同时向甲方提供</w:t>
      </w:r>
      <w:r>
        <w:rPr>
          <w:rFonts w:hint="eastAsia" w:ascii="宋体" w:hAnsi="宋体" w:eastAsia="宋体" w:cs="宋体"/>
          <w:color w:val="auto"/>
          <w:sz w:val="24"/>
          <w:szCs w:val="24"/>
          <w:highlight w:val="none"/>
          <w:lang w:eastAsia="zh-CN"/>
        </w:rPr>
        <w:t>附件三</w:t>
      </w:r>
      <w:r>
        <w:rPr>
          <w:rFonts w:hint="eastAsia" w:ascii="宋体" w:hAnsi="宋体" w:eastAsia="宋体" w:cs="宋体"/>
          <w:color w:val="auto"/>
          <w:sz w:val="24"/>
          <w:szCs w:val="24"/>
          <w:highlight w:val="none"/>
        </w:rPr>
        <w:t>《交付物及培训》中所列明的交付物及相关服务，为甲方在项目实施过程提供专业咨询、培训、安装、调试、测试等相关服务。</w:t>
      </w:r>
    </w:p>
    <w:p w14:paraId="57A46584">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乙方应向甲方交付本合同项下所有软件、全部源代码、文档、资料，保证源代码及其他相关资料的完整性，并保证甲方可对全部源代码及其他相关资料进行修改、编译、部署、运行并正常使用。</w:t>
      </w:r>
    </w:p>
    <w:p w14:paraId="45B022F3">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选派身体健康、有工作经验和相应技能的项目技术人员，负责完成合同规定的工作，人员配备包括但不限于：项目经理、驻现场负责人、测试人员、开发人员等。项目经理或驻现场负责人应具有同类项目实施经验，密切与甲方配合，定期与甲方代表对本项目的进度进行沟通，及时解决项目实施过程中可能出现的问题。</w:t>
      </w:r>
    </w:p>
    <w:p w14:paraId="5B82426F">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乙方应针对本项目安排服务质量监督员，负责处理甲方针对本项目的投诉和意见。服务质量监督员应为乙方公司领导或专门服务监督部门领导。</w:t>
      </w:r>
    </w:p>
    <w:p w14:paraId="16BD6F60">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在系统开发阶段、试运行阶段、免费维保期内，乙方负责与系统开发运行有关的技术问题处理。</w:t>
      </w:r>
    </w:p>
    <w:p w14:paraId="62B2B341">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如果在合同履行过程中发生项目经理或主要成员的变更，必须提前</w:t>
      </w:r>
      <w:r>
        <w:rPr>
          <w:rFonts w:hint="eastAsia" w:ascii="宋体" w:hAnsi="宋体" w:eastAsia="宋体" w:cs="宋体"/>
          <w:color w:val="auto"/>
          <w:sz w:val="24"/>
          <w:szCs w:val="24"/>
          <w:highlight w:val="none"/>
          <w:u w:val="single"/>
        </w:rPr>
        <w:t>5</w:t>
      </w:r>
      <w:r>
        <w:rPr>
          <w:rFonts w:hint="eastAsia" w:ascii="宋体" w:hAnsi="宋体" w:eastAsia="宋体" w:cs="宋体"/>
          <w:color w:val="auto"/>
          <w:sz w:val="24"/>
          <w:szCs w:val="24"/>
          <w:highlight w:val="none"/>
        </w:rPr>
        <w:t>个工作日书面报告甲方，并经甲方同意后方可进行。</w:t>
      </w:r>
    </w:p>
    <w:p w14:paraId="02E8B0A9">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乙方负责制定切实可行的项目实施方案、系统测试验证方案（包括业务测试和压力测试）、系统上线和过渡方案，明确任务和各方职责，并按阶段实施考核检查。</w:t>
      </w:r>
    </w:p>
    <w:p w14:paraId="70224D8C">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按照政府关于合规与内控的要求，遵守国家法律法规及甲方内部管理制度，及时通报项目实施过程中的各类事件，定期开展公司内部风险控制自查，加强内部控制。如甲方需要，乙方需在项目启动后向甲方提交针对本项目的《内部控制报告》，主要内容包括但不限于：内部控制机制和管理流程的完善程度、内部控制技术和工具等。必要的时候，乙方应无条件配合监管机构的相关专项检查。</w:t>
      </w:r>
    </w:p>
    <w:p w14:paraId="5D938C27">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乙方应针对本项目制定服务连续性管理目标，且应满足甲方对应系统的业务连续性目标要求。</w:t>
      </w:r>
    </w:p>
    <w:p w14:paraId="2164D84D">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乙方项目如需驻场，其驻场人员在甲方工作场所服务期间应严格遵守甲方相关管理制度，服从甲方的管理。乙方有义务协助甲方维护外包人员所在办公场所的环境，保持良好的卫生情况。</w:t>
      </w:r>
    </w:p>
    <w:p w14:paraId="7B447F46">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在本项目实施过程中如发生信息科技突发事件，或发生可能引发系统性、区域性行业信息科技风险类突发事件时，乙方应在事件发生后</w:t>
      </w:r>
      <w:r>
        <w:rPr>
          <w:rFonts w:hint="eastAsia" w:ascii="宋体" w:hAnsi="宋体" w:eastAsia="宋体" w:cs="宋体"/>
          <w:color w:val="auto"/>
          <w:sz w:val="24"/>
          <w:szCs w:val="24"/>
          <w:highlight w:val="none"/>
          <w:u w:val="single"/>
        </w:rPr>
        <w:t>1</w:t>
      </w:r>
      <w:r>
        <w:rPr>
          <w:rFonts w:hint="eastAsia" w:ascii="宋体" w:hAnsi="宋体" w:eastAsia="宋体" w:cs="宋体"/>
          <w:color w:val="auto"/>
          <w:sz w:val="24"/>
          <w:szCs w:val="24"/>
          <w:highlight w:val="none"/>
        </w:rPr>
        <w:t>个工作日内进行书面报告。报告内容包括但不仅限于：事件的影响、处置和纠正措施等。</w:t>
      </w:r>
    </w:p>
    <w:p w14:paraId="33D66AFA">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在规定的试运行期结束后，乙方应做好项目验收的必要准备，协助甲方根据《工作说明书》的内容对项目进行系统测试，配合甲方完成验收工作。</w:t>
      </w:r>
    </w:p>
    <w:p w14:paraId="0DC76EDE">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26" w:name="_Toc108776997"/>
      <w:bookmarkStart w:id="27" w:name="_Toc24923"/>
      <w:bookmarkStart w:id="28" w:name="_Toc24454"/>
      <w:bookmarkStart w:id="29" w:name="_Toc15582"/>
      <w:r>
        <w:rPr>
          <w:rFonts w:hint="eastAsia" w:ascii="宋体" w:hAnsi="宋体" w:eastAsia="宋体" w:cs="宋体"/>
          <w:b/>
          <w:bCs/>
          <w:color w:val="auto"/>
          <w:sz w:val="28"/>
          <w:szCs w:val="28"/>
          <w:highlight w:val="none"/>
        </w:rPr>
        <w:t>项目需求变更</w:t>
      </w:r>
      <w:bookmarkEnd w:id="26"/>
      <w:bookmarkEnd w:id="27"/>
      <w:bookmarkEnd w:id="28"/>
      <w:bookmarkEnd w:id="29"/>
    </w:p>
    <w:p w14:paraId="76C0E36A">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3ED746AB">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在项目实施过程中，甲方可根据业务需求调整技术功能、业务功能和修改业务需求。在此期间发生的《工作说明书》范围之内的新增需求，在双方协商认可后由乙方负责免费进行开发。在《工作说明书》范围之外的新增需求，可由双方核定工作量，协商结算方式。新增需求影响项目进度的，项目交付时间相应调整。</w:t>
      </w:r>
    </w:p>
    <w:p w14:paraId="7115C061">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业务需求经甲乙双方确认后，任何一方变更《工作说明书》的工作内容，应向另一方的项目经理提交书面的《需求变更申请书》（详见</w:t>
      </w:r>
      <w:r>
        <w:rPr>
          <w:rFonts w:hint="eastAsia" w:ascii="宋体" w:hAnsi="宋体" w:eastAsia="宋体" w:cs="宋体"/>
          <w:color w:val="auto"/>
          <w:sz w:val="24"/>
          <w:szCs w:val="24"/>
          <w:highlight w:val="none"/>
          <w:lang w:eastAsia="zh-CN"/>
        </w:rPr>
        <w:t>附件二</w:t>
      </w:r>
      <w:r>
        <w:rPr>
          <w:rFonts w:hint="eastAsia" w:ascii="宋体" w:hAnsi="宋体" w:eastAsia="宋体" w:cs="宋体"/>
          <w:color w:val="auto"/>
          <w:sz w:val="24"/>
          <w:szCs w:val="24"/>
          <w:highlight w:val="none"/>
        </w:rPr>
        <w:t>）。</w:t>
      </w:r>
    </w:p>
    <w:p w14:paraId="788BA774">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甲乙双方项目经理审核需求变更申请，确定需求变更的实施对日程表和其他合同条款所产生的影响。</w:t>
      </w:r>
    </w:p>
    <w:p w14:paraId="7724EECB">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乙双方项目经理对需求变更进行分析、审核后，以书面形式决定批准或拒绝该变更申请。经双方协商一致同意变更需求的，双方签署相应的补充协议。经双方授权代表签字盖章后的补充协议将作为本合同的有效附件和执行变更的依据。</w:t>
      </w:r>
    </w:p>
    <w:p w14:paraId="21D10C96">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30" w:name="_Toc23320"/>
      <w:bookmarkStart w:id="31" w:name="_Toc108776998"/>
      <w:bookmarkStart w:id="32" w:name="_Toc7255"/>
      <w:bookmarkStart w:id="33" w:name="_Toc31756"/>
      <w:r>
        <w:rPr>
          <w:rFonts w:hint="eastAsia" w:ascii="宋体" w:hAnsi="宋体" w:eastAsia="宋体" w:cs="宋体"/>
          <w:b/>
          <w:bCs/>
          <w:color w:val="auto"/>
          <w:sz w:val="28"/>
          <w:szCs w:val="28"/>
          <w:highlight w:val="none"/>
        </w:rPr>
        <w:t>服务水平要求</w:t>
      </w:r>
      <w:bookmarkEnd w:id="30"/>
      <w:bookmarkEnd w:id="31"/>
      <w:bookmarkEnd w:id="32"/>
      <w:bookmarkEnd w:id="33"/>
    </w:p>
    <w:p w14:paraId="3641FA1F">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7AA47791">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乙方保证开发和提供的软件、资料和硬件产品需完全合法，且符合本合同及附件的所有要求，符合甲方的质量体系要求，不得侵权他人知识产权。</w:t>
      </w:r>
    </w:p>
    <w:p w14:paraId="04BB834E">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保证在本合同项下提供给甲方的软件源代码和技术文档符合甲方的规范要求，不能与甲方的信息安全防御体系有任何冲突（包括甲方要求打上的程序补丁以及安装的任何设备），如发生冲突乙方必须负责完全解决，以适应甲方的信息安全防御体系。在维保期内，乙方有义务对所有不符合要求的部分予以修正。所有这类工作在维保期内都是免费的（功能重大增加或调整以及安全防御体系与系统最终验收时发生改变的情况除外）。</w:t>
      </w:r>
    </w:p>
    <w:p w14:paraId="3DA6380E">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乙方交付给甲方的软件应保证不能含有任何影响甲方使用的限制性措施，包括但不仅限于以下内容：没有用户许可和license限制；没有“后门程序”、</w:t>
      </w:r>
      <w:r>
        <w:rPr>
          <w:rFonts w:hint="eastAsia" w:ascii="宋体" w:hAnsi="宋体" w:eastAsia="宋体" w:cs="宋体"/>
          <w:color w:val="auto"/>
          <w:sz w:val="24"/>
          <w:szCs w:val="24"/>
          <w:highlight w:val="none"/>
          <w:lang w:val="en-US" w:eastAsia="zh-CN"/>
        </w:rPr>
        <w:t>恶意代码、</w:t>
      </w:r>
      <w:r>
        <w:rPr>
          <w:rFonts w:hint="eastAsia" w:ascii="宋体" w:hAnsi="宋体" w:eastAsia="宋体" w:cs="宋体"/>
          <w:color w:val="auto"/>
          <w:sz w:val="24"/>
          <w:szCs w:val="24"/>
          <w:highlight w:val="none"/>
        </w:rPr>
        <w:t>时间炸弹、自动根据时间的控制而停止系统运行的功能（不包括甲方因为技术支持的需要而授权的设计）；没有计算机木马、病毒或其它的允许非法对系统进行访问（包括删除、关闭等）的功能。</w:t>
      </w:r>
    </w:p>
    <w:p w14:paraId="4E02BC31">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w:t>
      </w:r>
      <w:r>
        <w:rPr>
          <w:rFonts w:hint="eastAsia" w:ascii="宋体" w:hAnsi="宋体" w:eastAsia="宋体" w:cs="宋体"/>
          <w:color w:val="auto"/>
          <w:sz w:val="24"/>
          <w:szCs w:val="24"/>
          <w:highlight w:val="none"/>
          <w:lang w:val="en-US" w:eastAsia="zh-CN"/>
        </w:rPr>
        <w:t>将</w:t>
      </w:r>
      <w:r>
        <w:rPr>
          <w:rFonts w:hint="eastAsia" w:ascii="宋体" w:hAnsi="宋体" w:eastAsia="宋体" w:cs="宋体"/>
          <w:color w:val="auto"/>
          <w:sz w:val="24"/>
          <w:szCs w:val="24"/>
          <w:highlight w:val="none"/>
        </w:rPr>
        <w:t>任何开源代码、开源组件集成至本项目交付成果</w:t>
      </w:r>
      <w:r>
        <w:rPr>
          <w:rFonts w:hint="eastAsia" w:ascii="宋体" w:hAnsi="宋体" w:eastAsia="宋体" w:cs="宋体"/>
          <w:color w:val="auto"/>
          <w:sz w:val="24"/>
          <w:szCs w:val="24"/>
          <w:highlight w:val="none"/>
          <w:lang w:val="en-US" w:eastAsia="zh-CN"/>
        </w:rPr>
        <w:t>前</w:t>
      </w:r>
      <w:r>
        <w:rPr>
          <w:rFonts w:hint="eastAsia" w:ascii="宋体" w:hAnsi="宋体" w:eastAsia="宋体" w:cs="宋体"/>
          <w:color w:val="auto"/>
          <w:sz w:val="24"/>
          <w:szCs w:val="24"/>
          <w:highlight w:val="none"/>
        </w:rPr>
        <w:t>，应当向甲方提交《第三方组件与开源许可证披露清单》。未经甲方书面同意，乙方不得在项目交付成果中引入GPL、AGPL、LGPL等具有许可证传染性义务，可能导致甲方项目成果开源、无法闭源商业化使用的开源许可组件。</w:t>
      </w:r>
    </w:p>
    <w:p w14:paraId="6E14D960">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乙方应保证交付给甲方的软件产品的数据机密性和完整性，确保为甲方提供的软件中不存在安全漏洞或其他缺陷或违反中华人民共和国法律法规要求的设计或内容。</w:t>
      </w:r>
    </w:p>
    <w:p w14:paraId="46C0D112">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乙方保证提供给甲方的软件系统设计必须满足系统信息安全通用规范、国家软件开发及测试标准以及金融行业监管部门的监管要求，系统安全性必须可以通过金融行业监管部门的现场检查。</w:t>
      </w:r>
    </w:p>
    <w:p w14:paraId="1D654C0D">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34" w:name="_Toc25162"/>
      <w:bookmarkStart w:id="35" w:name="_Toc29711"/>
      <w:bookmarkStart w:id="36" w:name="_Toc14954"/>
      <w:bookmarkStart w:id="37" w:name="_Toc108776999"/>
      <w:r>
        <w:rPr>
          <w:rFonts w:hint="eastAsia" w:ascii="宋体" w:hAnsi="宋体" w:eastAsia="宋体" w:cs="宋体"/>
          <w:b/>
          <w:bCs/>
          <w:color w:val="auto"/>
          <w:sz w:val="28"/>
          <w:szCs w:val="28"/>
          <w:highlight w:val="none"/>
        </w:rPr>
        <w:t>技术支持与售后</w:t>
      </w:r>
      <w:bookmarkEnd w:id="25"/>
      <w:bookmarkEnd w:id="34"/>
      <w:bookmarkEnd w:id="35"/>
      <w:bookmarkEnd w:id="36"/>
      <w:bookmarkEnd w:id="37"/>
    </w:p>
    <w:p w14:paraId="385DAB95">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37A177F2">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乙方负责向甲方提供</w:t>
      </w:r>
      <w:r>
        <w:rPr>
          <w:rFonts w:hint="eastAsia" w:ascii="宋体" w:hAnsi="宋体" w:eastAsia="宋体" w:cs="宋体"/>
          <w:color w:val="auto"/>
          <w:sz w:val="24"/>
          <w:szCs w:val="24"/>
          <w:highlight w:val="none"/>
          <w:u w:val="single"/>
          <w:lang w:val="en-US" w:eastAsia="zh-CN"/>
        </w:rPr>
        <w:t>3</w:t>
      </w:r>
      <w:r>
        <w:rPr>
          <w:rFonts w:hint="eastAsia" w:ascii="宋体" w:hAnsi="宋体" w:eastAsia="宋体" w:cs="宋体"/>
          <w:color w:val="auto"/>
          <w:sz w:val="24"/>
          <w:szCs w:val="24"/>
          <w:highlight w:val="none"/>
        </w:rPr>
        <w:t>个月的免费维保服务（起算点时间从项目验收合格，双方签署《项目验收报告》之日开始计算），</w:t>
      </w:r>
      <w:bookmarkStart w:id="38" w:name="_Hlk109045716"/>
      <w:r>
        <w:rPr>
          <w:rFonts w:hint="eastAsia" w:ascii="宋体" w:hAnsi="宋体" w:eastAsia="宋体" w:cs="宋体"/>
          <w:color w:val="auto"/>
          <w:sz w:val="24"/>
          <w:szCs w:val="24"/>
          <w:highlight w:val="none"/>
        </w:rPr>
        <w:t>包括但不限于系统故障维护、系统调优、系统备份、系统缺陷修复或版本维护升级等。</w:t>
      </w:r>
      <w:bookmarkEnd w:id="38"/>
    </w:p>
    <w:p w14:paraId="1D16CAA5">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免费维保期内，乙方需提供</w:t>
      </w:r>
      <w:r>
        <w:rPr>
          <w:rFonts w:hint="eastAsia" w:ascii="宋体" w:hAnsi="宋体" w:eastAsia="宋体" w:cs="宋体"/>
          <w:color w:val="auto"/>
          <w:sz w:val="24"/>
          <w:szCs w:val="24"/>
          <w:highlight w:val="none"/>
          <w:u w:val="single"/>
        </w:rPr>
        <w:t>7×24</w:t>
      </w:r>
      <w:r>
        <w:rPr>
          <w:rFonts w:hint="eastAsia" w:ascii="宋体" w:hAnsi="宋体" w:eastAsia="宋体" w:cs="宋体"/>
          <w:color w:val="auto"/>
          <w:sz w:val="24"/>
          <w:szCs w:val="24"/>
          <w:highlight w:val="none"/>
        </w:rPr>
        <w:t>小时响应维护服务，确保系统安全、稳定和正常运行。乙方承诺指派技术水平过硬的专业人员为甲方提供维护服务，服务方式包括现场服务、电话服务、电子邮件服务、远程控制服务等。故障响应时间要求故障报修后</w:t>
      </w:r>
      <w:r>
        <w:rPr>
          <w:rFonts w:hint="eastAsia" w:ascii="宋体" w:hAnsi="宋体" w:eastAsia="宋体" w:cs="宋体"/>
          <w:color w:val="auto"/>
          <w:sz w:val="24"/>
          <w:szCs w:val="24"/>
          <w:highlight w:val="none"/>
          <w:u w:val="single"/>
        </w:rPr>
        <w:t>1</w:t>
      </w:r>
      <w:r>
        <w:rPr>
          <w:rFonts w:hint="eastAsia" w:ascii="宋体" w:hAnsi="宋体" w:eastAsia="宋体" w:cs="宋体"/>
          <w:color w:val="auto"/>
          <w:sz w:val="24"/>
          <w:szCs w:val="24"/>
          <w:highlight w:val="none"/>
        </w:rPr>
        <w:t>小时内电话指导，如无法解决则项目工程师</w:t>
      </w:r>
      <w:r>
        <w:rPr>
          <w:rFonts w:hint="eastAsia" w:ascii="宋体" w:hAnsi="宋体" w:eastAsia="宋体" w:cs="宋体"/>
          <w:color w:val="auto"/>
          <w:sz w:val="24"/>
          <w:szCs w:val="24"/>
          <w:highlight w:val="none"/>
          <w:u w:val="single"/>
          <w:lang w:val="en-US" w:eastAsia="zh-CN"/>
        </w:rPr>
        <w:t>4</w:t>
      </w:r>
      <w:r>
        <w:rPr>
          <w:rFonts w:hint="eastAsia" w:ascii="宋体" w:hAnsi="宋体" w:eastAsia="宋体" w:cs="宋体"/>
          <w:color w:val="auto"/>
          <w:sz w:val="24"/>
          <w:szCs w:val="24"/>
          <w:highlight w:val="none"/>
        </w:rPr>
        <w:t>小时内上门进行现场解决。</w:t>
      </w:r>
    </w:p>
    <w:p w14:paraId="305430CE">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bookmarkStart w:id="39" w:name="_Hlk106544222"/>
      <w:r>
        <w:rPr>
          <w:rFonts w:hint="eastAsia" w:ascii="宋体" w:hAnsi="宋体" w:eastAsia="宋体" w:cs="宋体"/>
          <w:color w:val="auto"/>
          <w:sz w:val="24"/>
          <w:szCs w:val="24"/>
          <w:highlight w:val="none"/>
        </w:rPr>
        <w:t>免费维保期结束后，甲方如需乙方继续提供维护服务，双方另行签署维护服务协议。乙方承诺提供优惠的维护服务价格，另签维护服务协议后执行。维护内容和标准与免费维保期一致。每次维保期满后</w:t>
      </w:r>
      <w:r>
        <w:rPr>
          <w:rFonts w:hint="eastAsia" w:ascii="宋体" w:hAnsi="宋体" w:eastAsia="宋体" w:cs="宋体"/>
          <w:color w:val="auto"/>
          <w:sz w:val="24"/>
          <w:szCs w:val="24"/>
          <w:highlight w:val="none"/>
          <w:u w:val="single"/>
        </w:rPr>
        <w:t>15</w:t>
      </w:r>
      <w:r>
        <w:rPr>
          <w:rFonts w:hint="eastAsia" w:ascii="宋体" w:hAnsi="宋体" w:eastAsia="宋体" w:cs="宋体"/>
          <w:color w:val="auto"/>
          <w:sz w:val="24"/>
          <w:szCs w:val="24"/>
          <w:highlight w:val="none"/>
        </w:rPr>
        <w:t>个工作日为维保过渡期，在维保过渡期内乙方继续为甲方提供相应的免费维保服务。</w:t>
      </w:r>
    </w:p>
    <w:p w14:paraId="034DEFBF">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因甲方产生《工作说明书》范围之外的新需求而发生的系统开发、升级、维护</w:t>
      </w:r>
      <w:bookmarkEnd w:id="39"/>
      <w:r>
        <w:rPr>
          <w:rFonts w:hint="eastAsia" w:ascii="宋体" w:hAnsi="宋体" w:eastAsia="宋体" w:cs="宋体"/>
          <w:color w:val="auto"/>
          <w:sz w:val="24"/>
          <w:szCs w:val="24"/>
          <w:highlight w:val="none"/>
        </w:rPr>
        <w:t>等工作，可由双方核定工作量，</w:t>
      </w:r>
      <w:bookmarkStart w:id="40" w:name="_Hlk109045768"/>
      <w:r>
        <w:rPr>
          <w:rFonts w:hint="eastAsia" w:ascii="宋体" w:hAnsi="宋体" w:eastAsia="宋体" w:cs="宋体"/>
          <w:color w:val="auto"/>
          <w:sz w:val="24"/>
          <w:szCs w:val="24"/>
          <w:highlight w:val="none"/>
        </w:rPr>
        <w:t>按照实际工作量进行费用评估并</w:t>
      </w:r>
      <w:bookmarkEnd w:id="40"/>
      <w:r>
        <w:rPr>
          <w:rFonts w:hint="eastAsia" w:ascii="宋体" w:hAnsi="宋体" w:eastAsia="宋体" w:cs="宋体"/>
          <w:color w:val="auto"/>
          <w:sz w:val="24"/>
          <w:szCs w:val="24"/>
          <w:highlight w:val="none"/>
        </w:rPr>
        <w:t>协商结算方式</w:t>
      </w:r>
      <w:bookmarkStart w:id="41" w:name="_Hlk109045780"/>
      <w:r>
        <w:rPr>
          <w:rFonts w:hint="eastAsia" w:ascii="宋体" w:hAnsi="宋体" w:eastAsia="宋体" w:cs="宋体"/>
          <w:color w:val="auto"/>
          <w:sz w:val="24"/>
          <w:szCs w:val="24"/>
          <w:highlight w:val="none"/>
        </w:rPr>
        <w:t>后签订书面补充协议，费用单价不超过¥元（大写：人民币</w:t>
      </w:r>
      <w:r>
        <w:rPr>
          <w:rFonts w:hint="eastAsia" w:ascii="宋体" w:hAnsi="宋体" w:eastAsia="宋体" w:cs="宋体"/>
          <w:color w:val="auto"/>
          <w:kern w:val="2"/>
          <w:sz w:val="24"/>
          <w:szCs w:val="24"/>
          <w:highlight w:val="none"/>
          <w:u w:val="single"/>
          <w:lang w:val="en-US" w:eastAsia="zh-CN" w:bidi="ar-SA"/>
        </w:rPr>
        <w:t>元</w:t>
      </w:r>
      <w:r>
        <w:rPr>
          <w:rFonts w:hint="eastAsia" w:ascii="宋体" w:hAnsi="宋体" w:eastAsia="宋体" w:cs="宋体"/>
          <w:color w:val="auto"/>
          <w:sz w:val="24"/>
          <w:szCs w:val="24"/>
          <w:highlight w:val="none"/>
        </w:rPr>
        <w:t>整）人/天</w:t>
      </w:r>
      <w:bookmarkEnd w:id="41"/>
      <w:r>
        <w:rPr>
          <w:rFonts w:hint="eastAsia" w:ascii="宋体" w:hAnsi="宋体" w:eastAsia="宋体" w:cs="宋体"/>
          <w:color w:val="auto"/>
          <w:sz w:val="24"/>
          <w:szCs w:val="24"/>
          <w:highlight w:val="none"/>
        </w:rPr>
        <w:t>，该价格为含税价。</w:t>
      </w:r>
    </w:p>
    <w:p w14:paraId="5C003D48">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42" w:name="_Toc4109"/>
      <w:bookmarkStart w:id="43" w:name="_Toc20901"/>
      <w:bookmarkStart w:id="44" w:name="_Toc18766"/>
      <w:bookmarkStart w:id="45" w:name="_Toc108777000"/>
      <w:r>
        <w:rPr>
          <w:rFonts w:hint="eastAsia" w:ascii="宋体" w:hAnsi="宋体" w:eastAsia="宋体" w:cs="宋体"/>
          <w:b/>
          <w:bCs/>
          <w:color w:val="auto"/>
          <w:sz w:val="28"/>
          <w:szCs w:val="28"/>
          <w:highlight w:val="none"/>
        </w:rPr>
        <w:t>知识产权</w:t>
      </w:r>
      <w:bookmarkEnd w:id="42"/>
      <w:bookmarkEnd w:id="43"/>
      <w:bookmarkEnd w:id="44"/>
      <w:bookmarkEnd w:id="45"/>
    </w:p>
    <w:p w14:paraId="1C19FA8F">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0551E927">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本合同所称知识产权是指（包括但不限于）：</w:t>
      </w:r>
    </w:p>
    <w:p w14:paraId="7584DD60">
      <w:pPr>
        <w:keepNext w:val="0"/>
        <w:keepLines w:val="0"/>
        <w:pageBreakBefore w:val="0"/>
        <w:widowControl w:val="0"/>
        <w:numPr>
          <w:ilvl w:val="0"/>
          <w:numId w:val="8"/>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合同任务所产生专利申请权、专利权、软件著作权、商标等知识产权；</w:t>
      </w:r>
    </w:p>
    <w:p w14:paraId="057EC212">
      <w:pPr>
        <w:keepNext w:val="0"/>
        <w:keepLines w:val="0"/>
        <w:pageBreakBefore w:val="0"/>
        <w:widowControl w:val="0"/>
        <w:numPr>
          <w:ilvl w:val="0"/>
          <w:numId w:val="8"/>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专有技术及其他不为公众所知的、能为甲方带来经济效益、具有实用性的技术；</w:t>
      </w:r>
    </w:p>
    <w:p w14:paraId="7C653251">
      <w:pPr>
        <w:keepNext w:val="0"/>
        <w:keepLines w:val="0"/>
        <w:pageBreakBefore w:val="0"/>
        <w:widowControl w:val="0"/>
        <w:numPr>
          <w:ilvl w:val="0"/>
          <w:numId w:val="8"/>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技术开发的信息。包括甲方现有以及正在开发或者构想之中的技术方法、产品计划、试验数据、计算机软件、及产品开发计划、文档、手册等。</w:t>
      </w:r>
    </w:p>
    <w:p w14:paraId="10079E2C">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双方同意本合同所产生技术成果的全部知识产权、技术秘密等均归甲方所有，包括但不限于乙方为本项目所开发的</w:t>
      </w:r>
      <w:r>
        <w:rPr>
          <w:rFonts w:hint="eastAsia" w:ascii="宋体" w:hAnsi="宋体" w:eastAsia="宋体" w:cs="宋体"/>
          <w:color w:val="auto"/>
          <w:sz w:val="24"/>
          <w:szCs w:val="24"/>
          <w:highlight w:val="none"/>
          <w:lang w:val="en-US" w:eastAsia="zh-CN"/>
        </w:rPr>
        <w:t>系统</w:t>
      </w:r>
      <w:r>
        <w:rPr>
          <w:rFonts w:hint="eastAsia" w:ascii="宋体" w:hAnsi="宋体" w:eastAsia="宋体" w:cs="宋体"/>
          <w:color w:val="auto"/>
          <w:sz w:val="24"/>
          <w:szCs w:val="24"/>
          <w:highlight w:val="none"/>
        </w:rPr>
        <w:t>软件（含后续升级版本）及本项目所制订的源代码、数据库设计方案，针对本项目所开发的专用组件以及在实施过程中完成的各类文档等以及与甲方业务相关的知识产权。未经甲方许可，乙方不得将前述知识产权和技术秘密以任何方式提供给第三方（包括乙方单位中与本项目无关的人员）。</w:t>
      </w:r>
    </w:p>
    <w:p w14:paraId="2D60AD46">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为执行本合同所购买或代购的合法版权和相关知识产权（包括但不限于软件著作权），其购置所得的相应权利归甲方所有。</w:t>
      </w:r>
    </w:p>
    <w:p w14:paraId="2D695C9F">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对于在签署本合同前或在本项目范围外由双方各自享有的知识产权，仍归属于各方各自所有。</w:t>
      </w:r>
    </w:p>
    <w:p w14:paraId="6F4650C1">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承诺，其工作过程及向甲方交付的成果不侵犯任何第三方版权、专利权和商业秘密等知识产权，也不违反乙方与第三方的保密义务或有关知识产权协议，若乙方交付的成果出现任何因侵犯第三方权利而导致甲方受到损失（包括费用和开支）的，乙方应当积极协助甲方处理并及时全额赔偿甲方损失。</w:t>
      </w:r>
    </w:p>
    <w:p w14:paraId="065230FD">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乙方不得仿制、假冒甲方的技术和产品;不得将甲方提供的或具有甲方知识产权的任何产品、技术文档、代码、数据等转让、出借或以其他方式给他人使用;不得将相应的产品包括代码、数据和技术文档转售他人。</w:t>
      </w:r>
    </w:p>
    <w:p w14:paraId="6FB8076E">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在本合同以外，凡基于本合同相关数据及本合同产生的知识产权进行的技术开发和产品设计，创造或取得的其他知识产权以及这些知识产权的衍生物的知识产权归甲方所有。</w:t>
      </w:r>
    </w:p>
    <w:p w14:paraId="1FBF3B78">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项下双方的任何权利和义务不因合同双方发生收购、兼并、重组、分立而发生变化。如发生上述情形之一，则本合同项下的权利和义务随之转移至收购、兼并、重组或分立之单位。如甲、乙双方在本合同项下的各项权利和义务由甲、乙双方之分立单位分别承受的，则甲、乙双方与甲、乙双方之分立单位分别享有和承担相关权利和义务。</w:t>
      </w:r>
    </w:p>
    <w:p w14:paraId="4B5F0517">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46" w:name="_Toc108777001"/>
      <w:bookmarkStart w:id="47" w:name="_Toc8064"/>
      <w:bookmarkStart w:id="48" w:name="_Toc23310"/>
      <w:bookmarkStart w:id="49" w:name="_Toc715"/>
      <w:r>
        <w:rPr>
          <w:rFonts w:hint="eastAsia" w:ascii="宋体" w:hAnsi="宋体" w:eastAsia="宋体" w:cs="宋体"/>
          <w:b/>
          <w:bCs/>
          <w:color w:val="auto"/>
          <w:sz w:val="28"/>
          <w:szCs w:val="28"/>
          <w:highlight w:val="none"/>
        </w:rPr>
        <w:t>保密条款</w:t>
      </w:r>
      <w:bookmarkEnd w:id="46"/>
      <w:bookmarkEnd w:id="47"/>
      <w:bookmarkEnd w:id="48"/>
      <w:bookmarkEnd w:id="49"/>
    </w:p>
    <w:p w14:paraId="56E4F145">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49E854EE">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乙方在履行合同期间获取甲方的保密信息，仅可将该保密信息用于履行其在本合同项下的义务，且只能由本项目开发相关的工作人员使用。保密信息包括但不限于：</w:t>
      </w:r>
    </w:p>
    <w:p w14:paraId="756421F5">
      <w:pPr>
        <w:keepNext w:val="0"/>
        <w:keepLines w:val="0"/>
        <w:pageBreakBefore w:val="0"/>
        <w:widowControl w:val="0"/>
        <w:numPr>
          <w:ilvl w:val="0"/>
          <w:numId w:val="9"/>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技术性信息：文件、程序、计划、技术、图表、模型、参数、数据、标准、专有技术、源代码、脚本、账户密码等。</w:t>
      </w:r>
    </w:p>
    <w:p w14:paraId="775E0DF7">
      <w:pPr>
        <w:keepNext w:val="0"/>
        <w:keepLines w:val="0"/>
        <w:pageBreakBefore w:val="0"/>
        <w:widowControl w:val="0"/>
        <w:numPr>
          <w:ilvl w:val="0"/>
          <w:numId w:val="9"/>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商业性信息：客户或潜在客户的身份及其他相关信息、客户联系方式和客户营销策略、业务或业务运作方法以及其它专有信息。</w:t>
      </w:r>
    </w:p>
    <w:p w14:paraId="4C64CC1A">
      <w:pPr>
        <w:keepNext w:val="0"/>
        <w:keepLines w:val="0"/>
        <w:pageBreakBefore w:val="0"/>
        <w:widowControl w:val="0"/>
        <w:numPr>
          <w:ilvl w:val="0"/>
          <w:numId w:val="9"/>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本合同的条款和与本合同有关的其它信息。</w:t>
      </w:r>
    </w:p>
    <w:p w14:paraId="7643D77C">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当采取适当有效的方式保护所获取的保密信息，未经甲方书面授权不得使用、传播或公开保密信息。除非有甲方的书面许可，或该信息已被甲方认为不再是保密信息，或已在社会上公开，或法律强制披露，该保密信息不得对外披露。</w:t>
      </w:r>
    </w:p>
    <w:p w14:paraId="05513CAC">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乙方在本合同履行过程中应严格遵守甲方信息保密制度，接受甲方对软、硬件产品的安全性管理，配合甲方执行相关信息保密措施。</w:t>
      </w:r>
    </w:p>
    <w:p w14:paraId="3A292070">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未经甲方同意，乙方不得以甲方的名义开展商业活动，不得私自借甲方的项目宣传乙方的产品。</w:t>
      </w:r>
    </w:p>
    <w:p w14:paraId="28BA145B">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在甲方要求时或项目终止时，乙方应返还保密信息的所有原件、复印件、复制品及所有其他载有保密信息的载体，或依甲方的要求，销毁上述保密资料，并提供相关有效证明。</w:t>
      </w:r>
    </w:p>
    <w:p w14:paraId="4FC01BEE">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所有从事本项目工作的乙方人员须与乙方签订保密协议，乙方需在项目人员进场前提供复印件给甲方。</w:t>
      </w:r>
    </w:p>
    <w:p w14:paraId="6E59B595">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本条款自本协议生效之日起即应履行，长期有效，并且不受本协议期限届满、提前终止或本协议中其他条款的无效或履行完毕等情形的影响。</w:t>
      </w:r>
    </w:p>
    <w:p w14:paraId="7F6143D2">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50" w:name="_Toc1923"/>
      <w:bookmarkStart w:id="51" w:name="_Toc12768"/>
      <w:bookmarkStart w:id="52" w:name="_Toc108777002"/>
      <w:bookmarkStart w:id="53" w:name="_Toc17358"/>
      <w:r>
        <w:rPr>
          <w:rFonts w:hint="eastAsia" w:ascii="宋体" w:hAnsi="宋体" w:eastAsia="宋体" w:cs="宋体"/>
          <w:b/>
          <w:bCs/>
          <w:color w:val="auto"/>
          <w:sz w:val="28"/>
          <w:szCs w:val="28"/>
          <w:highlight w:val="none"/>
        </w:rPr>
        <w:t>合同的变更及终止</w:t>
      </w:r>
      <w:bookmarkEnd w:id="50"/>
      <w:bookmarkEnd w:id="51"/>
      <w:bookmarkEnd w:id="52"/>
      <w:bookmarkEnd w:id="53"/>
    </w:p>
    <w:p w14:paraId="09B15C03">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38BB48ED">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甲乙双方如果一方需要修改合同条款，应提前5个工作日书面通知另一方，经双方协商达成一致后，双方签署补充协议，补充协议自双方授权代表签字并加盖公章之日起生效。</w:t>
      </w:r>
    </w:p>
    <w:p w14:paraId="2239FDAE">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如果补充协议条款与本合同条款有冲突，应以补充协议条款为准。</w:t>
      </w:r>
    </w:p>
    <w:p w14:paraId="57EDEC2B">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除非有提前终止合同的事由出现，本合同有效期截至双方全部履行完成本合同项下的义务时终止，即本合同书从双方签字盖章之日起生效，至免费维保期结束之日终止。</w:t>
      </w:r>
    </w:p>
    <w:p w14:paraId="0A7FA2AE">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政策或环境变化因素等导致的合同变更或中止，在合同正式终止前属于合同过渡期，在过渡期内，乙方应及时将已完成的开发成果、资料、文档和属于甲方的设备等移交给甲方或甲方指定的第三方，配合甲方做好相关交接工作，并提供相应的服务支持。</w:t>
      </w:r>
    </w:p>
    <w:p w14:paraId="01107BCC">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本合同一方严重违反其在本合同项下的任何义务，并且未能在对方发出书面通知指明该违约事项后10个工作日内改正的，守约方可以在发出书面通知15个工作日后终止本合同。</w:t>
      </w:r>
    </w:p>
    <w:p w14:paraId="0342FBC8">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54" w:name="_Toc22476"/>
      <w:bookmarkStart w:id="55" w:name="_Toc30775"/>
      <w:bookmarkStart w:id="56" w:name="_Toc31440"/>
      <w:bookmarkStart w:id="57" w:name="_Toc108777003"/>
      <w:r>
        <w:rPr>
          <w:rFonts w:hint="eastAsia" w:ascii="宋体" w:hAnsi="宋体" w:eastAsia="宋体" w:cs="宋体"/>
          <w:b/>
          <w:bCs/>
          <w:color w:val="auto"/>
          <w:sz w:val="28"/>
          <w:szCs w:val="28"/>
          <w:highlight w:val="none"/>
        </w:rPr>
        <w:t>违约责任</w:t>
      </w:r>
      <w:bookmarkEnd w:id="54"/>
      <w:bookmarkEnd w:id="55"/>
      <w:bookmarkEnd w:id="56"/>
      <w:bookmarkEnd w:id="57"/>
    </w:p>
    <w:p w14:paraId="00551FCF">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53544B1E">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若因乙方单方面原因导致出现以下行为或结果，即构成违约，甲方可以要求乙方限期改正，逾期不整改的，或整改仍未达到本合同约定的，甲方有权解除本合同，且不承担任何违约责任。乙方需退回甲方已支付的全部费用，且乙方应赔偿甲方合同总价款20%作为违约金，如违约金不能弥补甲方损失的，乙方还应赔偿甲方因此遭受的全部经济损失：</w:t>
      </w:r>
    </w:p>
    <w:p w14:paraId="4DC588E1">
      <w:pPr>
        <w:keepNext w:val="0"/>
        <w:keepLines w:val="0"/>
        <w:pageBreakBefore w:val="0"/>
        <w:widowControl w:val="0"/>
        <w:numPr>
          <w:ilvl w:val="0"/>
          <w:numId w:val="10"/>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乙方未经甲方书面同意和确认，擅自修改工作里程碑计划。</w:t>
      </w:r>
    </w:p>
    <w:p w14:paraId="26B45907">
      <w:pPr>
        <w:keepNext w:val="0"/>
        <w:keepLines w:val="0"/>
        <w:pageBreakBefore w:val="0"/>
        <w:widowControl w:val="0"/>
        <w:numPr>
          <w:ilvl w:val="0"/>
          <w:numId w:val="10"/>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乙方未按工作里程碑计划完成工作。</w:t>
      </w:r>
    </w:p>
    <w:p w14:paraId="4313D076">
      <w:pPr>
        <w:keepNext w:val="0"/>
        <w:keepLines w:val="0"/>
        <w:pageBreakBefore w:val="0"/>
        <w:widowControl w:val="0"/>
        <w:numPr>
          <w:ilvl w:val="0"/>
          <w:numId w:val="10"/>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乙方未能按照双方约定提供工作成果证明材料，导致无法确认工作绩效。</w:t>
      </w:r>
    </w:p>
    <w:p w14:paraId="7055D8EB">
      <w:pPr>
        <w:keepNext w:val="0"/>
        <w:keepLines w:val="0"/>
        <w:pageBreakBefore w:val="0"/>
        <w:widowControl w:val="0"/>
        <w:numPr>
          <w:ilvl w:val="0"/>
          <w:numId w:val="10"/>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交付的工作成果未达到本合同约定的验收标准以致未通过甲方验收或经过检查发现不合格的，甲方有权要求乙方免费重新实施，如果乙方重新实施的工作成果在规定时间内仍然无法通过甲方验收或经过检查发现仍然不合格的。</w:t>
      </w:r>
    </w:p>
    <w:p w14:paraId="4E9E045B">
      <w:pPr>
        <w:keepNext w:val="0"/>
        <w:keepLines w:val="0"/>
        <w:pageBreakBefore w:val="0"/>
        <w:widowControl w:val="0"/>
        <w:numPr>
          <w:ilvl w:val="0"/>
          <w:numId w:val="10"/>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其他乙方未按照本协议约定履行相关义务的情形。</w:t>
      </w:r>
    </w:p>
    <w:p w14:paraId="6BD1DE1D">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若乙方的工作过程及向甲方交付的成果侵犯第三方版权、专利权和商业秘密等知识产权，应由乙方承担违约和侵权责任，乙方应当向甲方支付合同总金额的20%违约金，并赔偿甲方因此遭受的实际损失。</w:t>
      </w:r>
    </w:p>
    <w:p w14:paraId="61729B58">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若因乙方产品缺陷对甲方业务开展产生影响的，乙方应积极对产品缺陷进行修复，因乙方产品缺陷造成甲方或第三方损失的，乙方还应予赔偿。</w:t>
      </w:r>
    </w:p>
    <w:p w14:paraId="77766223">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若乙方违反双方合同中约定的各项维保条件的，经督促后仍不能有效配合的，视对项目的影响程度，甲方可单方面决定在项目尾款中进行相应扣减。</w:t>
      </w:r>
    </w:p>
    <w:p w14:paraId="799CB9F9">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若乙方违反保密条款，造成甲方重要信息数据泄露的，则甲方有权立即解除合同，要求乙方赔偿合同总金额的</w:t>
      </w:r>
      <w:r>
        <w:rPr>
          <w:rFonts w:hint="eastAsia" w:ascii="宋体" w:hAnsi="宋体" w:eastAsia="宋体" w:cs="宋体"/>
          <w:color w:val="auto"/>
          <w:sz w:val="24"/>
          <w:szCs w:val="24"/>
          <w:highlight w:val="none"/>
          <w:lang w:val="en-US" w:eastAsia="zh-CN"/>
        </w:rPr>
        <w:t>4</w:t>
      </w:r>
      <w:r>
        <w:rPr>
          <w:rFonts w:hint="eastAsia" w:ascii="宋体" w:hAnsi="宋体" w:eastAsia="宋体" w:cs="宋体"/>
          <w:color w:val="auto"/>
          <w:sz w:val="24"/>
          <w:szCs w:val="24"/>
          <w:highlight w:val="none"/>
        </w:rPr>
        <w:t>0%违约金，并赔偿甲方因此遭受的实际损失。违反法律的，交由司法机关处理。</w:t>
      </w:r>
    </w:p>
    <w:p w14:paraId="4F3B4522">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若乙方不能及时提供本合同约定的合格发票，以及乙方变更收取报酬的银行账户信息未及时通知甲方所造成的延期支付报酬的后果和责任，均由乙方自行承担。</w:t>
      </w:r>
    </w:p>
    <w:p w14:paraId="17F444D6">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乙方运用甲方提供的技术、商业秘密等知识产权为他人开发、销售产品的，应向甲方支付本合同总金额的</w:t>
      </w:r>
      <w:r>
        <w:rPr>
          <w:rFonts w:hint="eastAsia" w:ascii="宋体" w:hAnsi="宋体" w:eastAsia="宋体" w:cs="宋体"/>
          <w:color w:val="auto"/>
          <w:sz w:val="24"/>
          <w:szCs w:val="24"/>
          <w:highlight w:val="none"/>
          <w:lang w:val="en-US" w:eastAsia="zh-CN"/>
        </w:rPr>
        <w:t>4</w:t>
      </w:r>
      <w:r>
        <w:rPr>
          <w:rFonts w:hint="eastAsia" w:ascii="宋体" w:hAnsi="宋体" w:eastAsia="宋体" w:cs="宋体"/>
          <w:color w:val="auto"/>
          <w:sz w:val="24"/>
          <w:szCs w:val="24"/>
          <w:highlight w:val="none"/>
        </w:rPr>
        <w:t>0%的违约金，如违约金不足补偿损失的，还应赔偿损失。</w:t>
      </w:r>
    </w:p>
    <w:p w14:paraId="12702D3E">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乙方因上述13.2、13.3、13.5、13.7项违约行为给甲方造成严重损失的，甲方有权解除本合同，且不承担任何违约责任。</w:t>
      </w:r>
    </w:p>
    <w:p w14:paraId="50B8CB98">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58" w:name="_Toc108777004"/>
      <w:bookmarkStart w:id="59" w:name="_Toc27440"/>
      <w:bookmarkStart w:id="60" w:name="_Toc15120"/>
      <w:bookmarkStart w:id="61" w:name="_Toc32448"/>
      <w:r>
        <w:rPr>
          <w:rFonts w:hint="eastAsia" w:ascii="宋体" w:hAnsi="宋体" w:eastAsia="宋体" w:cs="宋体"/>
          <w:b/>
          <w:bCs/>
          <w:color w:val="auto"/>
          <w:sz w:val="28"/>
          <w:szCs w:val="28"/>
          <w:highlight w:val="none"/>
        </w:rPr>
        <w:t>争议解决</w:t>
      </w:r>
      <w:bookmarkEnd w:id="58"/>
      <w:bookmarkEnd w:id="59"/>
      <w:bookmarkEnd w:id="60"/>
      <w:bookmarkEnd w:id="61"/>
    </w:p>
    <w:p w14:paraId="5C886681">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40793C0F">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本合同的订立、效力、解释、履行和争议的解决受中华人民共和国法律管辖。</w:t>
      </w:r>
    </w:p>
    <w:p w14:paraId="77B6BAA3">
      <w:pPr>
        <w:keepNext w:val="0"/>
        <w:keepLines w:val="0"/>
        <w:pageBreakBefore w:val="0"/>
        <w:widowControl w:val="0"/>
        <w:numPr>
          <w:ilvl w:val="1"/>
          <w:numId w:val="7"/>
        </w:numPr>
        <w:kinsoku/>
        <w:wordWrap/>
        <w:overflowPunct/>
        <w:topLinePunct w:val="0"/>
        <w:autoSpaceDE/>
        <w:autoSpaceDN/>
        <w:bidi w:val="0"/>
        <w:adjustRightInd w:val="0"/>
        <w:snapToGrid/>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在执行本合同条款过程中如发生纠纷，双方应友好协商、调解解决。如果协商不能解决，双方同意因本合同引起的或与本合同有关的任何争议，均提请</w:t>
      </w:r>
      <w:r>
        <w:rPr>
          <w:rFonts w:hint="eastAsia" w:ascii="宋体" w:hAnsi="宋体" w:eastAsia="宋体" w:cs="宋体"/>
          <w:color w:val="auto"/>
          <w:sz w:val="24"/>
          <w:szCs w:val="24"/>
          <w:highlight w:val="none"/>
          <w:lang w:val="en-US" w:eastAsia="zh-CN"/>
        </w:rPr>
        <w:t>甲方所在地</w:t>
      </w:r>
      <w:r>
        <w:rPr>
          <w:rFonts w:hint="eastAsia" w:ascii="宋体" w:hAnsi="宋体" w:eastAsia="宋体" w:cs="宋体"/>
          <w:color w:val="auto"/>
          <w:sz w:val="24"/>
          <w:szCs w:val="24"/>
          <w:highlight w:val="none"/>
        </w:rPr>
        <w:t>人民法院诉讼解决。</w:t>
      </w:r>
    </w:p>
    <w:p w14:paraId="4E25C07C">
      <w:pPr>
        <w:numPr>
          <w:ilvl w:val="0"/>
          <w:numId w:val="3"/>
        </w:numPr>
        <w:tabs>
          <w:tab w:val="left" w:pos="993"/>
        </w:tabs>
        <w:adjustRightInd w:val="0"/>
        <w:spacing w:after="0" w:line="360" w:lineRule="auto"/>
        <w:outlineLvl w:val="0"/>
        <w:rPr>
          <w:rFonts w:hint="eastAsia" w:ascii="宋体" w:hAnsi="宋体" w:eastAsia="宋体" w:cs="宋体"/>
          <w:b/>
          <w:bCs/>
          <w:color w:val="auto"/>
          <w:sz w:val="28"/>
          <w:szCs w:val="28"/>
          <w:highlight w:val="none"/>
        </w:rPr>
      </w:pPr>
      <w:bookmarkStart w:id="62" w:name="_Toc108777006"/>
      <w:bookmarkStart w:id="63" w:name="_Toc29846"/>
      <w:bookmarkStart w:id="64" w:name="_Toc28321"/>
      <w:bookmarkStart w:id="65" w:name="_Toc2695"/>
      <w:r>
        <w:rPr>
          <w:rFonts w:hint="eastAsia" w:ascii="宋体" w:hAnsi="宋体" w:eastAsia="宋体" w:cs="宋体"/>
          <w:b/>
          <w:bCs/>
          <w:color w:val="auto"/>
          <w:sz w:val="28"/>
          <w:szCs w:val="28"/>
          <w:highlight w:val="none"/>
        </w:rPr>
        <w:t>其它</w:t>
      </w:r>
      <w:bookmarkEnd w:id="62"/>
      <w:bookmarkEnd w:id="63"/>
      <w:bookmarkEnd w:id="64"/>
      <w:bookmarkEnd w:id="65"/>
    </w:p>
    <w:p w14:paraId="2E736A6D">
      <w:pPr>
        <w:numPr>
          <w:ilvl w:val="0"/>
          <w:numId w:val="7"/>
        </w:numPr>
        <w:adjustRightInd w:val="0"/>
        <w:spacing w:line="360" w:lineRule="auto"/>
        <w:ind w:firstLine="420"/>
        <w:rPr>
          <w:rFonts w:hint="eastAsia" w:ascii="宋体" w:hAnsi="宋体" w:eastAsia="宋体" w:cs="宋体"/>
          <w:vanish/>
          <w:color w:val="auto"/>
          <w:sz w:val="24"/>
          <w:szCs w:val="24"/>
          <w:highlight w:val="none"/>
        </w:rPr>
      </w:pPr>
    </w:p>
    <w:p w14:paraId="1BEED340">
      <w:pPr>
        <w:keepNext w:val="0"/>
        <w:keepLines w:val="0"/>
        <w:pageBreakBefore w:val="0"/>
        <w:widowControl w:val="0"/>
        <w:numPr>
          <w:ilvl w:val="1"/>
          <w:numId w:val="7"/>
        </w:numPr>
        <w:kinsoku/>
        <w:wordWrap/>
        <w:overflowPunct/>
        <w:topLinePunct w:val="0"/>
        <w:autoSpaceDE/>
        <w:autoSpaceDN/>
        <w:bidi w:val="0"/>
        <w:adjustRightInd w:val="0"/>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本合同一式</w:t>
      </w:r>
      <w:r>
        <w:rPr>
          <w:rFonts w:hint="eastAsia" w:ascii="宋体" w:hAnsi="宋体" w:eastAsia="宋体" w:cs="宋体"/>
          <w:color w:val="auto"/>
          <w:sz w:val="24"/>
          <w:szCs w:val="24"/>
          <w:highlight w:val="none"/>
          <w:u w:val="single"/>
        </w:rPr>
        <w:t>肆</w:t>
      </w:r>
      <w:r>
        <w:rPr>
          <w:rFonts w:hint="eastAsia" w:ascii="宋体" w:hAnsi="宋体" w:eastAsia="宋体" w:cs="宋体"/>
          <w:color w:val="auto"/>
          <w:sz w:val="24"/>
          <w:szCs w:val="24"/>
          <w:highlight w:val="none"/>
        </w:rPr>
        <w:t>份，自双方法定代表人或委托代理人签字并加盖公司公章之日起生效。双方各持</w:t>
      </w:r>
      <w:r>
        <w:rPr>
          <w:rFonts w:hint="eastAsia" w:ascii="宋体" w:hAnsi="宋体" w:eastAsia="宋体" w:cs="宋体"/>
          <w:color w:val="auto"/>
          <w:sz w:val="24"/>
          <w:szCs w:val="24"/>
          <w:highlight w:val="none"/>
          <w:u w:val="single"/>
        </w:rPr>
        <w:t>贰</w:t>
      </w:r>
      <w:r>
        <w:rPr>
          <w:rFonts w:hint="eastAsia" w:ascii="宋体" w:hAnsi="宋体" w:eastAsia="宋体" w:cs="宋体"/>
          <w:color w:val="auto"/>
          <w:sz w:val="24"/>
          <w:szCs w:val="24"/>
          <w:highlight w:val="none"/>
        </w:rPr>
        <w:t>份，每份合同均具有同等法律效力。</w:t>
      </w:r>
    </w:p>
    <w:p w14:paraId="4F780702">
      <w:pPr>
        <w:keepNext w:val="0"/>
        <w:keepLines w:val="0"/>
        <w:pageBreakBefore w:val="0"/>
        <w:widowControl w:val="0"/>
        <w:numPr>
          <w:ilvl w:val="1"/>
          <w:numId w:val="7"/>
        </w:numPr>
        <w:kinsoku/>
        <w:wordWrap/>
        <w:overflowPunct/>
        <w:topLinePunct w:val="0"/>
        <w:autoSpaceDE/>
        <w:autoSpaceDN/>
        <w:bidi w:val="0"/>
        <w:adjustRightInd w:val="0"/>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下列为与履行本合同有关的附件，经双方以书面方式确认后，为本合同的组成部分，合同附件与本合同具有同等法律效力：</w:t>
      </w:r>
    </w:p>
    <w:p w14:paraId="7F2EA482">
      <w:pPr>
        <w:keepNext w:val="0"/>
        <w:keepLines w:val="0"/>
        <w:pageBreakBefore w:val="0"/>
        <w:widowControl w:val="0"/>
        <w:numPr>
          <w:ilvl w:val="255"/>
          <w:numId w:val="0"/>
        </w:numPr>
        <w:kinsoku/>
        <w:wordWrap/>
        <w:overflowPunct/>
        <w:topLinePunct w:val="0"/>
        <w:autoSpaceDE/>
        <w:autoSpaceDN/>
        <w:bidi w:val="0"/>
        <w:adjustRightInd w:val="0"/>
        <w:snapToGrid w:val="0"/>
        <w:spacing w:after="0" w:line="360" w:lineRule="auto"/>
        <w:ind w:left="420" w:leftChars="20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附件一</w:t>
      </w:r>
      <w:r>
        <w:rPr>
          <w:rFonts w:hint="eastAsia" w:ascii="宋体" w:hAnsi="宋体" w:eastAsia="宋体" w:cs="宋体"/>
          <w:color w:val="auto"/>
          <w:sz w:val="24"/>
          <w:szCs w:val="24"/>
          <w:highlight w:val="none"/>
        </w:rPr>
        <w:t>《工作说明书》</w:t>
      </w:r>
    </w:p>
    <w:p w14:paraId="60BB5398">
      <w:pPr>
        <w:keepNext w:val="0"/>
        <w:keepLines w:val="0"/>
        <w:pageBreakBefore w:val="0"/>
        <w:widowControl w:val="0"/>
        <w:numPr>
          <w:ilvl w:val="255"/>
          <w:numId w:val="0"/>
        </w:numPr>
        <w:kinsoku/>
        <w:wordWrap/>
        <w:overflowPunct/>
        <w:topLinePunct w:val="0"/>
        <w:autoSpaceDE/>
        <w:autoSpaceDN/>
        <w:bidi w:val="0"/>
        <w:adjustRightInd w:val="0"/>
        <w:snapToGrid w:val="0"/>
        <w:spacing w:after="0" w:line="360" w:lineRule="auto"/>
        <w:ind w:left="420" w:leftChars="20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附件二</w:t>
      </w:r>
      <w:r>
        <w:rPr>
          <w:rFonts w:hint="eastAsia" w:ascii="宋体" w:hAnsi="宋体" w:eastAsia="宋体" w:cs="宋体"/>
          <w:color w:val="auto"/>
          <w:sz w:val="24"/>
          <w:szCs w:val="24"/>
          <w:highlight w:val="none"/>
        </w:rPr>
        <w:t>《需求变更申请书》</w:t>
      </w:r>
    </w:p>
    <w:p w14:paraId="3BABAA4F">
      <w:pPr>
        <w:keepNext w:val="0"/>
        <w:keepLines w:val="0"/>
        <w:pageBreakBefore w:val="0"/>
        <w:widowControl w:val="0"/>
        <w:numPr>
          <w:ilvl w:val="255"/>
          <w:numId w:val="0"/>
        </w:numPr>
        <w:kinsoku/>
        <w:wordWrap/>
        <w:overflowPunct/>
        <w:topLinePunct w:val="0"/>
        <w:autoSpaceDE/>
        <w:autoSpaceDN/>
        <w:bidi w:val="0"/>
        <w:adjustRightInd w:val="0"/>
        <w:snapToGrid w:val="0"/>
        <w:spacing w:after="0" w:line="360" w:lineRule="auto"/>
        <w:ind w:left="420" w:leftChars="20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附件三</w:t>
      </w:r>
      <w:r>
        <w:rPr>
          <w:rFonts w:hint="eastAsia" w:ascii="宋体" w:hAnsi="宋体" w:eastAsia="宋体" w:cs="宋体"/>
          <w:color w:val="auto"/>
          <w:sz w:val="24"/>
          <w:szCs w:val="24"/>
          <w:highlight w:val="none"/>
        </w:rPr>
        <w:t>《交付物及培训》</w:t>
      </w:r>
    </w:p>
    <w:p w14:paraId="74046339">
      <w:pPr>
        <w:keepNext w:val="0"/>
        <w:keepLines w:val="0"/>
        <w:pageBreakBefore w:val="0"/>
        <w:widowControl w:val="0"/>
        <w:numPr>
          <w:ilvl w:val="255"/>
          <w:numId w:val="0"/>
        </w:numPr>
        <w:kinsoku/>
        <w:wordWrap/>
        <w:overflowPunct/>
        <w:topLinePunct w:val="0"/>
        <w:autoSpaceDE/>
        <w:autoSpaceDN/>
        <w:bidi w:val="0"/>
        <w:adjustRightInd w:val="0"/>
        <w:snapToGrid w:val="0"/>
        <w:spacing w:after="0" w:line="360" w:lineRule="auto"/>
        <w:ind w:left="420" w:leftChars="20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附件四</w:t>
      </w:r>
      <w:r>
        <w:rPr>
          <w:rFonts w:hint="eastAsia" w:ascii="宋体" w:hAnsi="宋体" w:eastAsia="宋体" w:cs="宋体"/>
          <w:color w:val="auto"/>
          <w:sz w:val="24"/>
          <w:szCs w:val="24"/>
          <w:highlight w:val="none"/>
        </w:rPr>
        <w:t>《项目阶段确认和验收》</w:t>
      </w:r>
    </w:p>
    <w:p w14:paraId="79CCC42F">
      <w:pPr>
        <w:keepNext w:val="0"/>
        <w:keepLines w:val="0"/>
        <w:pageBreakBefore w:val="0"/>
        <w:widowControl w:val="0"/>
        <w:numPr>
          <w:ilvl w:val="255"/>
          <w:numId w:val="0"/>
        </w:numPr>
        <w:kinsoku/>
        <w:wordWrap/>
        <w:overflowPunct/>
        <w:topLinePunct w:val="0"/>
        <w:autoSpaceDE/>
        <w:autoSpaceDN/>
        <w:bidi w:val="0"/>
        <w:adjustRightInd w:val="0"/>
        <w:snapToGrid w:val="0"/>
        <w:spacing w:after="0" w:line="360" w:lineRule="auto"/>
        <w:ind w:left="420" w:leftChars="20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eastAsia="zh-CN"/>
        </w:rPr>
        <w:t>附件五</w:t>
      </w:r>
      <w:r>
        <w:rPr>
          <w:rFonts w:hint="eastAsia" w:ascii="宋体" w:hAnsi="宋体" w:eastAsia="宋体" w:cs="宋体"/>
          <w:color w:val="auto"/>
          <w:sz w:val="24"/>
          <w:szCs w:val="24"/>
          <w:highlight w:val="none"/>
        </w:rPr>
        <w:t>《分项报价表》</w:t>
      </w:r>
    </w:p>
    <w:p w14:paraId="78574F2D">
      <w:pPr>
        <w:keepNext w:val="0"/>
        <w:keepLines w:val="0"/>
        <w:pageBreakBefore w:val="0"/>
        <w:widowControl w:val="0"/>
        <w:numPr>
          <w:ilvl w:val="1"/>
          <w:numId w:val="7"/>
        </w:numPr>
        <w:kinsoku/>
        <w:wordWrap/>
        <w:overflowPunct/>
        <w:topLinePunct w:val="0"/>
        <w:autoSpaceDE/>
        <w:autoSpaceDN/>
        <w:bidi w:val="0"/>
        <w:adjustRightInd w:val="0"/>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本合同未尽事宜，双方可协商签订补充协议，补充协议与本合同具有同等法律效力。</w:t>
      </w:r>
    </w:p>
    <w:p w14:paraId="6683F34D">
      <w:pPr>
        <w:keepNext w:val="0"/>
        <w:keepLines w:val="0"/>
        <w:pageBreakBefore w:val="0"/>
        <w:widowControl w:val="0"/>
        <w:numPr>
          <w:ilvl w:val="1"/>
          <w:numId w:val="7"/>
        </w:numPr>
        <w:kinsoku/>
        <w:wordWrap/>
        <w:overflowPunct/>
        <w:topLinePunct w:val="0"/>
        <w:autoSpaceDE/>
        <w:autoSpaceDN/>
        <w:bidi w:val="0"/>
        <w:adjustRightInd w:val="0"/>
        <w:spacing w:after="0" w:line="360" w:lineRule="auto"/>
        <w:ind w:left="0"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本合同适用中华人民共和国法律法规。</w:t>
      </w:r>
    </w:p>
    <w:p w14:paraId="3CC91D92">
      <w:pPr>
        <w:widowControl/>
        <w:spacing w:after="0" w:line="240" w:lineRule="auto"/>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[以下无正文]</w:t>
      </w:r>
    </w:p>
    <w:p w14:paraId="30696498">
      <w:pPr>
        <w:widowControl/>
        <w:spacing w:after="0" w:line="240" w:lineRule="auto"/>
        <w:jc w:val="left"/>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br w:type="page"/>
      </w:r>
    </w:p>
    <w:p w14:paraId="59767BC0">
      <w:pPr>
        <w:spacing w:after="0" w:line="360" w:lineRule="auto"/>
        <w:jc w:val="left"/>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w:t>
      </w:r>
      <w:r>
        <w:rPr>
          <w:rFonts w:hint="eastAsia" w:ascii="宋体" w:hAnsi="宋体" w:eastAsia="宋体" w:cs="宋体"/>
          <w:color w:val="auto"/>
          <w:sz w:val="24"/>
          <w:szCs w:val="24"/>
          <w:highlight w:val="none"/>
        </w:rPr>
        <w:t>本页及以下无正文，为《技术开发合同》的签署页和附件部分</w:t>
      </w:r>
      <w:r>
        <w:rPr>
          <w:rFonts w:hint="eastAsia" w:ascii="宋体" w:hAnsi="宋体" w:eastAsia="宋体" w:cs="宋体"/>
          <w:b/>
          <w:bCs/>
          <w:color w:val="auto"/>
          <w:sz w:val="24"/>
          <w:szCs w:val="24"/>
          <w:highlight w:val="none"/>
        </w:rPr>
        <w:t>）</w:t>
      </w:r>
    </w:p>
    <w:p w14:paraId="25932899">
      <w:pPr>
        <w:spacing w:after="0" w:line="480" w:lineRule="auto"/>
        <w:ind w:left="420" w:leftChars="200"/>
        <w:jc w:val="left"/>
        <w:rPr>
          <w:rFonts w:hint="eastAsia" w:ascii="宋体" w:hAnsi="宋体" w:eastAsia="宋体" w:cs="宋体"/>
          <w:color w:val="auto"/>
          <w:sz w:val="24"/>
          <w:szCs w:val="24"/>
          <w:highlight w:val="none"/>
        </w:rPr>
      </w:pPr>
    </w:p>
    <w:p w14:paraId="27C1A493">
      <w:pPr>
        <w:spacing w:after="0" w:line="360" w:lineRule="auto"/>
        <w:ind w:firstLine="58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甲方（盖章）：</w:t>
      </w:r>
    </w:p>
    <w:p w14:paraId="10D1D0A3">
      <w:pPr>
        <w:spacing w:after="120"/>
        <w:ind w:firstLine="580"/>
        <w:rPr>
          <w:rFonts w:hint="eastAsia" w:ascii="宋体" w:hAnsi="宋体" w:eastAsia="宋体" w:cs="宋体"/>
          <w:color w:val="auto"/>
          <w:sz w:val="24"/>
          <w:szCs w:val="24"/>
          <w:highlight w:val="none"/>
        </w:rPr>
      </w:pPr>
    </w:p>
    <w:p w14:paraId="561420C6">
      <w:pPr>
        <w:spacing w:after="0" w:line="360" w:lineRule="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法定代表人/委托代理人（签字）：</w:t>
      </w:r>
    </w:p>
    <w:p w14:paraId="5AE89CFE">
      <w:pPr>
        <w:spacing w:after="0" w:line="360" w:lineRule="auto"/>
        <w:rPr>
          <w:rFonts w:hint="eastAsia" w:ascii="宋体" w:hAnsi="宋体" w:eastAsia="宋体" w:cs="宋体"/>
          <w:color w:val="auto"/>
          <w:sz w:val="24"/>
          <w:szCs w:val="24"/>
          <w:highlight w:val="none"/>
        </w:rPr>
      </w:pPr>
      <w:r>
        <w:rPr>
          <w:rFonts w:hint="eastAsia" w:ascii="宋体" w:hAnsi="宋体" w:cs="宋体"/>
          <w:color w:val="auto"/>
          <w:sz w:val="24"/>
          <w:szCs w:val="24"/>
          <w:highlight w:val="none"/>
          <w:lang w:val="en-US" w:eastAsia="zh-CN"/>
        </w:rPr>
        <w:t>2026</w:t>
      </w:r>
      <w:r>
        <w:rPr>
          <w:rFonts w:hint="eastAsia" w:ascii="宋体" w:hAnsi="宋体" w:eastAsia="宋体" w:cs="宋体"/>
          <w:color w:val="auto"/>
          <w:sz w:val="24"/>
          <w:szCs w:val="24"/>
          <w:highlight w:val="none"/>
        </w:rPr>
        <w:t>年</w:t>
      </w:r>
      <w:r>
        <w:rPr>
          <w:rFonts w:hint="eastAsia" w:ascii="宋体" w:hAnsi="宋体" w:cs="宋体"/>
          <w:color w:val="auto"/>
          <w:sz w:val="24"/>
          <w:szCs w:val="24"/>
          <w:highlight w:val="none"/>
          <w:lang w:val="en-US" w:eastAsia="zh-CN"/>
        </w:rPr>
        <w:t>09</w:t>
      </w:r>
      <w:r>
        <w:rPr>
          <w:rFonts w:hint="eastAsia" w:ascii="宋体" w:hAnsi="宋体" w:eastAsia="宋体" w:cs="宋体"/>
          <w:color w:val="auto"/>
          <w:sz w:val="24"/>
          <w:szCs w:val="24"/>
          <w:highlight w:val="none"/>
        </w:rPr>
        <w:t>月</w:t>
      </w:r>
      <w:r>
        <w:rPr>
          <w:rFonts w:hint="eastAsia" w:ascii="宋体" w:hAnsi="宋体" w:cs="宋体"/>
          <w:color w:val="auto"/>
          <w:sz w:val="24"/>
          <w:szCs w:val="24"/>
          <w:highlight w:val="none"/>
          <w:lang w:val="en-US" w:eastAsia="zh-CN"/>
        </w:rPr>
        <w:t>24</w:t>
      </w:r>
      <w:bookmarkStart w:id="173" w:name="_GoBack"/>
      <w:bookmarkEnd w:id="173"/>
      <w:r>
        <w:rPr>
          <w:rFonts w:hint="eastAsia" w:ascii="宋体" w:hAnsi="宋体" w:eastAsia="宋体" w:cs="宋体"/>
          <w:color w:val="auto"/>
          <w:sz w:val="24"/>
          <w:szCs w:val="24"/>
          <w:highlight w:val="none"/>
        </w:rPr>
        <w:t>日</w:t>
      </w:r>
    </w:p>
    <w:p w14:paraId="3AC9AB5C">
      <w:pPr>
        <w:spacing w:after="0" w:line="360" w:lineRule="auto"/>
        <w:rPr>
          <w:rFonts w:hint="eastAsia" w:ascii="宋体" w:hAnsi="宋体" w:eastAsia="宋体" w:cs="宋体"/>
          <w:color w:val="auto"/>
          <w:sz w:val="24"/>
          <w:szCs w:val="24"/>
          <w:highlight w:val="none"/>
        </w:rPr>
      </w:pPr>
    </w:p>
    <w:p w14:paraId="54058DB4">
      <w:pPr>
        <w:spacing w:after="0" w:line="360" w:lineRule="auto"/>
        <w:ind w:firstLine="560"/>
        <w:rPr>
          <w:rFonts w:hint="eastAsia" w:ascii="宋体" w:hAnsi="宋体" w:eastAsia="宋体" w:cs="宋体"/>
          <w:color w:val="auto"/>
          <w:sz w:val="24"/>
          <w:szCs w:val="24"/>
          <w:highlight w:val="none"/>
          <w:u w:val="single"/>
          <w:lang w:eastAsia="zh-CN"/>
        </w:rPr>
      </w:pPr>
      <w:r>
        <w:rPr>
          <w:rFonts w:hint="eastAsia" w:ascii="宋体" w:hAnsi="宋体" w:eastAsia="宋体" w:cs="宋体"/>
          <w:color w:val="auto"/>
          <w:sz w:val="24"/>
          <w:szCs w:val="24"/>
          <w:highlight w:val="none"/>
        </w:rPr>
        <w:t>乙方（盖章）：</w:t>
      </w:r>
    </w:p>
    <w:p w14:paraId="10001C8D">
      <w:pPr>
        <w:spacing w:after="0" w:line="360" w:lineRule="auto" w:before="0"/>
        <w:ind w:firstLine="560"/>
        <w:jc w:val="left"/>
        <w:rPr>
          <w:rFonts w:hint="eastAsia" w:ascii="宋体" w:hAnsi="宋体" w:eastAsia="宋体" w:cs="宋体"/>
          <w:color w:val="auto"/>
          <w:sz w:val="24"/>
          <w:szCs w:val="24"/>
          <w:highlight w:val="none"/>
          <w:lang w:eastAsia="zh-CN"/>
        </w:rPr>
      </w:pPr>
      <w:r>
        <w:drawing>
          <wp:inline xmlns:a="http://schemas.openxmlformats.org/drawingml/2006/main" xmlns:pic="http://schemas.openxmlformats.org/drawingml/2006/picture">
            <wp:extent cx="1417320" cy="1273292"/>
            <wp:docPr id="4" name="Picture 4"/>
            <wp:cNvGraphicFramePr>
              <a:graphicFrameLocks noChangeAspect="1"/>
            </wp:cNvGraphicFramePr>
            <a:graphic>
              <a:graphicData uri="http://schemas.openxmlformats.org/drawingml/2006/picture">
                <pic:pic>
                  <pic:nvPicPr>
                    <pic:cNvPr id="0" name="stamp_final.png"/>
                    <pic:cNvPicPr/>
                  </pic:nvPicPr>
                  <pic:blipFill>
                    <a:blip r:embed="rId14"/>
                    <a:stretch>
                      <a:fillRect/>
                    </a:stretch>
                  </pic:blipFill>
                  <pic:spPr>
                    <a:xfrm>
                      <a:off x="0" y="0"/>
                      <a:ext cx="1417320" cy="1273292"/>
                    </a:xfrm>
                    <a:prstGeom prst="rect"/>
                  </pic:spPr>
                </pic:pic>
              </a:graphicData>
            </a:graphic>
          </wp:inline>
        </w:drawing>
      </w:r>
    </w:p>
    <w:p w14:paraId="52E6E09B">
      <w:pPr>
        <w:spacing w:after="0" w:line="360" w:lineRule="auto" w:before="0"/>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法定代表人/委托代理人（签字）：</w:t>
      </w:r>
      <w:r>
        <w:t xml:space="preserve">  </w:t>
        <w:drawing>
          <wp:inline xmlns:a="http://schemas.openxmlformats.org/drawingml/2006/main" xmlns:pic="http://schemas.openxmlformats.org/drawingml/2006/picture">
            <wp:extent cx="1325880" cy="463171"/>
            <wp:docPr id="5" name="Picture 5"/>
            <wp:cNvGraphicFramePr>
              <a:graphicFrameLocks noChangeAspect="1"/>
            </wp:cNvGraphicFramePr>
            <a:graphic>
              <a:graphicData uri="http://schemas.openxmlformats.org/drawingml/2006/picture">
                <pic:pic>
                  <pic:nvPicPr>
                    <pic:cNvPr id="0" name="signature_final.png"/>
                    <pic:cNvPicPr/>
                  </pic:nvPicPr>
                  <pic:blipFill>
                    <a:blip r:embed="rId15"/>
                    <a:stretch>
                      <a:fillRect/>
                    </a:stretch>
                  </pic:blipFill>
                  <pic:spPr>
                    <a:xfrm>
                      <a:off x="0" y="0"/>
                      <a:ext cx="1325880" cy="463171"/>
                    </a:xfrm>
                    <a:prstGeom prst="rect"/>
                  </pic:spPr>
                </pic:pic>
              </a:graphicData>
            </a:graphic>
          </wp:inline>
        </w:drawing>
      </w:r>
    </w:p>
    <w:p w14:paraId="076C2E6C">
      <w:pPr>
        <w:spacing w:after="0" w:line="360" w:lineRule="auto"/>
        <w:rPr>
          <w:rFonts w:hint="eastAsia" w:ascii="宋体" w:hAnsi="宋体" w:eastAsia="宋体" w:cs="宋体"/>
          <w:color w:val="auto"/>
          <w:sz w:val="24"/>
          <w:szCs w:val="24"/>
          <w:highlight w:val="none"/>
        </w:rPr>
      </w:pPr>
      <w:r>
        <w:t>2026年09月24日</w:t>
      </w:r>
    </w:p>
    <w:p w14:paraId="542636AD">
      <w:pPr>
        <w:widowControl/>
        <w:spacing w:after="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br w:type="page"/>
      </w:r>
    </w:p>
    <w:p w14:paraId="1F6D3549">
      <w:pPr>
        <w:numPr>
          <w:ilvl w:val="255"/>
          <w:numId w:val="0"/>
        </w:numPr>
        <w:adjustRightInd w:val="0"/>
        <w:snapToGrid w:val="0"/>
        <w:spacing w:after="160" w:line="360" w:lineRule="auto"/>
        <w:ind w:left="0"/>
        <w:jc w:val="left"/>
        <w:outlineLvl w:val="1"/>
        <w:rPr>
          <w:rFonts w:hint="eastAsia" w:ascii="宋体" w:hAnsi="宋体" w:eastAsia="宋体" w:cs="宋体"/>
          <w:b/>
          <w:bCs/>
          <w:color w:val="auto"/>
          <w:sz w:val="24"/>
          <w:szCs w:val="24"/>
          <w:highlight w:val="none"/>
          <w:lang w:eastAsia="zh-CN"/>
        </w:rPr>
      </w:pPr>
      <w:bookmarkStart w:id="66" w:name="_Toc19596"/>
      <w:bookmarkStart w:id="67" w:name="_Toc6277"/>
      <w:r>
        <w:rPr>
          <w:rFonts w:hint="eastAsia" w:ascii="宋体" w:hAnsi="宋体" w:eastAsia="宋体" w:cs="宋体"/>
          <w:b/>
          <w:bCs/>
          <w:color w:val="auto"/>
          <w:sz w:val="24"/>
          <w:szCs w:val="24"/>
          <w:highlight w:val="none"/>
          <w:lang w:eastAsia="zh-CN"/>
        </w:rPr>
        <w:t>附件一</w:t>
      </w:r>
      <w:r>
        <w:rPr>
          <w:rFonts w:hint="eastAsia" w:ascii="宋体" w:hAnsi="宋体" w:eastAsia="宋体" w:cs="宋体"/>
          <w:b/>
          <w:bCs/>
          <w:color w:val="auto"/>
          <w:sz w:val="24"/>
          <w:szCs w:val="24"/>
          <w:highlight w:val="none"/>
        </w:rPr>
        <w:t>《工作说明书》</w:t>
      </w:r>
      <w:bookmarkEnd w:id="66"/>
      <w:bookmarkEnd w:id="67"/>
    </w:p>
    <w:p w14:paraId="23579B68">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ascii="宋体" w:hAnsi="宋体" w:eastAsia="宋体" w:cs="宋体"/>
          <w:b/>
          <w:bCs/>
          <w:color w:val="auto"/>
          <w:sz w:val="24"/>
          <w:szCs w:val="24"/>
          <w:highlight w:val="none"/>
          <w:lang w:eastAsia="zh"/>
        </w:rPr>
      </w:pPr>
      <w:r>
        <w:rPr>
          <w:rFonts w:hint="eastAsia" w:ascii="宋体" w:hAnsi="宋体" w:eastAsia="宋体" w:cs="宋体"/>
          <w:b/>
          <w:bCs/>
          <w:color w:val="auto"/>
          <w:sz w:val="24"/>
          <w:szCs w:val="24"/>
          <w:highlight w:val="none"/>
          <w:lang w:eastAsia="zh"/>
        </w:rPr>
        <w:t>M</w:t>
      </w:r>
      <w:r>
        <w:rPr>
          <w:rFonts w:hint="eastAsia" w:ascii="宋体" w:hAnsi="宋体" w:eastAsia="宋体" w:cs="宋体"/>
          <w:b/>
          <w:bCs/>
          <w:color w:val="auto"/>
          <w:sz w:val="24"/>
          <w:szCs w:val="24"/>
          <w:highlight w:val="none"/>
          <w:lang w:val="en-US" w:eastAsia="zh-CN"/>
        </w:rPr>
        <w:t>O</w:t>
      </w:r>
      <w:r>
        <w:rPr>
          <w:rFonts w:hint="eastAsia" w:ascii="宋体" w:hAnsi="宋体" w:eastAsia="宋体" w:cs="宋体"/>
          <w:b/>
          <w:bCs/>
          <w:color w:val="auto"/>
          <w:sz w:val="24"/>
          <w:szCs w:val="24"/>
          <w:highlight w:val="none"/>
          <w:lang w:eastAsia="zh"/>
        </w:rPr>
        <w:t>P基础网络代维平台开发项目</w:t>
      </w:r>
    </w:p>
    <w:p w14:paraId="6AEF496E">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工作说明书</w:t>
      </w:r>
    </w:p>
    <w:tbl>
      <w:tblPr>
        <w:tblStyle w:val="9"/>
        <w:tblW w:w="5000" w:type="pct"/>
        <w:tblInd w:w="0" w:type="dxa"/>
        <w:tblLayout w:type="autofit"/>
        <w:tblCellMar>
          <w:top w:w="0" w:type="dxa"/>
          <w:left w:w="108" w:type="dxa"/>
          <w:bottom w:w="0" w:type="dxa"/>
          <w:right w:w="108" w:type="dxa"/>
        </w:tblCellMar>
      </w:tblPr>
      <w:tblGrid>
        <w:gridCol w:w="696"/>
        <w:gridCol w:w="919"/>
        <w:gridCol w:w="7027"/>
      </w:tblGrid>
      <w:tr w14:paraId="07193957">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shd w:val="clear" w:color="auto" w:fill="F5F7FA"/>
            <w:tcMar>
              <w:top w:w="108" w:type="dxa"/>
              <w:left w:w="168" w:type="dxa"/>
              <w:bottom w:w="108" w:type="dxa"/>
              <w:right w:w="168" w:type="dxa"/>
            </w:tcMar>
            <w:vAlign w:val="center"/>
          </w:tcPr>
          <w:p w14:paraId="3C26722D">
            <w:pPr>
              <w:spacing w:before="60" w:after="60" w:line="240" w:lineRule="auto"/>
              <w:jc w:val="center"/>
              <w:rPr>
                <w:rFonts w:hint="eastAsia" w:ascii="宋体" w:hAnsi="宋体" w:eastAsia="宋体" w:cs="宋体"/>
                <w:color w:val="auto"/>
                <w:sz w:val="24"/>
                <w:szCs w:val="24"/>
                <w:highlight w:val="none"/>
              </w:rPr>
            </w:pPr>
            <w:r>
              <w:rPr>
                <w:rFonts w:hint="eastAsia" w:ascii="宋体" w:hAnsi="宋体" w:eastAsia="宋体" w:cs="宋体"/>
                <w:b/>
                <w:color w:val="auto"/>
                <w:sz w:val="24"/>
                <w:szCs w:val="24"/>
                <w:highlight w:val="none"/>
              </w:rPr>
              <w:t>序号</w:t>
            </w:r>
          </w:p>
        </w:tc>
        <w:tc>
          <w:tcPr>
            <w:tcW w:w="545" w:type="pct"/>
            <w:tcBorders>
              <w:top w:val="single" w:color="E0E0E0" w:sz="6" w:space="0"/>
              <w:left w:val="single" w:color="E0E0E0" w:sz="6" w:space="0"/>
              <w:bottom w:val="single" w:color="E0E0E0" w:sz="6" w:space="0"/>
              <w:right w:val="single" w:color="E0E0E0" w:sz="6" w:space="0"/>
            </w:tcBorders>
            <w:shd w:val="clear" w:color="auto" w:fill="F5F7FA"/>
            <w:tcMar>
              <w:top w:w="108" w:type="dxa"/>
              <w:left w:w="168" w:type="dxa"/>
              <w:bottom w:w="108" w:type="dxa"/>
              <w:right w:w="168" w:type="dxa"/>
            </w:tcMar>
            <w:vAlign w:val="center"/>
          </w:tcPr>
          <w:p w14:paraId="233976A5">
            <w:pPr>
              <w:spacing w:before="60" w:after="60" w:line="240" w:lineRule="auto"/>
              <w:jc w:val="center"/>
              <w:rPr>
                <w:rFonts w:hint="eastAsia" w:ascii="宋体" w:hAnsi="宋体" w:eastAsia="宋体" w:cs="宋体"/>
                <w:color w:val="auto"/>
                <w:sz w:val="24"/>
                <w:szCs w:val="24"/>
                <w:highlight w:val="none"/>
              </w:rPr>
            </w:pPr>
            <w:r>
              <w:rPr>
                <w:rFonts w:hint="eastAsia" w:ascii="宋体" w:hAnsi="宋体" w:eastAsia="宋体" w:cs="宋体"/>
                <w:b/>
                <w:color w:val="auto"/>
                <w:sz w:val="24"/>
                <w:szCs w:val="24"/>
                <w:highlight w:val="none"/>
              </w:rPr>
              <w:t>功能模块</w:t>
            </w:r>
          </w:p>
        </w:tc>
        <w:tc>
          <w:tcPr>
            <w:tcW w:w="4078" w:type="pct"/>
            <w:tcBorders>
              <w:top w:val="single" w:color="E0E0E0" w:sz="6" w:space="0"/>
              <w:left w:val="single" w:color="E0E0E0" w:sz="6" w:space="0"/>
              <w:bottom w:val="single" w:color="E0E0E0" w:sz="6" w:space="0"/>
              <w:right w:val="single" w:color="E0E0E0" w:sz="6" w:space="0"/>
            </w:tcBorders>
            <w:shd w:val="clear" w:color="auto" w:fill="F5F7FA"/>
            <w:tcMar>
              <w:top w:w="108" w:type="dxa"/>
              <w:left w:w="168" w:type="dxa"/>
              <w:bottom w:w="108" w:type="dxa"/>
              <w:right w:w="168" w:type="dxa"/>
            </w:tcMar>
            <w:vAlign w:val="center"/>
          </w:tcPr>
          <w:p w14:paraId="258BA6DA">
            <w:pPr>
              <w:spacing w:before="60" w:after="60" w:line="240" w:lineRule="auto"/>
              <w:jc w:val="center"/>
              <w:rPr>
                <w:rFonts w:hint="eastAsia" w:ascii="宋体" w:hAnsi="宋体" w:eastAsia="宋体" w:cs="宋体"/>
                <w:color w:val="auto"/>
                <w:sz w:val="24"/>
                <w:szCs w:val="24"/>
                <w:highlight w:val="none"/>
              </w:rPr>
            </w:pPr>
            <w:r>
              <w:rPr>
                <w:rFonts w:hint="eastAsia" w:ascii="宋体" w:hAnsi="宋体" w:eastAsia="宋体" w:cs="宋体"/>
                <w:b/>
                <w:color w:val="auto"/>
                <w:sz w:val="24"/>
                <w:szCs w:val="24"/>
                <w:highlight w:val="none"/>
              </w:rPr>
              <w:t>功能描述</w:t>
            </w:r>
          </w:p>
        </w:tc>
      </w:tr>
      <w:tr w14:paraId="41476296">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6D22E1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830D7C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M1首页门户</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D0F8F1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M1-1运营总览首页</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路径：首页→运营总览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1、6张KPI卡：①资产在线率—"未知"单独计数，与"正常"严格区分，不得合并；②当前问题—排除已抑制事件后，按灾难</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严重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一般</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警告</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信息5级分别计数；③本月服务可用率—统计本月1日至当前时刻，无样本时显示"未知"而非100%；④待处理工单—含"已超SLA"数量副标；⑤MTTA（近24小时）；⑥通知送达率（近24小时，区分受理与送达，低于95%转黄色告警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2、指标数据实时性≤5分钟；顶栏常驻"数据N秒前"新鲜度提示。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3、每张卡片可下钻到对应列表页（事件中心</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工单</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SLA报表），下钻时继承当前租户上下文。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验收：①断开一台设备的采集，1分钟内"未知"计数+1且"正常"计数-1；②6张卡片的数字与对应列表页统计结果一致；③卡片下钻后列表筛选条件正确。</w:t>
            </w:r>
          </w:p>
        </w:tc>
      </w:tr>
      <w:tr w14:paraId="262A87C7">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33C773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BF27BE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M1首页门户</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CA13C0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M1-2告警趋势图</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1、双序列折线图：原始事件数（灰）与归并后事件数（主色）叠加显示；右上角"降噪xx%"徽标。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2、时间范围可切换24小时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7天</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30天；24小时视图叠加事件标记（如"Proxy失联"）。</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3、漏斗口径：降噪率=（原始事件数−最终通知数）÷原始事件数；降噪链含指纹归并、依赖抑制、维护静默三层，每一层的数量均可查看。</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4、原始事件必须始终保留可查，不得因归并或抑制而删除。</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验收：①切换三个时间范围数据刷新正确；②降噪率与事件中心各层计数一致；③任意时间点可查看被归并的原始事件明细。</w:t>
            </w:r>
          </w:p>
        </w:tc>
      </w:tr>
      <w:tr w14:paraId="3A49A81D">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0A9949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62862A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M1首页门户</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0CBC1E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M1-3服务健康概览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1、服务卡字段：服务名称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可用率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目标X%</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不可用时长（无数据显示"接入中"）</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N个活动问题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N个关联资产。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2、配色规则：未达目标→红；无数据→灰（不得显示为达标）；存在灾难或严重活动问题→黄；其余→绿。</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3、图例固定三态：达标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未达标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未知。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验收：①构造无数据服务，卡片显示灰色"接入中"而非绿色达标；②目标值改为100%后，99.99%的服务显示红色未达标。</w:t>
            </w:r>
          </w:p>
        </w:tc>
      </w:tr>
      <w:tr w14:paraId="4D44E484">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AF98E0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F0429D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M1首页门户</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876527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M1-4故障时间线（近24小时）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1、按服务分行展示故障区间，事件条按严重级着色。</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2、"未知区间"用斜纹条单列展示，悬停提示"数据缺失·记为未知"。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3、支持"维护"样式的区间展示（区别于故障）。</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4、最多展示8行；时间轴刻度间隔6小时。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验收：①制造30分钟采集中断，时间线出现斜纹未知区间；②未知区间不参与可用率分子的可用时长计算。</w:t>
            </w:r>
          </w:p>
        </w:tc>
      </w:tr>
      <w:tr w14:paraId="193CAB80">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E270AE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FA6C0F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M1首页门户</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F4AC28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M1-5最近事件列表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1、取最近7条事件；列：级别</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问题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资产</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发生时间。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2、已抑制事件挂"已抑制"徽标；归并事件挂"×N"计数徽标。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3、点击进入事件详情页。</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验收：①触发一条被抑制的事件，列表中出现且挂"已抑制"徽标；②归并后显示"×N"且点击可见全部原始事件。</w:t>
            </w:r>
          </w:p>
        </w:tc>
      </w:tr>
      <w:tr w14:paraId="6A27F375">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A2F17E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4F8268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M1首页门户</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162217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M1-6待处理工单列表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1、取未关闭且未解决的前5条工单。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2、列：工单号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标题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SLA（超时显示红字，剩余显示灰字）。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验收：①造一条已超SLA工单，列表SLA列显示红色超时；②列表与工单列表页数据一致。</w:t>
            </w:r>
          </w:p>
        </w:tc>
      </w:tr>
      <w:tr w14:paraId="2EC026DF">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D5CD69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496AAD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M1首页门户</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648AE6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M1-7租户视图切换</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1、顶栏提供租户下拉切换；每次切换写入审计日志（action=tenant_switch）。</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2、仅MSP值班工程师与平台管理员可选择"全部租户"；客户观察者与客户管理员强制归一化到本租户，不提供切换入口。</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验收：①客户管理员账号登录后无租户切换控件；②切换租户后，后续所有请求只返回该租户数据，且审计日志有记录。</w:t>
            </w:r>
          </w:p>
        </w:tc>
      </w:tr>
      <w:tr w14:paraId="55C0974F">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DD54B5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EABC4B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M1首页门户</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484FF0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M1-8全局搜索与通知铃铛</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1、搜索：按"/"键聚焦输入框；结果分组且每组上限为资产5条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事件4条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工单3条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自动化脚本3条；仅搜索当前租户范围内的数据。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2、铃铛：展示未确认告警的前5条（条件为监控状态PROBLEM且处置状态为"新建"），点击跳转事件详情。</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验收：①跨租户关键词搜索返回"不存在或无权限"，不泄露其他租户对象；②铃铛数量与事件中心"新建"状态过滤结果一致。</w:t>
            </w:r>
          </w:p>
        </w:tc>
      </w:tr>
      <w:tr w14:paraId="7F8700A3">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848F69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497170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M1首页门户</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012470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M1-9刷新与时间范围控件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1、提供时间范围分段器与手动刷新按钮。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2、顶栏常驻数据新鲜度指示。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3、各监控类页面默认自动刷新周期30秒（值班看板必须自动刷新）。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验收：①手动刷新后新鲜度指示重置为0秒；②值班看板30秒内自动刷新无需人工干预。</w:t>
            </w:r>
          </w:p>
        </w:tc>
      </w:tr>
      <w:tr w14:paraId="2FE72AAA">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B1C663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0617BA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M1首页门户</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4455E9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M1-10资源占用Top5</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1、分段器切换CPU</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内存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磁盘三类资源。</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2、横向条形图按占用率降序取前5名，坐标轴上限固定100%。</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验收：①三类切换数据正确；②条形图排序与资产管理列表的CPU列排序一致。</w:t>
            </w:r>
          </w:p>
        </w:tc>
      </w:tr>
      <w:tr w14:paraId="378C6D7B">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9B9709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59FCDC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M1首页门户</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583590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M1-11首页版面管理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1、一期首页为固定版式：6张KPI卡+告警趋势+服务健康+故障时间线+最近事件+待处理工单+资源占用Top5，顺序与位置固定。</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2、本期不提供卡片拖拽、显隐配置、自定义布局与个性化保存。</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3、如需自定义版面，一律走变更单另行报价。</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验收：①不同角色登录后版面一致；②界面无拖拽与自定义入口。</w:t>
            </w:r>
          </w:p>
        </w:tc>
      </w:tr>
      <w:tr w14:paraId="325E9FD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727FE5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3BDAEA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56FFB2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M2-1租户列表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路径：管理→租户管理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1、12列：租户名称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隔离模式·资源池</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资产数·配额</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监控项Item数·配额</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NVPS·配额</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站点数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数据保留期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成员数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ITSM对接方式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创建时间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是否开通网络拓扑。</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2、配额列带进度条：使用率≥90%显示红色、≥75%显示黄色。</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3、状态取值：活跃</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接入中。</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验收：①配额达到80%时进度条转黄、95%时转红；②列表字段与租户详情页字段一一对应。</w:t>
            </w:r>
          </w:p>
        </w:tc>
      </w:tr>
      <w:tr w14:paraId="4F694F8D">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D73EED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C6A56D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D406DA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M2-2新建租户</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1、字段：租户名称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套餐·等级</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隔离模式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数据保留期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资产配额</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监控项Item配额</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NVPS配额</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身份提供方（OIDC联邦或平台本地账号）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ITSM对接（ServiceNow、JSM、BMCRemedy、暂不接入）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首个客户管理员邮箱。</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2、提交返回202异步响应与operation_id；后端异步准备监控主机组与受限身份，前端显示"接入中"直至回读确认为"活跃"。</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3、同一租户名称在平台内不得重复。</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验收：①提交后前端显示"接入中"而非"成功"；②回读失败时展示错误原因与重试入口；③重复名称提交被拦截。</w:t>
            </w:r>
          </w:p>
        </w:tc>
      </w:tr>
      <w:tr w14:paraId="47A8B988">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A101C5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2A28A7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139F71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M2-3配额管理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1、可编辑项：资产配额</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有效监控项配额</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NVPS配额</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Worker并发上限（默认2）。</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2、只读项：单图曲线点数上限（取值20或1000）、列表每页最大条数（取值100或500）。</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3、池负载告警线：单个租户持续占用共享资源池20%时触发迁池评审提示。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验收：①修改配额后可保存并在列表进度条生效；②只读项界面不可编辑。</w:t>
            </w:r>
          </w:p>
        </w:tc>
      </w:tr>
      <w:tr w14:paraId="1A2F0464">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3AC62D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27BAC4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7ED11B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M2-4隔离模式三档</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1、共享监控实例：独立主机组+受限身份+平台对象授权。</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2、独享监控实例：独立监控Server、独立数据库、独立Proxy路由与凭据。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3、独立部署：控制层与监控层均部署在客户自有环境。</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4、选择依据为故障边界要求与数据留存要求；模式变更须走迁移流程，不支持在线直接切换。</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验收：①三种模式均可完成创建与纳管；②变更前引导迁移流程，无直接切换入口。</w:t>
            </w:r>
          </w:p>
        </w:tc>
      </w:tr>
      <w:tr w14:paraId="19765B81">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50A359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1B99E0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AE5A37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M2-5六层隔离约束与验证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1、六层隔离：身份层（tenant_membership表约束）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对象层（(tenant_id,object_id)联合校验）</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监控层（主机组命名tenant/{uuid}/{site}）</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数据库层（非空tenant_id+行级安全策略RLS）</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缓存与任务层（缓存键含租户与权限版本）</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网络执行层（按客户分配独立凭据）。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2、隔离验证检查表7项：跨租户hostid访问、跨租户itemid访问、跨租户eventid访问、报告下载地址泄漏、缓存键泄漏、伪造tenant_id的消息投递、受限身份越权查询——全部要求返回"拒绝"或"空结果"。</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验收：①7项检查全部通过；②任意接口携带他租户ID均返回统一提示"对象不存在或无权限"。</w:t>
            </w:r>
          </w:p>
        </w:tc>
      </w:tr>
      <w:tr w14:paraId="037B081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D0ABF6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82210F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786932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M2-6角色定义与权限矩阵</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1、4类角色：客户观察者（viewer）</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客户管理员（tadmin）</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MSP值班工程师（msp）</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平台管理员（padmin）。</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2、权限矩阵5个维度：资产与指标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告警与工单</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模板与自动化</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平台管理</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成员管理。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3、矩阵以配置项维护，新增角色不修改代码（仅限上述5维内的增删组合）。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验收：①提供可打印的完整权限矩阵并双方签字确认；②修改矩阵后无需发版即生效。</w:t>
            </w:r>
          </w:p>
        </w:tc>
      </w:tr>
      <w:tr w14:paraId="1BADDA01">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5D1310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59EDB6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9ABC98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M2-7菜单与操作权限</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1、权限粒度=菜单可见性+按钮级操作权限。</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2、导航按角色渲染，未授权内容与中间态不得闪现（先鉴权后渲染）。</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3、越权访问统一返回"对象不存在或无权限"，不泄露对象是否存在。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4、菜单角标：事件中心显示未关闭问题数，自动化页显示待审批数。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验收：①低权限账号登录，页面源码中不出现未授权菜单的DOM；②越权接口返回统一文案。</w:t>
            </w:r>
          </w:p>
        </w:tc>
      </w:tr>
      <w:tr w14:paraId="247C5A2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643F80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C4D0A1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023611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M2-8成员管理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1、8列：成员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角色</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租户范围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资源范围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MFA状态（含未启用告警标记）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最近登录时间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操作。</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2、动作：邀请（非平台管理员仅可邀请客户观察者与客户管理员）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重置MFA</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撤权（授权版本递增，相关会话即时失效）</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重新邀请。</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3、MFA覆盖率作为KPI展示。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验收：①撤权后该成员已登录会话立即失效（下一步操作被拒）；②非平台管理员邀请MSP工程师角色被拦截。</w:t>
            </w:r>
          </w:p>
        </w:tc>
      </w:tr>
      <w:tr w14:paraId="64C73C5B">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4FC406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EDDF4E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EECE82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M2-9客户联系人管理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1、字段：姓名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角色（报障人·决策人·技术对接人）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手机号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邮箱</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企业微信userid</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通知偏好（接收级别P1-P4多选、静音时段）</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启用状态。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2、功能：增删改查、停用（停用后不再接收通知）、批量导入联系人。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3、规则：每个租户必须存在至少1名"决策人"，删除最后一名决策人时系统拦截并提示；决策人为升级通知的必达对象。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验收：①删除最后一名决策人被拦截且有明确提示；②升级通知准确送达全部决策人渠道。</w:t>
            </w:r>
          </w:p>
        </w:tc>
      </w:tr>
      <w:tr w14:paraId="1190C92C">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E02D53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A4EA53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DBC90E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M2-10服务档位管理与变更留痕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1、档位字段：租户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档位名称（基础</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标准</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进阶）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SLA目标（99.5%</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99.9%</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99.99%）</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契约设备数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计费周期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月费金额。</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2、档位变更记录字段：租户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原档位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新档位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生效时间（立即或次月1日）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变更原因</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审批人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变更时间；变更动作写入审计日志并生成档位变更记录供查询。</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3、升级链路按档位差异化配置（详见M5-13）。</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4、在途工单按开单时写入的sla_tier_snapshot继续计时，档位变更不追溯影响。</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验收：①变更档位后随机抽3张在途工单，SLA截止时间保持不变；②变更记录可查询且不可修改。</w:t>
            </w:r>
          </w:p>
        </w:tc>
      </w:tr>
      <w:tr w14:paraId="360B0A1E">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082890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DE8A0E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B030B2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M2-11设备数量上限控制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1、契约设备数按租户配置；接入或导入设备时执行硬校验。</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2、规则：若现有设备数+本次新增数＞契约设备数，弹窗拦截并提示"已达契约设备数上限（N台），请先扩容或联系服务经理"，提交按钮同步置灰。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3、扩容由服务经理执行，动作留痕。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验收：①构造超限场景，提交被拦截且提示文案与实际配额一致；②未超限场景不受影响。</w:t>
            </w:r>
          </w:p>
        </w:tc>
      </w:tr>
      <w:tr w14:paraId="2632399C">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5964D4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0FBF86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27E2A0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M2-12审计日志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路径：管理→审计日志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1、8列：时间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操作者</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租户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操作类型</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描述·对象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结果</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trace_id</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来源IP。</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2、操作码至少覆盖18类，含登录、租户切换、权限变更、凭据轮换、配置变更、远程会话、审批、数据导出等。</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3、筛选：操作类型</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结果</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操作者+关键词。</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4、约束：追加式写入、不可修改不可删除、hash链可校验完整性、保留期≥3年；导出走短时签名地址（有效期15分钟）；失败与拒绝（denied</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failed）同样记录并附口径文案。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验收：①尝试修改或删除审计记录均无入口且接口返回拒绝；②hash链校验工具可验证任意区间未被篡改；③越权操作有denied记录。</w:t>
            </w:r>
          </w:p>
        </w:tc>
      </w:tr>
      <w:tr w14:paraId="75A8E18B">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F878F7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BB926D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F93D01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M2-13数据保留与删除</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1、保留策略项：历史明细N天（资源池级策略）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趋势数据</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事件与审计（按合同约定，默认3年）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月报快照（合同期内永久保留）。</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2、删除流程：先停止采集与告警→保留事件与报表映射关系（避免报表口径断裂）→合同到期按约定清理→备份周期自然过期。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验收：①执行删除流程后，历史月报仍可打开且数据完整；②保留天数到期后数据自动清理并有执行记录。</w:t>
            </w:r>
          </w:p>
        </w:tc>
      </w:tr>
      <w:tr w14:paraId="3B4EF717">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A57734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D1C85D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M2租户与权限管理</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35938E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M2-14身份认证与组织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1、本期支持：OIDC联邦身份与平台本地账号两种身份提供方。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2、本期不做：钉钉</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AD</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LDAP对接、多级组织架构、计费账单引擎。</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3、客户门户按企业微信形态实现（详见M8），不得按钉钉形态设计与报价。</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验收：①OIDC与本地账号均可登录；②系统无AD</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LDAP配置项。</w:t>
            </w:r>
          </w:p>
        </w:tc>
      </w:tr>
      <w:tr w14:paraId="1660E1B5">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2B054B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895899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2D5E22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M3-1资产列表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路径：资产→资产管理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1、6张KPI卡：全部资产</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正常</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有问题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未知（数据缺失≠正常，单独计数）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维护中（通知已抑制、SLA排除）</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采集同步异常。</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2、筛选：关键词搜索（名称·IP·标签）+状态chips+站点</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设备类型</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所属业务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同步状态下拉。</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3、两种视图：列表视图与蜂巢视图（蜂巢块颜色取该设备当前最高严重级）。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4、分页每页15条。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验收：①"未知"数量与"正常"数量相互独立，任一台设备不同时计入两者；②切换蜂巢视图后颜色与列表中的最高严重级一致。</w:t>
            </w:r>
          </w:p>
        </w:tc>
      </w:tr>
      <w:tr w14:paraId="32B19CFE">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EDA069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E9EAAA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91EE5C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M3-2资产列表字段</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1、12列：资产名称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设备类型</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站点·Proxy</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所属业务系统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CPU</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内存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可用性</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当前问题数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配置同步状态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负责人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最近采集时间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操作。</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2、列的新增、删除、改名统一走变更单，不得由开发方自行调整。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验收：①逐列核对列名与顺序；②空值列显示占位符而非乱码或空白格错位。</w:t>
            </w:r>
          </w:p>
        </w:tc>
      </w:tr>
      <w:tr w14:paraId="1F6E9282">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84DA7E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9E4242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014556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M3-3资产详情</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1、Tab结构：概览</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监控项（N）</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触发器（N）</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问题与事件（N）</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图表（N）</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端口（N，仅网络设备显示）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场景步骤（N，仅Web类显示）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资产清单</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监控配置</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关联关系（N）。</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2、头部事实卡按资产类型动态生成：Linux·Windows</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交换机·防火墙</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数据库</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Web</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自定义指标各自不同的字段组合。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3、资产详情为一期以下能力的挂载点：设备依赖关系（M3-9）、维保到期信息（M3-10）、配置备份（M6）。</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验收：①五种类型资产的事实卡字段各不相同且无空壳字段；②三个挂载Tab均可打开并完成对应操作。</w:t>
            </w:r>
          </w:p>
        </w:tc>
      </w:tr>
      <w:tr w14:paraId="74DBCF35">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375621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29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0B7179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1AC716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M3-4资产接入向导（5步）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1、①登记信息：CMDB配置项（带查找弹窗）、设备类型（9类枚举）、设备名称（租户内唯一）、IP或域名（正则校验）、站点、负责人、关联服务、标签（标签仅用于路由与检索，不作为授权依据）。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2、②分配采集：网络连通性检查、Proxy绑定、采集方式（Agent2主动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被动、SNMPv3、HTTP、Sender）、凭据选择、端口确认。</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3、③套用模板：模板分组选择、采样周期（30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60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120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300秒）、LLD上限（只读展示）、宏与阈值覆盖表。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4、④验证首值：5项检查——Agent可达</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首个采集周期完成</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监控项有效性</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触发器状态正常</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依赖与阈值设置正确。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5、⑤进入服务：告警分派规则、SLA服务映射、通知渠道勾选；侧栏实时显示预估监控项数与配额占用进度。</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验收：①5步全通过后方可进入服务，任一步未通过禁止下一步并显示原因；②接入完成后设备出现在资产列表且开始产生数据。</w:t>
            </w:r>
          </w:p>
        </w:tc>
      </w:tr>
      <w:tr w14:paraId="50BEC7E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2D8E57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AF76A8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9C40FA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M3-5设备信息维护</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1、字段：资产编号（CMDBID）</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型号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序列号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负责人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所属业务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机房机柜位置</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采购日期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维保起始日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维保到期日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超期服役日期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维保供应商</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标签</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CMDB同步状态。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2、功能：支持在资产详情与列表中编辑保存；上述字段全部支持列表列展示与筛选（维保到期筛选详见M3-10）。</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3、CMDB同步冲突时以CMDB为准并提示冲突字段，变更写入审计。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验收：①编辑后保存成功且列表即时回显；②新增字段可参与筛选；③CMDB冲突时有明确提示。</w:t>
            </w:r>
          </w:p>
        </w:tc>
      </w:tr>
      <w:tr w14:paraId="34477425">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5CF2C6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FEB953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DF2230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M3-6Excel批量导入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路径：资产列表→批量导入（三步式弹窗）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1、①下载模板：标准.xlsx模板，15列——设备名称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设备类型（9类枚举）</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IP或域名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品牌</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型号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序列号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站点</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位置</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负责人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所属业务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采购日期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维保到期日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超期服役日期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采集方式（下拉）</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备注（为必填）。</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2、②上传与列映射：单批上限500行，支持.xlsx与.csv；系统按列名自动匹配，未匹配的列提供手工映射下拉。</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3、③预览与校验：逐行标注✅通过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⚠️警告（可继续导入）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❌错误（阻止该行导入）。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4、④导入结果：显示成功N条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失败M条；失败行支持下载错误回执.xlsx（含行号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原值</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错误原因</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修正建议）。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校验规则——错误级：必填字段缺失、IP或域名格式非法、租户内设备名重复（提示"与第N行重复"）、IP与库内已有设备冲突、设备类型不在枚举范围内；警告级：日期格式非法（置空并提示）、负责人非本租户成员（置空并提示）、品牌无OID映射（提示仅提供可用性监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6、幂等：按租户+设备名+IP去重，重复导入不产生重复设备。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7、全过程写入审计日志（含文件hash、导入行数、成功与失败统计）。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验收：①含3类错误的50行台账，错误行100%被拦截且回执原因准确；②500行导入耗时≤60秒；③同一文件重复导入不产生重复设备。</w:t>
            </w:r>
          </w:p>
        </w:tc>
      </w:tr>
      <w:tr w14:paraId="186CB176">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EBCC96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B7F53A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2D4F93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M3-7台账导出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1、导出为异步任务：提交后生成短时签名下载链接，通过站内信下发，不直接触发浏览器下载。</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2、导出范围=当前筛选结果，且不含任何越权数据。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3、导出列与导入模板列保持一致，并包含"维保状态""维保到期日"两列。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4、导出动作写入审计日志。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验收：①导出结果与当前筛选条件完全一致；②跨租户数据不出现在导出文件中；③链接15分钟后失效。</w:t>
            </w:r>
          </w:p>
        </w:tc>
      </w:tr>
      <w:tr w14:paraId="3D22680E">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9F6F1D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8585E6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25DB34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M3-8凭据加密托管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1、三类凭据：TLSPSK（站点级密钥，系统自动签发）</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TLS证书（租户CA签发）</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SNMPv3authPriv（租户凭据库）。</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2、存储：按租户·站点存于服务端密钥库（AES-256加密），不进入浏览器、日志、报告与导出文件。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3、使用：界面只可触发轮换，不可查看明文；轮换后旧密钥24小时后失效。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4、轮换动作写入审计日志。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验收：①数据库与接口返回中无凭据明文；②界面与导出文件中均无凭据字段；③轮换后旧凭据在24小时内可用、超时后被拒并有记录。</w:t>
            </w:r>
          </w:p>
        </w:tc>
      </w:tr>
      <w:tr w14:paraId="343793FD">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1C4AD2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4FDA64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F697E5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M3-9设备依赖关系配置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路径：资产详情→依赖关系Tab</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1、依赖记录字段：上游设备（父）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下游设备（子）</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依赖类型（网络级联·供电·服务依赖）</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生效范围（抑制通知·抑制自动建单）</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启用状态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创建人与时间。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2、界面：分"上游依赖"与"下游依赖"两个列表，支持新增</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删除</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停用；每条依赖显示"该依赖上次触发抑制的时间与条数"。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3、抑制行为：上游设备处于PROBLEM期间，下游级联告警记录但不推送通知、不自动建工单；上游恢复后若下游仍处于PROBLEM，补发通知并补建工单。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4、防环：新增依赖时检测环路（如A→B→A），检测到环路拒绝保存并提示。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5、依赖数据同时用于告警影响范围推算（M4-18）。</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验收：①构造核心交换机down场景，下联20台设备不产生级联通知，但事件中心可查询到20条被抑制记录；②构造环形依赖被拒绝保存。</w:t>
            </w:r>
          </w:p>
        </w:tc>
      </w:tr>
      <w:tr w14:paraId="62B0B547">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60CCCA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B1C173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2AC8B4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M3-10维保到期管理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1、字段：维保起始日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维保到期日（maint_expire）</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维保供应商</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超期服役日期（eol_date）</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提醒接收人。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2、列表与筛选：新增列"维保状态"（在保</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30天内到期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已过期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未知）；筛选器新增"维保到期：30天内</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90天内</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已过期"。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3、预警规则：到期前90天生成P4隐患项进入隐患清单；到期前30天与7天推送企业微信通知给服务经理与租户决策人；已过期设备在列表中红色标记，且进入体检报告风险清单。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4、工单联动：P4隐患项支持一键转为商机工单（标记source=inspection），跟进结果回填隐患项。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5、导出：支持导出"本季度到期设备清单"。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验收：①将某设备维保到期日设为T+29天，次日08:00前生成P4隐患项且通知送达；②改为T+91天则当期不推送。</w:t>
            </w:r>
          </w:p>
        </w:tc>
      </w:tr>
      <w:tr w14:paraId="32142F96">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9624B0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2A873C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221F2E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M3-11资产退役与迁移</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1、退役流程：停止采集与告警（返回202+operation_id，前端显示"同步中"直至回读确认）→保留历史事件与报表映射→按约定清理数据。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2、迁移流程：迁池向导——确认新资源池资源→保留原资产ID→校验Proxy绑定与凭据→双采抑制（避免重复告警）→逐站点切换。</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验收：①退役后设备不再产生新告警但历史事件可查；②迁移过程中不产生重复告警。</w:t>
            </w:r>
          </w:p>
        </w:tc>
      </w:tr>
      <w:tr w14:paraId="78A1C11C">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1C5B5C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117EA8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M3设备台账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A82019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M3-12设备来源与发现方式</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1、本期设备来源限定为三种：手工登记录入、Excel批量导入、CMDB同步。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2、本期不做：网络扫描自动发现纳管、未知Agent自动注册认领。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验收：①系统无网络扫描任务配置入口；②三种来源的设备均可正常完成M3-4接入流程。</w:t>
            </w:r>
          </w:p>
        </w:tc>
      </w:tr>
      <w:tr w14:paraId="2CA63DFD">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F2C9D1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06A146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0723E8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M4-1设备状态监控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1、可用性5态：正常</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有问题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未知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维护中</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已停用；采集同步5态：已生效</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同步中</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同步失败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待接入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配置漂移。</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2、关键可用性监控项：agent.ping、agent或snmpavailable、icmpping、icmppingloss、icmppingsec、items_unsupported、proxylastaccess。</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3、"未知"与"正常"必须严格区分，任何统计口径不得合并。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验收：①停掉一台设备的采集，"未知"计数增加且"正常"计数下降；②同步失败与配置漂移两种状态可分别构造并正确显示。</w:t>
            </w:r>
          </w:p>
        </w:tc>
      </w:tr>
      <w:tr w14:paraId="3724D517">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4F9011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39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938D8C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90E71E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M4-2资源监控（按设备类型）</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1、Linux服务器：CPU（警告70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严重85）、内存（80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90）、根分区（80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90）、系统负载、网络流量、磁盘IOPS、关键进程、TCP连接数。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2、Windows服务器：在Linux项基础上增加页面文件使用率、处理器队列长度、磁盘延迟、关键服务状态。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3、交换机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防火墙：CPU（70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85）、内存（75</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90）、入口温度（50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55）、端口Up状态、总吞吐量、错误包计数、电源与风扇状态、ICMPRTT与丢包率。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4、数据库：QPS、TPS、连接使用率（70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80）、缓存命中率（95</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99，反向阈值）、慢查询数、主从复制延迟（10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30秒）、锁等待。</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5、Web服务：可用性（99.5</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99.9，反向阈值）、响应时间（1500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2000毫秒）、P95响应时间、证书剩余天数（30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60，反向阈值）。</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6、自定义指标：上报延迟（60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120秒）、网关温度、Trapper最近接收时间。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7、上述阈值全部写入配置表作为默认值。</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验收：①每类设备均可查到上述指标并有历史曲线；②修改配置表阈值后告警触发点随之变化，无需改代码。</w:t>
            </w:r>
          </w:p>
        </w:tc>
      </w:tr>
      <w:tr w14:paraId="0554FA7B">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DFB3BC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5F6EC7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38CD48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M4-3流量监控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1、端口表8列：端口</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速率·双工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带宽利用率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入向·出向流量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错误包·丢包</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VLAN</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描述·对端设备。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2、利用率配色：&gt;80%红色、&gt;50%黄色。</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3、端口面板展示近24小时入向与出向流量图。</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4、汇总监控项：net.if.util.max（最大带宽利用率）、errors.total、discards.total。</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验收：①端口Up</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Down状态与实际一致；②利用率超阈值的端口使用正确配色。</w:t>
            </w:r>
          </w:p>
        </w:tc>
      </w:tr>
      <w:tr w14:paraId="5A55ABE2">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44D24D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6D8A17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3BD046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M4-4线路质量监控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1、Proxy健康：延迟&gt;150ms红色、队列长度&gt;20红色、缓冲区占用&gt;75%红色、&gt;50%黄色。</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2、ICMP质量：丢包率&gt;20%（5分钟窗口）触发告警；RTT阈值0.15秒。</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3、Web探测：多探测点一致性判定——全部探测点结果一致方可判定为可用；同时监控SSL证书剩余天数。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4、站点网络放通要求（须写入交付文档）：出向TCP10051、按需TCP10050、SNMPUDP161/162。</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验收：①单探测点失败但其他正常时不判定为服务不可用；②Proxy延迟超阈值时列表预警色正确。</w:t>
            </w:r>
          </w:p>
        </w:tc>
      </w:tr>
      <w:tr w14:paraId="259D4105">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DEB6A7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7111BE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9EC00B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M4-5告警阈值分级与受控宏</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1、严重级6档：灾难／严重／一般／警告／信息／未分类（rank由5递减至0）。</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2、指标仪表三档配色：绿→黄（阈值thr[0]）→红（阈值thr[1]），支持反向阈值（越小越糟的指标）。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3、受控宏体系（约25个）：例如CPU.UTIL.CRIT=85、IF.ERRORS.WARN=50、CERT.DAYS.MIN=30、PROXY.BUFFER.PUSED.MAX=75。</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4、租户差异通过受控宏表达，不得直接修改共享模板；宏覆盖须经平台审核并跑双租户回归。</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5、阈值数值按本清单M4-18「监控对象与阈值基线」给出的双阈值写入配置表作为默认值，禁止硬编码；新增或调整阈值只改配置表，不改代码。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w:t>
            </w:r>
          </w:p>
          <w:p w14:paraId="736D0E1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①随机抽10个指标修改受控宏后告警触发符合新值；</w:t>
            </w:r>
          </w:p>
          <w:p w14:paraId="30AFE7C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②直接修改共享模板无从前端入口；</w:t>
            </w:r>
          </w:p>
          <w:p w14:paraId="7BD13DB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③修改配置表阈值后无需发版即生效。</w:t>
            </w:r>
          </w:p>
        </w:tc>
      </w:tr>
      <w:tr w14:paraId="16DBFA28">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D054F8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260981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C0E56C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M4-6触发规则管理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1、规则列表列：严重级别</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规则表达式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所属模板</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持续时间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恢复滞回</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依赖关系·抖动控制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租户覆盖标记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启用开关。</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2、规则示例：CPU高（5分钟均值&gt;宏值，持续5分钟，恢复条件&lt;75%）；Agent不可达（无数据3分钟，灾难级）；端口错误包（警告级，启用抖动控制）；Proxy失联（无数据10分钟，灾难级）。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3、规则支持按租户覆盖，并记录覆盖人与覆盖原因。</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验收：①10条示例规则逐一实机触发，结果与表达式一致；②停用规则后不再产生告警。</w:t>
            </w:r>
          </w:p>
        </w:tc>
      </w:tr>
      <w:tr w14:paraId="2CE22798">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5C09AB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F333E7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D055E3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M4-7告警防抖</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1、抖动控制规则：10分钟内≥3次状态翻转→静默5分钟。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2、规则级支持"持续时长"与"恢复滞回"配置（如CPU恢复条件&lt;75%、丢包恢复条件&gt;15%反向判定）。</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3、防抖动作须记录到事件明细中，可查询某事件因抖动被静默的次数。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验收：①构造10分钟内3次翻转的事件，第3次后静默5分钟不再产生通知；②事件详情页可看到抖动静默记录。</w:t>
            </w:r>
          </w:p>
        </w:tc>
      </w:tr>
      <w:tr w14:paraId="04BAF9AB">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9523C9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32B65E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B8340E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M4-8重复告警合并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1、合并指纹=（租户,资产,规则），合并窗口5分钟。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2、灾难级与严重级绕过聚合等待，立即触发；其余级别聚合等待5分钟后发出。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3、合并后列表显示"×N"计数，但原始事件全部保留可查。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验收：①同一指纹5分钟内5条同类告警合并为1条并显示"×5"；②可展开查看5条原始事件明细。</w:t>
            </w:r>
          </w:p>
        </w:tc>
      </w:tr>
      <w:tr w14:paraId="692028B2">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3B5C0E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36FD0A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330775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M4-9告警抑制（依赖）</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1、上游（Proxy或核心设备）处于PROBLEM时，抑制下游设备的告警通知；事件仍然完整记录，并计入SLA"未知区间"判定。</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2、降噪链路：归并→依赖抑制→维护窗口静默，各层数量可分别查询。</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3、依赖关系由M3-9维护。</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验收：①上游故障期间下游级联告警不推送通知但事件可查；②级联告警计入SLA未知区间而非可用时间。</w:t>
            </w:r>
          </w:p>
        </w:tc>
      </w:tr>
      <w:tr w14:paraId="4CDA6778">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6F551C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0C54B8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1E09E8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M4-10维护窗口静默</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1、窗口列表7列：窗口名称（含目标范围标签）</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起止时间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状态（进行中·已计划·已结束）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静默模式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是否SLA排除</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创建人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操作（延长·结束）。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2、静默模式二选一：采集继续、抑制通知（推荐）或暂停采集。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3、SLA排除须经服务经理确认后方可生效。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4、窗口内通知被抑制，事件仍然记录。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验收：①窗口内触发告警，通知中心无推送但事件列表有记录；②未确认的SLA排除不生效。</w:t>
            </w:r>
          </w:p>
        </w:tc>
      </w:tr>
      <w:tr w14:paraId="0245EFBE">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9EAE28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3D8CBB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0C6EA0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M4-11恢复通知与复核</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1、监控层面的PROBLEM</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RECOVERED状态由监控引擎负责；告警恢复后事件进入待复核状态。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2、通知送达空态三种提示文案："依赖抑制：未发送通知"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"维护窗口：通知已抑制"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"无通知记录（信息级默认不通知）"。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3、恢复不等于结单：须人工确认根因与工单状态后方可关闭事件与工单。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验收：①告警恢复后事件状态为"待复核"而非"已关闭"；②未经人工确认的事件不进入已解决状态。</w:t>
            </w:r>
          </w:p>
        </w:tc>
      </w:tr>
      <w:tr w14:paraId="2228EEAA">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93DDBB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49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A66DA7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D1A97F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M4-12监控模板与灰度治理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1、模板列表10列：模板名称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版本</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关联主机数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监控项·触发器数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LLD上限</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受控宏数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使用租户数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最近更新时间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checksum。</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2、模板分三层：基础设施层→中间件层→业务服务层。</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3、灰度发布流程：20%租户→观察72小时→全量；退出门槛为"误报数不增加且采集延迟不上升"。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4、治理规则：版本与checksum锁定；LLD资源上限强制；租户自定义模板需平台审核；每次主机组变更、成员变化、模板发布均须跑双租户回归。</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验收：①灰度流程可完整走完且中途可回滚；②退出门槛指标不达标时不自动进入全量。</w:t>
            </w:r>
          </w:p>
        </w:tc>
      </w:tr>
      <w:tr w14:paraId="6A1140D6">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F9CE78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49C9D8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5C504F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M4-13通知渠道管理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1、6类渠道：邮件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短信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钉钉机器人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企业微信应用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自定义Webhook</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电话语音。</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2、每渠道配置项：端点地址</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密钥（只读展示、仅可轮换）</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签名方式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重试预算与退避策略（如Webhook5次：30秒</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2分钟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10分钟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30分钟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2小时）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目标范围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域名白名单。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3、去重键=（实例,事件ID,渠道,接收对象,事件阶段）；"受理"不等于"送达"；失败消息进死信队列支持重放。</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4、安全约束4条：域名白名单校验、拒绝私网地址与重定向、密钥仅存服务端、回调签名（防循环调用）。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验收：①配置私网Webhook地址被拒绝保存；②同一去重键5分钟内重复事件只发送一次；③死信消息可重放且生成新请求号。</w:t>
            </w:r>
          </w:p>
        </w:tc>
      </w:tr>
      <w:tr w14:paraId="3C2C26D0">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7D6E76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E737CC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FC78DC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M4-14事件中心与事件详情</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路径：告警→事件中心</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1、处置状态机5态：新建→已确认→处理中→已解决→已关闭；支持批量动作：批量确认</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批量建单</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加入抑制。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2、隔离队列：来源未知或跨租户的事件禁止自动派发，须人工核验后可"绑定资产"或"丢弃"。</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3、可靠性补偿机制：eventid水位记录、延迟补偿、Webhook落库失败保留24小时、重叠窗口每5分钟回看15分钟复扫。</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验收：①未知来源事件进入隔离队列且不自动推送；②模拟落库失败后24小时内补扫成功。</w:t>
            </w:r>
          </w:p>
        </w:tc>
      </w:tr>
      <w:tr w14:paraId="2D4A73DF">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7482BD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36CB3D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71B0E7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M4-15Proxy与站点管理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1、Proxy列表9列：运行状态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版本号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延迟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队列长度</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纳管主机数·NVPS</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缓冲区占用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TLS加密状态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最近上送时间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操作。</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2、站点列表7列：采集拓扑（ProxyGroup双活可接管或单Proxy可缓冲但不可接管）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网络放通说明等。</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3、缓冲容量测算公式：缓冲需求=站点NVPS×最长断网秒数×实测每值空间×余量系数。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4、已知限制须写入交付文档：ProxyGroup不支持SNMPTrap。</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验收：①Proxy失联时按无数据规则产生灾难级告警；②交付文档中包含上述限制说明。</w:t>
            </w:r>
          </w:p>
        </w:tc>
      </w:tr>
      <w:tr w14:paraId="2F32F00F">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D8718A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80C51A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0D9709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M4-16监控资源池管理（平台管理员）</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1、5张KPI卡+4个Tab：拓扑与高可用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数据库</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租户分布</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升级·迁移·回退。</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2、版本基线锁定：监控引擎与数据库版本写入基线清单，升级须走评估与审批流程，禁止在线随意升级。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3、高可用口径：监控原生HA共享同一数据库，不承诺"无损秒级切换"；回退原则为"schema升级后不能假设回滚镜像即可恢复"，须有独立回退方案。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验收：①交付文档明确写出HA不承诺无损秒切；②提供升级回退演练记录。</w:t>
            </w:r>
          </w:p>
        </w:tc>
      </w:tr>
      <w:tr w14:paraId="10904AB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8ABA18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862E59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0B359C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M4-17设备配置变更监控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1、监控方式：SSH定时拉取设备running-config并与上一版本做差异比对，频率每6小时一次（与M6配置备份共用同一条diff链路，不重复建设）。</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2、检测到配置变更生成info级事件；若该时段无变更报备单，升级为P3工单（详见M6-7）。</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验收：①人为修改设备配置后6小时内产生diff记录；②差异行定位准确。</w:t>
            </w:r>
          </w:p>
        </w:tc>
      </w:tr>
      <w:tr w14:paraId="66F8929B">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ABEFA5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6E9617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69C4FD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M4-18监控对象与阈值基线（必须补齐项）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1、监控对象补齐三类：外网线路质量（部署独立探针做ICMP</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HTTP拨测，30秒粒度，不依赖被管设备本身，设备宕机时仍能发现断网）、内网关键服务（DNS解析拨测</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TCP端口探针，60秒粒度）、设备配置变更（每6小时diff，见M4-17）。</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监控指标补齐：防火墙并发会话数（&gt;80%警告、&gt;95%严重，会话耗尽等同于断网，直接判P1）、光模块收发光功率、VPN隧道状态、DHCP地址池利用率（&gt;85%警告、&gt;95%一般）、证书到期（每日检查，到期前30天生成P4）、接口错包率（&gt;0.1%警告、&gt;1%需优化）、PPPoE拨号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3、阈值基线（写入配置表作为默认值）：设备在线——丢1包警告</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连续3次不通严重；端口up→down——核心端口P1、接入端口P2；丢包率&gt;2%持续60秒警告</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&gt;10%严重；延迟&gt;100ms持续300秒</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&gt;300ms持续60秒；CPU&gt;80%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&gt;90%各持续300秒；内存&gt;85%</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&gt;95%；温度&gt;55℃</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&gt;65℃；上联带宽利用率&gt;70%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&gt;85%。</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4、安全合规类检查项及频率：弱口令（季度）、固件版本（月度）、证书到期（每日）、配置变更（每6小时）、超期服役（每日）、备份失败（每次）。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5、告警字段必须齐全：rule_code、告警对象、当前值vs阈值、已持续时间、影响范围（按拓扑推算直连终端数、是否核心节点）、建议动作（规则库内置的一句话处置提示）。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验收：①随机抽取10条告警，上述6类字段齐全且无空值；②影响范围推算结果与CMDB拓扑一致；③外网线路探针、DNS拨测、防火墙会话数、光功率、VPN、DHCP、证书七类监控全部有数据并能触发告警。</w:t>
            </w:r>
          </w:p>
        </w:tc>
      </w:tr>
      <w:tr w14:paraId="13BEF6DE">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C5819F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8E24BE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M4监控与告警</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D217EC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M4-19多品牌OID映射机制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1、按厂商维护适配文件（YAML格式），覆盖华为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华三</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TP-Link</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深信服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锐捷等；每份文件定义该厂商CPU、内存、温度、会话数、光功率的OID与单位换算规则。</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2、新增品牌=新增映射文件，不修改代码、不重新发版。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3、适配优先级按试点客户实际设备品牌清单确定（需甲方提供）。</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验收：①新增一个厂商映射文件后，无需重新发版即可纳管该品牌设备并采集到CPU</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内存指标；②映射缺失时在资产接入向导中给出"该品牌暂无适配，仅提供可用性监控"提示。</w:t>
            </w:r>
          </w:p>
        </w:tc>
      </w:tr>
      <w:tr w14:paraId="051BB5EE">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5A7D21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A9316B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F93010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M5-1工单列表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路径：服务台→工单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1、8列：工单号（含外部ITSM编号）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标题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优先级</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工单状态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同步状态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SLA倒计时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当前负责人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创建·更新时间。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2、5张KPI卡：待处理（新建+处理中+等待数量）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已超SLA数量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同步异常数量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平均首次响应时长（按工单受理时间计算）</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本月已解决·已关闭数（含平均解决时长）。</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3、筛选：关键词搜索+状态chips+同步状态下拉。</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验收：①各KPI卡数字与列表筛选结果一致；②SLA列超时的工单进入"已超SLA"计数。</w:t>
            </w:r>
          </w:p>
        </w:tc>
      </w:tr>
      <w:tr w14:paraId="0A010464">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8A7126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F1D4D1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FCECD1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M5-2三方状态职责分离</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1、监控状态（PROBLEM</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RECOVERED）由监控引擎负责；处置状态（5态）由本平台负责；工单状态（6态）由ITSM负责。</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2、任一方不得伪造或自动改写另一方的状态。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3、工单以租户+事件（tenant+incident）唯一绑定外部ITSM工单；状态冲突时，抽屉面板提供"采用ITSM状态"或"重新打开工单"两个显式选项，由人工决断。</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验收：①手工修改监控状态不影响处置与工单状态；②制造状态冲突后弹出冲突处理选项，无自动覆盖行为。</w:t>
            </w:r>
          </w:p>
        </w:tc>
      </w:tr>
      <w:tr w14:paraId="49856751">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43D3E5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59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77413D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E86518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M5-3工单状态与同步状态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1、工单6态：新建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处理中</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待厂商</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待客户确认</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已解决</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已关闭。</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2、同步4态：已同步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创建中</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回调待处理</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状态冲突；提供手动对账入口。</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3、状态机扩展：按M5-14至M5-17的转派、确认关单、自动关单、重开机制扩展；扩展后的完整状态迁移图须由开发方提交设计说明并经甲方书面确认。</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验收：①6态流转与实际一致；②同步异常工单可手动对账成功。</w:t>
            </w:r>
          </w:p>
        </w:tc>
      </w:tr>
      <w:tr w14:paraId="01A6ED75">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91EC9A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07335F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A61DFF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M5-4告警自动建单与规则配置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1、默认建单矩阵：灾难级与严重级自动建单；一般、警告、信息级不自动建单。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2、可配置界面项：触发条件（事件等级+排除规则：按rule_code</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资产标签</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维护窗口排除）</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聚合等待时长</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去重窗口（同租户+同资产+同规则30分钟内合并为同一张工单，参数可配）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字段映射表（标题模板、优先级映射、关联资产、描述模板、默认队列、默认负责人）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目标队列路由（按租户·站点·业务路由到对应值班组）</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失败重试策略（退避30秒</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2分钟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10分钟，最多5次，仍失败进入隔离队列支持人工补建）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幂等键（tenant+incident唯一绑定）。</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3、灾难级与严重级绕过聚合等待立即建单，其余级别聚合5分钟后建单。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验收：①录入10条规则逐一实机触发，结果与规则一致；②模拟建单失败重试5次后进入隔离队列，可人工补建成功。</w:t>
            </w:r>
          </w:p>
        </w:tc>
      </w:tr>
      <w:tr w14:paraId="61333EC6">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322304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225AD3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F3A296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M5-5客户自助报障表单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路径：客户门户→报障（企业微信消息菜单为同一入口）</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1、字段：故障现象分类（服务目录：网络不通</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网速慢</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WiFi问题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设备异常</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其他）</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关联设备（下拉，仅显示本租户可见设备，可选"不确定"）</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影响范围（全公司</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部分区域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单人）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故障描述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图片附件（≤3张，单张≤5MB，支持手机拍照直传）</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联系人与回拨电话（默认带出当前用户可修改）</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紧急程度（客户可选"很急"，仅供参考，最终等级由值守工程师判定）。</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2、提交行为：生成工单（标记source=customer_report）→门户即时显示工单号与按档位计算的预计响应时限→企业微信推送给值守。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3、时限：从提交到工单生成≤10秒；图片异步上传不阻塞表单提交。</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4、防重复：30秒内对同一设备同一分类的重复提交，提示"您已提交过相同报障"并引导查看已有工单。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验收：①手机拍照填表提交，10秒内网门户显示工单号；②值守端30秒内收到企业微信推送；③附件可查看原图。</w:t>
            </w:r>
          </w:p>
        </w:tc>
      </w:tr>
      <w:tr w14:paraId="5A79FC0F">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B8B135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81BCE5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AC04F7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M5-6手工登记事件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1、用于客户电话报障、现场发现等平台外来源建单。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2、不伪造监控状态：来源标记source_state=MANUAL，其"恢复"须由人工确认，不得由监控数据自动判定。</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3、字段：标题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严重级别</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关联资产。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验收：①手工事件在事件列表中有明确"手工来源"标记；②手工事件不会因监控数据正常而自动恢复。</w:t>
            </w:r>
          </w:p>
        </w:tc>
      </w:tr>
      <w:tr w14:paraId="7EBF6F82">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840B56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AB91A5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E7D2E4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M5-7处置记录与评论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1、支持在工单与事件中填写处置记录与评论，写入审计日志并附trace_id。</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2、可选择"同步到ITSM工单"，同步结果回写并对失败项给出重试。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3、工单侧动作：添加评论、在ITSM中打开。</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验收：①每条处置记录在审计日志中可查且带trace_id；②同步失败有明确提示与重试入口。</w:t>
            </w:r>
          </w:p>
        </w:tc>
      </w:tr>
      <w:tr w14:paraId="6D3620A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0BB041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F0358F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199403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M5-8SLA计时口径</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1、计时依据：按合同约定的响应时限与恢复时限。</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2、默认SLA截止时间：工单创建时间+4小时（可被档位配置覆盖）。</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3、一期按M2-10的档位配置表计算，并采用开单时写入的sla_tier_snapshot快照值，避免使用计算时刻的最新档位。</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4、具体时限参数见M5-20配置表。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验收：①同一优先级下不同档位租户的截止时间不同；②修改档位不影响历史工单。</w:t>
            </w:r>
          </w:p>
        </w:tc>
      </w:tr>
      <w:tr w14:paraId="7CFFC54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9A2BC4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5BE9D3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99BCD1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M5-9SLA报表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路径：运营分析→SLA报表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1、6张KPI卡：服务可用率均值</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不可用时间并集</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MTTAP50·P95</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MTTRP50·P95</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未恢复事件数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未知区间数量。</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2、服务树11列：服务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目标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可用率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不可用并集</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经批准排除时长</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未知区间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事件数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MTTA</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MTTR</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未恢复数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状态（达标·未达标·样本不足）。</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3、计算口径：</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·可用率=1−不可用时间并集÷有效服务时间；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·有效服务时间=约定服务时段−经批准排除的区间；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·MTTA=首次有效人工确认时间−问题发生时间；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·MTTR=监控恢复时间−问题发生时间；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·无数据区间单列，不默认视为可用。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4、同时给出均值、P95、样本量与未恢复数量；时区统一Asia/Shanghai，服务时段默认7×24。</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5、计算明细支持逐级下钻；口径版本化并在页脚标注版本号。</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验收：①构造含未知区间的场景，可用率计算不把未知区间计入可用；②下钻到计算明细的时间区间解释可读。</w:t>
            </w:r>
          </w:p>
        </w:tc>
      </w:tr>
      <w:tr w14:paraId="5A65F07E">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D3D67B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C89F12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0E7FED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M5-10月报快照与合同对账</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1、"生成月报快照"操作冻结口径版本、原始数据与计算结果，生成后不可修改。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2、命名规则示例：sla-2026-09-draft；保留策略为合同期内永久。</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3、事件复核关闭时写入对应月份的SLA月报快照。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验收：①快照生成后尝试修改源数据，快照数值不变；②快照可追溯到参与计算的每一张工单。</w:t>
            </w:r>
          </w:p>
        </w:tc>
      </w:tr>
      <w:tr w14:paraId="7B1C5888">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7D6167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040A2A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EFC232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M5-11SLA报表导出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1、导出格式：PDF与CSV，服务级明细均可导出，统一走短时签名地址。</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2、必须提供：统一导出模板（模板版本管理）、导出任务中心（可查进度、支持失败重试）、PDF排版规范（字体、页边距、页眉页脚、页码）。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验收：①导出任务可实时查看进度百分比；②失败任务可一键重试；③PDF排版与给定模板逐项比对一致。</w:t>
            </w:r>
          </w:p>
        </w:tc>
      </w:tr>
      <w:tr w14:paraId="6B2307B8">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68D12A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022807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4FB0D0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M5-12值班看板</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路径：服务台→值班看板</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1、KPI：未确认告警数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关键异常（灾难·严重）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处理中（已建单或已执行处置脚本）</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待复核（恢复不等于结单）</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今日已恢复数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MTTA（目标≤5分钟）。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2、队列项显示"升级倒计时"进度条。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3、自动刷新周期30秒。</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4、交接班弹窗：填写接班人、交接备注，并自动汇总当前"未确认</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处理中</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待复核"三项计数。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验收：①倒计时归零时自动触发下一级升级；②交接班记录可查且计数与实际队列一致。</w:t>
            </w:r>
          </w:p>
        </w:tc>
      </w:tr>
      <w:tr w14:paraId="7DFE2FFA">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DAE004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69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3598B7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52F6AD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M5-13升级策略与值班规则</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1、三档升级链（configurable）：标准档2步——立即（工作时间）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4小时未解决；进阶档3步——30分钟未确认</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2小时未解决；结构性兜底链路——L1立即→L215分钟未确认→客户管理员30分钟未确认→服务经理60分钟未解决（共4步）。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2、值班规则：每日18:00交接；电话未接听2次自动升级到下一级并以短信告知；值班范围限定为被指派的租户，跨租户切换全程审计。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验收：①修改升级链配置后行为随之变化；②电话2次未接听触发升级且有短信记录。</w:t>
            </w:r>
          </w:p>
        </w:tc>
      </w:tr>
      <w:tr w14:paraId="7CE90E7B">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B34A37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06FAB0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AE749F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M5-14工单转派与改派</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1、入口：工单详情页"转派"按钮；工单列表支持批量转派（仅服务经理及以上角色可用）。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2、字段：目标负责人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转派原因（必填，枚举选择+补充文字）</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是否保留原负责人为协办人。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3、SLA规则：转派不重置SLA时钟，resp_due_at与recover_due_at保持不变（防止通过转派洗SLA）；转派造成的延误归属原责任人。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4、通知：通知新负责人、原负责人、服务经理；P1</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P2工单同时通知客户联系人中的决策人。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5、留痕：转派动作写入工单时间线与审计日志，含操作人、时间、原因、转派前后负责人。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6、可见范围：客户门户不显示内部负责人姓名，统一显示"工程师"。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验收：①转派一张P1工单，SLA截止时间前后完全一致；②时间线可完整重放转派链；③客户门户不出现工程师真实姓名。</w:t>
            </w:r>
          </w:p>
        </w:tc>
      </w:tr>
      <w:tr w14:paraId="784C601B">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7B0933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462A8B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6938A6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M5-15客户确认关单（一期核心信任机制）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1、触发：工程师点击"已解决"后，工单状态进入"待客户确认"（PENDING_CUSTOMER），SLA恢复时钟在此刻停止，recover_at记为标记时刻。</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2、客户侧呈现：企业微信卡片消息，含故障摘要+处置说明（工程师填写，≥20字）+解决时间+两个按钮【确认解决】【未解决】。</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3、确认路径：点击【确认解决】→状态变为已关闭（CLOSED），close_mode=customer_confirm，生成确认凭证（含客户账号、确认时间、工单快照hash），支持导出。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4、未解决路径：点击【未解决】→强制填写一句说明（不可为空）→状态回退为重新处理中（REOPENED），reopen_count+1，并通知值守。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5、无响应路径：到达档位确认超时（基础档与标准档48小时、进阶档24小时）→自动关闭，close_mode=timeout_auto，并在月报"关单质量"章节单列统计。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6、性能与权限：客户点击到状态变更响应时间&lt;5秒；仅客户角色（报障人、决策人）可确认，工程师不具备代替客户确认的权限（防止自说自话关单）。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验收：①客户点击确认后5秒内状态变为已关闭且close_mode正确；②点击【未解决】不填写说明无法提交；③工程师账号界面无"确认解决"按钮；④超时自动关单在月报中单列统计，不与正常确认混计。</w:t>
            </w:r>
          </w:p>
        </w:tc>
      </w:tr>
      <w:tr w14:paraId="070676AA">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110600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F7F518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6FB52C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M5-16超时自动关单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1、超时计时器与档位配置联动：基础档与标准档48小时、进阶档24小时。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2、自动关单前12小时推送一次提醒："您的工单将在12小时后自动关闭，如问题仍未解决请点击此消息"。</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3、自动关单动作写入审计日志（action=auto_close）。</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4、关单后72小时内客户仍可重开（见M5-17）。</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5、月报"关单质量"章节单列统计超时自动关单的数量与占比。</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验收：①构造超时场景，提醒消息准时送达且关单动作有审计记录；②月报中该工单计入"超时自动关单"而非"客户确认"。</w:t>
            </w:r>
          </w:p>
        </w:tc>
      </w:tr>
      <w:tr w14:paraId="3690ED3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78BC88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6115BD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CF3CFA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M5-17工单重开</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1、触发条件：客户在工单关闭后72小时内点击"重开"；超过72小时只能新建工单。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2、行为：reopen_count+1，状态回到处理中，并计入原工单的SLA统计（防止强制关单美化MTTR）。</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3、字段：重开原因（必填）+可选附件。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4、告警规则：同一工单reopen_count≥2时自动通知服务经理，并在月报"反复故障"章节出现（对应"治标不治本"痛点）。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5、统计：MTTR采用中位数；重开工单不重新计时，其总时长计入原工单。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验收：①重开后MTTR统计包含重开后的时长（与手算一致）；②reopen_count达到2时服务经理收到通知。</w:t>
            </w:r>
          </w:p>
        </w:tc>
      </w:tr>
      <w:tr w14:paraId="6A7A8623">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E36B87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36F7AE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5D21F0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M5-18超时提醒与催办</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1、提醒节点：响应时限消耗达50%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80%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100%三级，恢复时限同理三级。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2、通知对象：50%→当前负责人；80%→当前负责人+值班长；100%→触发升级链（按档位步数执行）。</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3、呈现：工单列表SLA列显示倒计时进度条，超时显示红字。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4、记录：每次提醒写入工单时间线与通知记录（对象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渠道</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送达状态）。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5、抑制规则：同一工单同一节点只提醒一次；已进入"待客户确认"状态的工单不再提醒响应时限。</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验收：①构造工单静置至50%与80%，提醒按对象准确送达；②同一节点不重复提醒。</w:t>
            </w:r>
          </w:p>
        </w:tc>
      </w:tr>
      <w:tr w14:paraId="16C3E044">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1A482F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2C71CD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B8F078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M5-19SLA未达标与补偿计算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1、达标判定：响应实际时间≤响应截止时间且恢复实际时间≤恢复截止时间；适用范围为P1-P3且未被SLA排除的工单（维护窗口排除须经服务经理确认才生效）。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2、月度达成率=达标工单数÷适用工单数。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3、补偿比例（配置表项）：基础档月费10%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标准档20%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进阶档30%；具体补偿金额计算口径（按月费固定比例或月费×比例×（1−达成率））须在合同中写明，系统按配置实现。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4、输出：补偿结果进入月报"SLA达成"区块与月报快照，并生成月度对账记录（可导出）。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5、留痕：每一笔未达标工单可下钻查看判定依据（响应与恢复的实际时间与截止时间）。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验收：①构造10张工单（含3张超时），达成率与手工计算一致；②补偿金额与合同约定口径一致；③可逐单下钻查看判定依据。</w:t>
            </w:r>
          </w:p>
        </w:tc>
      </w:tr>
      <w:tr w14:paraId="6D63ECC5">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29F274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E16F2A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081C31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M5-20SLA时钟引擎（底座能力）</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1、服务端计算，不依赖前端；每30秒刷新到期状态。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2、时间基准：支持按租户配置工作时间日历（工作日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工作时段</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节假日）；基础档按"仅工作时间"计时，标准档与进阶档按7×24计时。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3、档位快照：工单创建时写入sla_tier_snapshot，后续档位变更不影响在途工单。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4、超时动作：响应超时→自动升级+通知决策人+标记违规；恢复超时→同上处理并计入SLA未达标。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5、参数（全部配置表项，禁止硬编码）：P1响应——基础30分钟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标准10分钟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进阶10分钟；P1恢复——4小时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2小时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1.5小时；P2响应·恢复——60分钟·8小时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30分钟·4小时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20分钟·3小时；P3——4小时·次日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2小时·次日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1小时·4小时。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验收：①跨工作日、跨节假日、跨夜间抽样20个用例全部正确（含边界：23:50开单、节假日开单、跨月开单）；②修改档位后在途工单的SLA截止时间保持不变。</w:t>
            </w:r>
          </w:p>
        </w:tc>
      </w:tr>
      <w:tr w14:paraId="0A2ED81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BB3571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7472C4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M5工单与SLA</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CC5450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M5-21工时记录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1、字段：开始时间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结束时间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工时类型（远程处置</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现场处置</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巡检</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通勤）</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关联工单</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执行人。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2、规则：工程师在工单内可填写与修改本人填报的工时；服务经理可查看本团队全部工时。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3、未填写工时的工单在毛利计算中按配置默认值处理并做标记，不得静默按0计算。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验收：①工程师可正常填报工时；②毛利计算结果能区分"实填工时"与"默认值"两类来源。</w:t>
            </w:r>
          </w:p>
        </w:tc>
      </w:tr>
      <w:tr w14:paraId="3FFD8DCE">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7852C1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32A813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M6配置备份</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2A3AA2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M6-1定时备份计划</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路径：资产→配置备份→备份计划</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1、计划字段：计划名称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目标设备（多选，限定本租户）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备份方式（SSH拉取running-config）</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执行频率（默认每日02:00，可配置）</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失败重试次数（2次，间隔10分钟）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启用状态。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2、支持按设备类型套用默认计划模板；新接入设备自动纳入默认备份计划（可退出）。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3、异步范式：创建与管理操作返回202+operation_id，前端显示"同步中"直至回读确认。</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验收：①新建计划后到达设定时间点自动执行并记录结果；②手动"立即执行"可用，且界面正确显示执行中状态。</w:t>
            </w:r>
          </w:p>
        </w:tc>
      </w:tr>
      <w:tr w14:paraId="69059718">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489FA8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79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195D7F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M6配置备份</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91D716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M6-2备份结果查询与差异比对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1、列表字段：设备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备份时间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执行结果（成功·失败·部分成功）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文件大小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与上一版本的差异行数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执行耗时。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2、筛选：设备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时间范围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执行结果。</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3、差异查看：左右分栏diff视图，变更行高亮；比对任务每6小时执行一次（与M4-17共用链路）。</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验收：①人为修改设备配置后，6小时内产生diff记录且差异行精确定位；②无变更时不产生diff记录。</w:t>
            </w:r>
          </w:p>
        </w:tc>
      </w:tr>
      <w:tr w14:paraId="2BF548FD">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21CCB9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1462FA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M6配置备份</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4D03D8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M6-3版本历史与回滚参考</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1、每设备保留最近30个版本（数量可配置）；支持按日期检索、下载Backup文件（权限受控）、标记基线版本。</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2、本期不实现自动下发回滚，仅提供历史版本参考文本与人工回滚指引。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3、存储：备份文件AES-256加密存储，保留期≥12个月；备份内容不得出现在日志、月报与导出文件中。</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4、所有查看与下载动作写入审计日志。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验收：①检索3个月前的历史版本可正常打开且内容与当时一致；②系统无"自动回滚"按钮；③全部下载动作在审计日志可查。</w:t>
            </w:r>
          </w:p>
        </w:tc>
      </w:tr>
      <w:tr w14:paraId="7E86405F">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A89158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5143CE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M6配置备份</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DA8D13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M6-4备份失败自动建单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1、规则：同一设备连续2次备份失败→自动生成P3工单（标记source=backup_failure）。</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2、工单内容须包含：设备名称、失败原因（认证失败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连接超时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权限不足）、最近一次成功时间。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3、建单机制复用M5-4的规则引擎与幂等键（tenant+incident唯一绑定）。</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验收：①模拟认证失败2次，第2次后10分钟内生成P3工单；②第1次失败不建单（仅记录）。</w:t>
            </w:r>
          </w:p>
        </w:tc>
      </w:tr>
      <w:tr w14:paraId="6987E5D4">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75D7ED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11A28B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M6配置备份</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602291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M6-5恢复演练记录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1、字段：演练时间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演练设备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使用的备份版本</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执行人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结论（成功·失败·部分成功）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备注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附件。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2、列表显示"距上次演练天数"，超过90天标红提示。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3、本期仅提供演练记录管理，不做自动恢复功能。</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验收：①新增演练记录后列表天数与标红态正确；②界面无自动恢复入口。</w:t>
            </w:r>
          </w:p>
        </w:tc>
      </w:tr>
      <w:tr w14:paraId="142A8543">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12F618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5D0494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M6配置备份</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10933E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M6-6客户侧只读查看</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1、客户门户与租户角色可见内容：设备列表+「最近备份时间」「备份是否正常」两列。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2、禁止下载配置文件内容（防泄密）、禁止查看diff详情。</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验收：①客户账号登录后页面无下载按钮、无diff入口；②直接调用下载接口返回403。</w:t>
            </w:r>
          </w:p>
        </w:tc>
      </w:tr>
      <w:tr w14:paraId="118F9762">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B51C8E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5361CE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M6配置备份</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696C47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M6-7变更检测与报备联动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1、每6小时执行一次diff；检测到配置变更时生成info级事件。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2、若该时段不存在对应的变更报备单→升级为P3工单（"未报备配置变更"）；存在报备单则仅记录事件不建单。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3、变更报备单字段：报备设备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变更内容摘要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计划执行时间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申请人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审批状态。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验收：①无报备情况下修改设备配置→生成P3工单；②先建变更报备单再改配置→仅记录事件不建单。</w:t>
            </w:r>
          </w:p>
        </w:tc>
      </w:tr>
      <w:tr w14:paraId="7054DD18">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D0B38F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22095F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M7远程处置与审计</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8A6B20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M7-0远程处置总纲与技术约束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1、本期按需求原文实现交互式远程会话：工程师经申请审批后登录设备进行交互式操作，全程录屏、记录命令、事后可审计。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2、可选增强能力为受控自动化脚本执行（预定义剧本、脱敏输出归档、按风险分级授权），对应M7-1至M7-4；是否纳入本期交付需甲方书面确认后报价。</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3、两条路线不是同一件事：交互式会话需要对接堡垒机+录屏存储+审批流，受控自动化不需要录屏但需剧本维护体系；两者工作量相差一个量级，须分别评估。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4、此事项未确认前，M7模块不得进入排期。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验收：①开发方提交《远程处置技术路线确认书》并经甲方书面确认；②确认书中明确本期包含项与报价依据。</w:t>
            </w:r>
          </w:p>
        </w:tc>
      </w:tr>
      <w:tr w14:paraId="0FB6D391">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C511E5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0D110C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M7远程处置与审计</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147A9F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M7-1受控自动化执行流程（可选增强）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路径：自动化→处置脚本</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1、7步执行流程：资产核验→前置检查→审批或预授权→锁定目标→执行→观察恢复→留证与失败补偿。</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2、执行弹窗字段：目标资产</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关联事件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参数（按Schema动态渲染）</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前置检查结果（只读展示）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授权说明。</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验收：①7步流程可完整走通；②资产核验不通过时无法进入后续步骤。</w:t>
            </w:r>
          </w:p>
        </w:tc>
      </w:tr>
      <w:tr w14:paraId="1DA598F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D262FA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DB58E9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M7远程处置与审计</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CAD300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M7-2操作风险分级策略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1、L1只读诊断：预授权后自动执行，限定执行频率（冷却期）与输出大小（≤256KB），输出脱敏后归档。</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2、L2低风险修复：满足健康门槛且限定单主机、存在预授权时自动执行，否则需审批。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3、L3高风险变更：双人审批（客户管理员+平台管理员），仅允许在维护窗口内执行，单次目标数≤10，执行后24小时冷却期。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验收：①三个等级的执行策略与限制逐一实机验证；②L3在维护窗口外申请被拦截。</w:t>
            </w:r>
          </w:p>
        </w:tc>
      </w:tr>
      <w:tr w14:paraId="532D8691">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E3157C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986064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M7远程处置与审计</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7333BE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M7-3读写操作审批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1、审批列表字段：状态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处置对象（会话或脚本）</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申请理由</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申请人→审批人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申请时间（含过期倒计时）。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2、硬性约束：审批人不得为申请人本人（自审请求被拦截并提示）。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3、拒绝必须填写原因，并写入审计日志。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4、审批通过后、执行之前仍需再次校验资产状态、授权有效期与设备可达性。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验收：①申请人自选本人为审批人被拦截；②审批通过后人为使设备不可达，执行被中止并记录原因。</w:t>
            </w:r>
          </w:p>
        </w:tc>
      </w:tr>
      <w:tr w14:paraId="70DFA1E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40ABE4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89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F9ABF6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M7远程处置与审计</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031CDA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M7-4执行记录与输出归档</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1、执行记录字段：执行ID</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处置对象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目标设备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步骤状态（等待·完成·进行中·失败，7色块标识）</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整体状态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申请人与审批人。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2、输出内容脱敏后归档（敏感参数替换为占位符）。</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3、并发控制：并发目标锁定键lock:{tenant}:{asset}:{runbook}；每租户并发上限2，单次最大目标数10。</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4、工程原则须写入设计说明："命令执行中断后必须先检查目标真实状态，不能依赖工具名称保证回滚成功"。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验收：①并发超限时排队或拒绝并有明确提示；②输出归档中不含密码、密钥等敏感信息。</w:t>
            </w:r>
          </w:p>
        </w:tc>
      </w:tr>
      <w:tr w14:paraId="4882B840">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F964E3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0F81D2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M7远程处置与审计</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29DF2D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M7-5审计要求（通用）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1、审计属性：追加式写入、不可修改不可删除、hash链完整可校验、保留期≥3年、支持按租户导出。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2、远程相关操作码至少覆盖：remote_session_request（申请）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remote_session_approve（审批）</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remote_session_start（会话开始）</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command_blocked（高危命令拦截）</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remote_session_end（会话结束）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recording_access（录屏调阅）。</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验收：①上述6类操作在审计日志中均可检索到；②hash链校验通过。</w:t>
            </w:r>
          </w:p>
        </w:tc>
      </w:tr>
      <w:tr w14:paraId="76328D5E">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E49254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1E596A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M7远程处置与审计</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59601D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M7-6交互式远程连接（本期主线）</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1、申请：工单详情页"发起远程会话"→选择目标设备（仅限本租户已授权设备）+访问级别（只读readonly</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读写readwrite）+预计时长+申请事由（必填，自动关联工单）。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2、审批：readwrite强制双人审批（二线互批，审批人≠申请人，自审被拦截）；readonly免审批但全程留痕；审批超时30分钟自动作废；审批通过后执行前再次校验资产状态与授权有效性。</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3、建连：通过堡垒机建立会话；无有效审批记录则无法建立连接（硬控制，而非事后提醒）；会话开始写入remote_session记录，并按合同约定推送通知给租户决策人（可按租户开关）。</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4、时长与并发：单会话默认时长60分钟，支持申请延长；单工程师并发会话上限2。</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5、结束：自动生成处置记录回填工单时间线（含会话时长</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命令条数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录屏引用）；超时无操作自动断开。</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验收：①未审批直接调用建连接口被拒绝且写入审计；②审批人等于申请人时被拦截；③会话结束后工单时间线出现完整处置记录；④录屏可按工单检索回放。</w:t>
            </w:r>
          </w:p>
        </w:tc>
      </w:tr>
      <w:tr w14:paraId="16A73FC5">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28A15D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69C586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M7远程处置与审计</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D716F9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M7-7设备授权清单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1、字段：工程师</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授权设备或设备组</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授权级别（readonly·readwrite）</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生效时间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到期时间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授权人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2、管理功能：按工程师批量授权、按设备组批量授权；到期自动失效，提前7天提醒；支持临时授权（单次工单有效期）。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3、校验规则：建立会话时校验发起人在授权清单内、级别匹配、且在有效期内，任一不满足即拒绝建连。</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4、客户可见性：租户管理员可只读查看"当前哪些设备已授权给服务商"，增强客户信任（对应"怕被服务商绑定"痛点）。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验收：①授权过期后发起会话被拒绝；②授权级别为readonly的工程师无法申请readwrite会话；③客户侧可见授权清单且不可修改。</w:t>
            </w:r>
          </w:p>
        </w:tc>
      </w:tr>
      <w:tr w14:paraId="2BCDF4EE">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0239A9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5D1DE1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M7远程处置与审计</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4C0F17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M7-8会话录屏</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1、录制范围：所有readwrite会话强制录屏；readonly会话按租户配置开关决定是否录制。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2、存储：视频文件+时间戳索引；热存储6个月后转冷备，总保留期按合同约定（建议3年）。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3、检索：按工单</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设备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工程师</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时间范围检索，支持定位到具体命令的执行时间点。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4、容量：设计说明中必须给出容量测算（会话数×平均时长×码率）与扩容方案。</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5、权限：仅服务经理、平台管理员、审计角色可查看；客户可按申请查看本租户录屏（需审批）。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验收：①readwrite会话100%有录屏文件；②按工单检索可回放且能定位到指定命令时间点；③无权限角色无法播放。</w:t>
            </w:r>
          </w:p>
        </w:tc>
      </w:tr>
      <w:tr w14:paraId="1D085B6A">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FB1793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6804B9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M7远程处置与审计</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4E9F04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M7-9命令日志与高危命令拦截</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1、记录字段：会话ID</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命令序号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时间戳</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命令原文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执行结果摘要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退出码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执行耗时。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2、高危命令拦截：内置高危命令清单（reboot</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erase</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delete</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format</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writeerase等），默认拦截并要求二次确认；清单支持配置维护；拦截动作写入审计日志。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3、检索与导出：按执行人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设备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命令关键词检索；导出走短时签名地址。</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4、脱敏：命令中的密码、密钥参数自动替换为`?`。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验收：①执行高危命令被拦截并需二次确认；②日志中密码以`?`显示；③按关键词检索可在3秒内返回结果。</w:t>
            </w:r>
          </w:p>
        </w:tc>
      </w:tr>
      <w:tr w14:paraId="66D6EE68">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9015B7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0E2F93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65F8FA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M8-1通知渠道对接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1、本期支持的6类渠道：邮件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短信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钉钉机器人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企业微信应用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自定义Webhook</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电话语音。</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2、企业微信渠道按租户配置corpid</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agentid，并对回调做签名校验。</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3、渠道配置抽屉：端点地址</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密钥（只读展示、仅可轮换）</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签名方式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重试预算</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退避策略</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目标范围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域名白名单。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验收：①6类渠道均可完成配置与测试发送；②密钥字段界面不可明文查看。</w:t>
            </w:r>
          </w:p>
        </w:tc>
      </w:tr>
      <w:tr w14:paraId="453E37B3">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70D519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2BD66C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24F040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M8-2渠道×级别矩阵</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1、灾难级：企业微信或钉钉+邮件+短信+电话语音+自动建单（绕过聚合等待）。</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2、严重级：企业微信或钉钉+邮件+短信（不含电话）。</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3、一般级：企业微信或钉钉+邮件（聚合5分钟发送）。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4、警告级：仅企业微信或钉钉。信息级：仅记录不通知。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5、矩阵为配置项，可按租户覆盖。</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验收：①构造5个级别的告警，实际派发渠道与矩阵逐项一致。</w:t>
            </w:r>
          </w:p>
        </w:tc>
      </w:tr>
      <w:tr w14:paraId="2A2A9B11">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481FB7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63D6FC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5D32E7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M8-3送达记录与死信管理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1、送达记录8列：时间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事件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渠道</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接收对象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尝试次数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耗时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请求·回执内容。</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2、性能指标：受理到送达P95≤30秒。</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3、死信队列支持重放（使用相同去重键、生成新请求号）；短信渠道按月限额控制。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4、"受理"不等于"送达"，送达率仅统计delivered状态的消息。</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验收：①P95送达耗时≤30秒（以100条消息抽样统计）；②死信消息重放后送达且不重复计数。</w:t>
            </w:r>
          </w:p>
        </w:tc>
      </w:tr>
      <w:tr w14:paraId="4B783D53">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471A4A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57104F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2CDCD5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M8-4企业微信门户与免密登录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路径：企业微信工作台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侧边栏→客户门户H5</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1、以企业微信内嵌H5形式提供；企业微信身份免密登录（userid与平台账号的绑定关系由服务经理在后台维护），会话有效期8小时。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2、仅可见本租户数据；跨租户访问返回统一响应"不存在或无权限"并写入审计日志。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3、移动端优先设计，页面加载时间&lt;2秒。</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验收：①用A租户账号访问B租户工单ID，返回统一提示且写入审计；②首次进入无需输入账号密码。</w:t>
            </w:r>
          </w:p>
        </w:tc>
      </w:tr>
      <w:tr w14:paraId="4F11CE2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3DDEED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99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C82EBA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79D09D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M8-5设备概况（客户视角）</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1、顶部4张卡：在管设备数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当前正常数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异常数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本月可用率。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2、设备列表列：设备名称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安装位置</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状态（正常·异常·维护中）</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最近异常时间。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3、文案客户友好化：不得出现IP地址、OID、触发器、Proxy、模板等运维术语；监控"未知"状态对客户显示为"正在接入"。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验收：①客户视角逐屏核查无内部术语；②字段数量与顺序与上述定义一致。</w:t>
            </w:r>
          </w:p>
        </w:tc>
      </w:tr>
      <w:tr w14:paraId="3FDE5BE2">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A3AACA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1F2042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FE906F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M8-6拍照报障</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1、入口：客户门户"报障"页+企业微信消息菜单（与M5-5共用同一套接口与状态机）。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2、字段与规则详见M5-5：故障分类</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关联设备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影响范围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描述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图片≤3张</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联系人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紧急程度（仅供参考）。</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3、提交到工单生成≤10秒；30秒内重复提交同设备同分类时提示已提交。</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验收：①移动端拍照到提交完成全流程≤30秒；②提交后门户即时显示工单号与预计响应时限。</w:t>
            </w:r>
          </w:p>
        </w:tc>
      </w:tr>
      <w:tr w14:paraId="7D93C6AC">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DCDDB2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5EBD29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D2A294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M8-7工单进度查询</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1、列表列：工单号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标题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状态（客户友好文案：已受理·处理中·待您确认·已完成）</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提交时间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处理时长。</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2、详情页：进度时间线（提交→受理→处理中→待确认→完成）+处置说明+客户评论框。</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3、工程师姓名统一显示为"工程师"，不展示内部负责人姓名，不展示内部升级动作与转派记录。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验收：①客户详情页无工程师真实姓名；②状态文案为客户友好版且与M5内部状态一一对应。</w:t>
            </w:r>
          </w:p>
        </w:tc>
      </w:tr>
      <w:tr w14:paraId="361173F5">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95E0FA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1BDC18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F14FD8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M8-8确认关单与重开（移动端）</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1、门户首页对"待您确认"的工单置顶展示提示卡。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2、确认解决</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标记未解决</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重开三个动作与M5-15、M5-17共用同一套状态机与接口，不得另建一套。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验收：①门户确认与工程师后台查到的close_mode一致；②重开动作在两侧状态同步。</w:t>
            </w:r>
          </w:p>
        </w:tc>
      </w:tr>
      <w:tr w14:paraId="17AE4684">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FBB635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792B70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E9AE82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M8-9报告中心</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1、列表列：报告名称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报告类型（月报·体检报告·巡检报告）</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期次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发布时间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是否已读。</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2、支持在线查看（H5）与PDF下载。</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3、客户首次打开即记录read_at_first，该值不可被后续打开覆盖。</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验收：①客户首次打开月报后后台read_at_first有值；②再次打开不覆盖原值。</w:t>
            </w:r>
          </w:p>
        </w:tc>
      </w:tr>
      <w:tr w14:paraId="4473B6D2">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3171BA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2D6280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F42B34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M8-10通知偏好设置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1、客户可自助设置：接收级别（仅P1</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P1+P2</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全部）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静音时段（如22:00-08:00仅接收P1）</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接收渠道（企业微信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短信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电话，按合同可选）。</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验收：①设置静音时段后，P3事件在该时段内不推送但完整记录；②P1事件在静音时段内仍正常推送。</w:t>
            </w:r>
          </w:p>
        </w:tc>
      </w:tr>
      <w:tr w14:paraId="718F5D38">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9170CA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8853BD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C1A245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M8-11分级推送落地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1、P1=电话外呼+企业微信（30秒内发起）；P2=企业微信+短信；P3</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P4=企业微信。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2、电话外呼需采购第三方语音通道，并发规格与单价须在采购前确认（通道资源费用由甲方承担，乙方负责技术对接）。</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验收：①P1告警触发后30秒内电话外呼发起；②通道调用失败进入死信队列且可重放。</w:t>
            </w:r>
          </w:p>
        </w:tc>
      </w:tr>
      <w:tr w14:paraId="052DD02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0404A6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BC2AA1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M8客户门户与通知</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BE444B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M8-12门户通用要求</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1、页面加载&lt;2秒（4G网络下首屏）；移动端优先设计（客户主要在手机上使用）。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2、所有面向客户的文案需做友好化改造，开发方须提交《客户门户文案对照表》（内部术语→客户文案）经甲方书面确认后方可发布。</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3、无障碍要求：遵循WCAG2.1AA级，文字对比度≥4.5:1，点击区域≥44×44px，支持系统级字体缩放。</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验收：①首屏加载&lt;2秒；②文案对照表经甲方签字确认；③对比度与点击区域抽检通过。</w:t>
            </w:r>
          </w:p>
        </w:tc>
      </w:tr>
      <w:tr w14:paraId="53FC0D6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7CA8D3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94EE07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M9月报与体检报告</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0456D7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M9-1报表计算口径（所有报告的统一数据源）</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1、口径定义：</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·可用率=1−不可用时间并集÷有效服务时间；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·有效服务时间=约定服务时段−经批准排除的区间；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·MTTA=首次有效人工确认时间−问题发生时间；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·MTTR=监控恢复时间−问题发生时间。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2、工单解决时长与MTTR分别统计，不得混用。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3、无数据区间单列，不默认视为可用。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4、小时趋势图仅用于容量展示，不得用于推断短时故障。</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5、报表同时给出均值、P95、样本量与未恢复数量。</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验收：①同一组数据下，月报与SLA报表口径完全一致；②构造无数据区间，月报不将其计入可用时长。</w:t>
            </w:r>
          </w:p>
        </w:tc>
      </w:tr>
      <w:tr w14:paraId="39179D28">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28B748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DFE1AA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M9月报与体检报告</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AED9DD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M9-2月报快照与冻结</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1、快照生成后冻结口径版本、原始数据与计算结果，不可修改，用于合同对账。</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2、快照保留策略：合同期内永久。</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验收：①快照生成后源数据变更不影响快照数值；②快照带口径版本号且可查询。</w:t>
            </w:r>
          </w:p>
        </w:tc>
      </w:tr>
      <w:tr w14:paraId="06921257">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F08854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A96030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M9月报与体检报告</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40AA9E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M9-3老板版月报（1页，核心交付物）</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1、形态：H5+PDF双输出（服务端无头浏览器同源渲染，两套模板不得分离）；企业微信推送给决策人；记录read_at_first。</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2、版面5个区块：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·①网络可用率——本月可用率+环比，大数字+30天日历热力条（每天一格：绿</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黄</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红）；</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·②本月做了什么——工单总数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P1次数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MTTR（中位数）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SLA达成率，4张数字卡；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·③帮您拦住了什么——隐患处置数（P4闭环数量）+典型案例1例（一句话描述+日期）；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·④您的花费值不值——本月服务费vs参照值（同规模专职工程师月薪区间）对比条；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·⑤下月建议——≤3条（取自隐患清单Top+容量预测）。</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3、页脚：完整版月报入口+服务经理联系方式+口径版本号。</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验收：①系统无任何手工填数入口；②任意数字可点击下钻到详版对应章节；③生成耗时≤10秒；④PDF与H5内容逐字一致。</w:t>
            </w:r>
          </w:p>
        </w:tc>
      </w:tr>
      <w:tr w14:paraId="5948EBE1">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08EC34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DD947B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M9月报与体检报告</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19FFBD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M9-4完整版月报（6章）</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1、①服务总览：可用率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工单数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MTTR</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SLA达成率+环比箭头。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2、②事件明细表：工单号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等级</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设备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根因摘要</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恢复时长</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是否客户确认</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是否超时（超时标红）。</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3、③告警统计：Top10规则频次+告警确认及时率。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4、④容量趋势：上联带宽</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并发会话数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DHCP池的月度曲线，超过70%处标注预警线。</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5、⑤隐患清单：开放的P4项（项</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风险说明</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建议</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预计影响），已闭环项灰显。</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6、⑥关单质量：超时自动关单的数量与占比，透明化呈现。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验收：①表格每行可下钻到工单或告警原始记录；②数据与老板版同源且可逐项核对一致。</w:t>
            </w:r>
          </w:p>
        </w:tc>
      </w:tr>
      <w:tr w14:paraId="1F7CD320">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DC860C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E4476B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M9月报与体检报告</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FCE26C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M9-5报告推送与阅读记录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1、推送流程：每月1日自动生成上月月报→服务经理审核（一键发布或退回重生成）→企业微信推送给决策人与报障人；推送记录含时间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接收人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渠道</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送达状态（区分受理与送达）。</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2、阅读记录：客户首次打开记录read_at_first；未读超过7天向服务经理提示"客户未读，建议电话跟进"。</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3、补发：支持手动补发与重新推送，同一期次不重复生成数据（口径版本已冻结）。</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验收：①月报在每月1日自动生成；②审核退回后可修改重生成且留有版本记录；③未读超7天提示准时产生。</w:t>
            </w:r>
          </w:p>
        </w:tc>
      </w:tr>
      <w:tr w14:paraId="34EB14E1">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A710EF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7BE2FF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M9月报与体检报告</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901CE3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M9-6网络健康体检报告（售前转化工具）</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1、①总体评分0-100分，按可用性</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冗余</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安全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寿命</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备份5个维度加权，以雷达图呈现。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2、②风险清单（按P0</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P1</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P2排序）：超期服役设备数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无冗余单点数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无备份设备数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弱口令数，每项附"潜在影响"一句话说明。</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3、③断网代价测算：估算每小时停业损失区间，数据来源为客户填报时必须标注"客户口径"字样。</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4、④建议方案：映射到三档套餐并给出建议档位与首年费用区间。</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5、数据来源：手工录入或Excel导入的设备清单；本期不做自动发现与自动风险扫描（字段须预留以便二期扩展）。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验收：①同一份清单两次生成结果完全一致；②"断网代价测算"区块含"客户口径"标注。</w:t>
            </w:r>
          </w:p>
        </w:tc>
      </w:tr>
      <w:tr w14:paraId="610CCEA4">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568570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283360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M9月报与体检报告</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2A1B58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M9-7季度巡检报告</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1、结构：由巡检执行单自动汇总，每台设备一行。</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2、检查项：安全合规类（弱口令</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固件版本</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证书到期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配置变更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超期服役</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备份状态）+配置备份验证+线路质量+遗留隐患闭环情况。</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3、每项三种结果：✅正常</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⚠️建议关注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❌需处理，并支持工程师填写备注。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4、巡检项清单按设备类型模板化（路由器</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交换机</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防火墙</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AP各一套模板），模板可由甲方维护。</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验收：①按模板生成的巡检单可正常填写并汇总成报告；②新增一套设备类型模板无需改代码。</w:t>
            </w:r>
          </w:p>
        </w:tc>
      </w:tr>
      <w:tr w14:paraId="1AC30E94">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FF629A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B81F29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M9月报与体检报告</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9A2B73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M9-8年度复盘报告（标注优先级，可二期交付）</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1、内容：月度指标的12点连线图+年度同比+年度SLA达成率+续费建议。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2、数据完全复用月报payload，不另建统计链路。</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验收：①年度数据与12份月报汇总结果一致。</w:t>
            </w:r>
          </w:p>
        </w:tc>
      </w:tr>
      <w:tr w14:paraId="64D62FC6">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E80646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61B1FB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M9月报与体检报告</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B2918D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M9-9报告通用规则（验收硬约束）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1、所有报表数据仅来自系统自动统计，禁止提供手工填数入口（体检报告中客户访谈信息除外，且必须标注"客户口径"）。</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2、数字必须可逐级下钻：老板版→完整版→工单</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告警原始记录。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3、PDF与H5同源渲染（服务端无头浏览器），避免两套模板产生内容差异。</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4、报表模板版本化：口径变更后历史报表不重算，页脚标注口径版本号。</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验收：①全系统无报表类手工填数输入框；②修改口径后重新打开历史月报，数值保持发布时原值。</w:t>
            </w:r>
          </w:p>
        </w:tc>
      </w:tr>
      <w:tr w14:paraId="180180EF">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1CAD13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283BAC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021AAC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M10-1SLA达成率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1、服务级三态判定：达标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未达标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样本不足。</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2、均值口径与排除规则同M9-1；报表周期可切换，历史月份展示冻结快照值。</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验收：①样本量低于阈值的服务显示"样本不足"而非达标；②历史月份数值与快照一致。</w:t>
            </w:r>
          </w:p>
        </w:tc>
      </w:tr>
      <w:tr w14:paraId="456DDD6E">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700E90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76FBE3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E23866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M10-2告警确认及时率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1、MTTA（近24小时）=首次有效人工确认时间−问题发生时间，取均值。</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2、值班看板目标值≤5分钟。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3、事件级样本量与所属服务同列展示。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验收：①MTTA计算结果与事件明细中原时间差一致；②样本量为0时显示"—"而非0。</w:t>
            </w:r>
          </w:p>
        </w:tc>
      </w:tr>
      <w:tr w14:paraId="400BADB3">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1B15F8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959847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4489F8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M10-3远程处置率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1、定义：远程处置率=远程解决工单数÷已处置工单数×100%。</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2、"远程解决"判定：工单包含≥1次成功的远程会话或受控执行，且未升级到现场处置。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3、目标值&gt;70%。</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4、取值随M7技术路线确定后实现（采用受控自动化路线时按脚本执行成功计数）。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验收：①与人工抽样核对20张工单的计算结果一致。</w:t>
            </w:r>
          </w:p>
        </w:tc>
      </w:tr>
      <w:tr w14:paraId="34A9B3C2">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BEC287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119</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AE4550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BE0DAF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M10-4客户毛利统计</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1、计算公式：每客户月毛利=月费−（处置工时×人力单价+系统分摊+交通成本）。</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2、处置工时取M5-21的工时记录求和。</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3、人力单价与系统分摊规则为配置表项，必须提供维护界面（不得写死在代码中）。</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验收：①与按公式手算的历史月份结果一致；②修改人力单价后历史月份数据不重算。</w:t>
            </w:r>
          </w:p>
        </w:tc>
      </w:tr>
      <w:tr w14:paraId="685D6A71">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8842CD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120</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B5C517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1E6E6E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M10-5人员服务能力</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1、按工程师统计：在办工单数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已办工单数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处置时长中位数（口径与MTTR一致）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远程处置占比</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超时工单数。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2、支持导出。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验收：①中位数计算结果与按工单明细手工排序结果一致；②导出数据与页面一致。</w:t>
            </w:r>
          </w:p>
        </w:tc>
      </w:tr>
      <w:tr w14:paraId="513FCB4C">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835F64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121</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2689E0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C3EED9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M10-6运营计量看板</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1、6张KPI卡：活跃租户数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资产数与监控项数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实际写入NVPS</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数据保留量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工单首次响应时长（按合同等级分别统计）</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服务覆盖率。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2、图表：NVPS按租户分布、共享资源池负载占比环图、工单响应趋势（含SLA阈值参考线）、告警降噪率。</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3、租户计量表10列。</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4、计量≠收费：本页数据用于资源计量，不直接作为账单依据。</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验收：①页面明确标注"计量不等于收费"提示；②6张KPI与明细表数据一致。</w:t>
            </w:r>
          </w:p>
        </w:tc>
      </w:tr>
      <w:tr w14:paraId="602DD0C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808D30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122</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0CC81C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6B9D35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M10-7容量估算模型（平台管理员）</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1、8项输入：主机数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每台有效监控项数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采样间隔</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历史保留天数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每值字节数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启用趋势比例</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趋势保留天数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余量系数。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2、9项输出：平均NVPS</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日写入量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历史总量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趋势数据量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单节点容量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主备两份容量</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2倍峰值目标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有效监控项总数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建议资源池数量。</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3、核心公式：NVPS=主机数×每主机监控项数÷采样间隔；含Proxy缓冲测算与PoC目标（验收标准：12,500NVPS持续回放24小时稳定）。</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验收：①输入固定参数后输出与手算一致；②PoC目标可在测试环境复现。</w:t>
            </w:r>
          </w:p>
        </w:tc>
      </w:tr>
      <w:tr w14:paraId="79A565EC">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E3CF47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123</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26AC29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B562DD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M10-8平台健康与SLO（平台管理员）</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1、6张KPI卡：控制层可用性（目标99.9%）</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APIP95响应时间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Webhook落库失败数</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补偿水位延迟</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死信队列积压</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备份与恢复演练状态。</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2、8层分层高可用状态+4张时序图+3张明细表。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3、试点验收目标：控制层可用性99.9%、RPO≤15分钟/RTO≤60分钟、12,500NVPS稳定24小时、事件到通知渠道受理P95≤30秒、2倍峰值持续30分钟。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验收：①各项SLO有可查询的历史曲线；②演练记录可追溯。</w:t>
            </w:r>
          </w:p>
        </w:tc>
      </w:tr>
      <w:tr w14:paraId="3B971019">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DE3699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124</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DF34B9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3974B0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M10-9时间维度与导出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1、时间范围预设（1小时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6小时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24小时</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7天</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30天，各自对应不同的取点数）。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2、表格支持排序与分页（每页10/15/25/50/100可选）。</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3、导出统一走短时签名地址。</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4、时间显示统一采用相对格式（N秒前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N分钟前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N小时前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N天前）与绝对时间并存。</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验收：①各时间范围切换后取点数与配置一致；②导出文件包含当前时间范围标注。</w:t>
            </w:r>
          </w:p>
        </w:tc>
      </w:tr>
      <w:tr w14:paraId="544BBE52">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7F3A03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125</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8BAECB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AA47D4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M10-10单人可管客户数</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1、计算公式：单人可管客户数=活跃租户数÷（值守人力+二线人力折算FTE）。</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2、FTE按月折算（满勤计1.0）。</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3、扩张判定参考值≥12（低于该值说明人力模型不成立）。</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验收：①输入已知人力与租户数，计算结果与手算一致；②该指标可导出用于经营复盘。</w:t>
            </w:r>
          </w:p>
        </w:tc>
      </w:tr>
      <w:tr w14:paraId="23E46123">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99B4FF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126</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642FDA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E5D5CF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M10-11跳档触发提示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1、规则：月度设备清点后，若实际设备数＞契约设备数，自动生成服务经理待办任务（扩容跟进或跳档跟进）。</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验收：①构造超限租户，T+1日生成待办任务且通知到服务经理。</w:t>
            </w:r>
          </w:p>
        </w:tc>
      </w:tr>
      <w:tr w14:paraId="65E0A051">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BDC959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127</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F46FCB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8F506A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M10-12八项经营指标口径定义</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1、本条列出的8个指标定义是平台全部统计口径的唯一来源，任何页面、报表、导出文件均不得另立口径。8个指标为：</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①月可用率=1−不可用时间并集÷有效服务时间；有效服务时间=约定服务时段−经批准排除的区间；无数据区间单列，不默认视为可用；</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②MTTA（告警确认及时率）=首次有效人工确认时间−问题发生时间，取均值，同时给出P50／P95与样本量，值班看板目标值≤5分钟；</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③MTTR（监控恢复时长）=监控恢复时间−问题发生时间，取中位数，同时给出均值、P95与未恢复数量；</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④工单解决时长=工单关闭时间−工单创建时间，取中位数；与MTTR分别统计，不得混用或相互替代；</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⑤SLA达成率=达标工单数÷适用工单数；达标=响应实际时间≤响应截止时间且恢复实际时间≤恢复截止时间；适用工单为P1-P3且未被SLA排除的工单；</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⑥远程处置率=远程解决工单数÷已处置工单数×100%；"远程解决"判定为工单含≥1次成功远程会话或受控执行且未升级到现场；目标值&gt;70%；</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⑦客户月毛利=月费−（处置工时×人力单价+系统分摊+交通成本）；处置工时取自M5-21工时记录；人力单价与系统分摊为配置表项并提供维护界面；</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⑧单人可管客户数=活跃租户数÷（值守人力+二线人力折算FTE）；FTE按月折算（满勤计1.0）；扩张判定参考值≥12。</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2、上述指标在经营看板、月报（老板版与完整版）、SLA报表、运营驾驶舱四处必须调用同一套指标计算服务，禁止各页面自行编写统计SQL，防止口径漂移。</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3、所有时长类指标一律同时给出中位数、均值、P95与样本量；样本量为0时显示"—"而非0；时区统一Asia/Shanghai，服务时段默认7×24。</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验收：①同一指标在四个位置取值完全一致；②修改计算服务后四处同步生效；③随机抽3个历史月份，8个指标与按上述公式手工核算的结果一致。</w:t>
            </w:r>
          </w:p>
        </w:tc>
      </w:tr>
      <w:tr w14:paraId="35CCFF23">
        <w:tblPrEx>
          <w:tblCellMar>
            <w:top w:w="0" w:type="dxa"/>
            <w:left w:w="108" w:type="dxa"/>
            <w:bottom w:w="0" w:type="dxa"/>
            <w:right w:w="108" w:type="dxa"/>
          </w:tblCellMar>
        </w:tblPrEx>
        <w:tc>
          <w:tcPr>
            <w:tcW w:w="37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C3955E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128</w:t>
            </w:r>
          </w:p>
        </w:tc>
        <w:tc>
          <w:tcPr>
            <w:tcW w:w="545"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7A7400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M10经营数据看板</w:t>
            </w:r>
          </w:p>
        </w:tc>
        <w:tc>
          <w:tcPr>
            <w:tcW w:w="407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6EABE0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M10-13前置依赖：工时字段</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1、客户毛利（M10-4）与人员服务能力（M10-5）均依赖工单工时记录（M5-21）。</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2、工时字段必须与M5工单模块同期建设，不得后置，否则上述两项无法验收。</w:t>
            </w:r>
            <w:r>
              <w:rPr>
                <w:rFonts w:hint="eastAsia" w:ascii="宋体" w:hAnsi="宋体" w:eastAsia="宋体" w:cs="宋体"/>
                <w:color w:val="auto"/>
                <w:sz w:val="24"/>
                <w:szCs w:val="24"/>
                <w:highlight w:val="none"/>
              </w:rPr>
              <w:br w:type="textWrapping"/>
            </w:r>
            <w:r>
              <w:rPr>
                <w:rFonts w:hint="eastAsia" w:ascii="宋体" w:hAnsi="宋体" w:eastAsia="宋体" w:cs="宋体"/>
                <w:color w:val="auto"/>
                <w:sz w:val="24"/>
                <w:szCs w:val="24"/>
                <w:highlight w:val="none"/>
              </w:rPr>
              <w:t>验收：①工单详情页存在工时填报区域且数据可写入；②毛利报表能读取到工时数据。</w:t>
            </w:r>
          </w:p>
        </w:tc>
      </w:tr>
    </w:tbl>
    <w:p w14:paraId="017DE417">
      <w:pPr>
        <w:keepNext/>
        <w:keepLines/>
        <w:numPr>
          <w:ilvl w:val="1"/>
          <w:numId w:val="11"/>
        </w:numPr>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平台系统原型设计</w:t>
      </w:r>
    </w:p>
    <w:p w14:paraId="4E8354E6">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lang w:val="en-US" w:eastAsia="zh-CN"/>
        </w:rPr>
        <w:t>截取关键界面原型图。</w:t>
      </w:r>
    </w:p>
    <w:p w14:paraId="2616FF91">
      <w:pPr>
        <w:keepNext w:val="0"/>
        <w:keepLines w:val="0"/>
        <w:pageBreakBefore w:val="0"/>
        <w:widowControl w:val="0"/>
        <w:kinsoku/>
        <w:wordWrap/>
        <w:overflowPunct/>
        <w:topLinePunct w:val="0"/>
        <w:autoSpaceDE/>
        <w:autoSpaceDN/>
        <w:bidi w:val="0"/>
        <w:adjustRightInd w:val="0"/>
        <w:snapToGrid/>
        <w:spacing w:after="0" w:line="360" w:lineRule="auto"/>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drawing>
          <wp:inline distT="0" distB="0" distL="114300" distR="114300">
            <wp:extent cx="5273040" cy="2817495"/>
            <wp:effectExtent l="9525" t="9525" r="13335" b="1143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5273040" cy="2817495"/>
                    </a:xfrm>
                    <a:prstGeom prst="rect">
                      <a:avLst/>
                    </a:prstGeom>
                    <a:noFill/>
                    <a:ln>
                      <a:solidFill>
                        <a:schemeClr val="bg1">
                          <a:lumMod val="65000"/>
                        </a:schemeClr>
                      </a:solidFill>
                    </a:ln>
                  </pic:spPr>
                </pic:pic>
              </a:graphicData>
            </a:graphic>
          </wp:inline>
        </w:drawing>
      </w:r>
    </w:p>
    <w:p w14:paraId="2C82C3AB">
      <w:pPr>
        <w:keepNext/>
        <w:keepLines/>
        <w:numPr>
          <w:ilvl w:val="1"/>
          <w:numId w:val="11"/>
        </w:numPr>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平台系统集成</w:t>
      </w:r>
    </w:p>
    <w:p w14:paraId="59145052">
      <w:pPr>
        <w:keepNext w:val="0"/>
        <w:keepLines w:val="0"/>
        <w:pageBreakBefore w:val="0"/>
        <w:widowControl w:val="0"/>
        <w:numPr>
          <w:ilvl w:val="0"/>
          <w:numId w:val="12"/>
        </w:numPr>
        <w:kinsoku/>
        <w:wordWrap/>
        <w:overflowPunct/>
        <w:topLinePunct w:val="0"/>
        <w:autoSpaceDE/>
        <w:autoSpaceDN/>
        <w:bidi w:val="0"/>
        <w:adjustRightInd w:val="0"/>
        <w:snapToGrid/>
        <w:spacing w:after="0" w:line="360" w:lineRule="auto"/>
        <w:ind w:left="420" w:leftChars="0" w:hanging="420" w:firstLineChars="0"/>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通过参数化配置，对接邮件通知、钉钉、飞书等第三方消息推送通道。</w:t>
      </w:r>
    </w:p>
    <w:p w14:paraId="31076F1E">
      <w:pPr>
        <w:keepNext w:val="0"/>
        <w:keepLines w:val="0"/>
        <w:pageBreakBefore w:val="0"/>
        <w:widowControl w:val="0"/>
        <w:numPr>
          <w:ilvl w:val="0"/>
          <w:numId w:val="12"/>
        </w:numPr>
        <w:kinsoku/>
        <w:wordWrap/>
        <w:overflowPunct/>
        <w:topLinePunct w:val="0"/>
        <w:autoSpaceDE/>
        <w:autoSpaceDN/>
        <w:bidi w:val="0"/>
        <w:adjustRightInd w:val="0"/>
        <w:snapToGrid/>
        <w:spacing w:after="0" w:line="360" w:lineRule="auto"/>
        <w:ind w:left="420" w:leftChars="0" w:hanging="420" w:firstLineChars="0"/>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通过白名单策略，接收日志采集端的注册、连接、数据上报等操作。</w:t>
      </w:r>
    </w:p>
    <w:p w14:paraId="3EDCDB76">
      <w:pPr>
        <w:keepNext/>
        <w:keepLines/>
        <w:numPr>
          <w:ilvl w:val="1"/>
          <w:numId w:val="11"/>
        </w:numPr>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日志采集端功能</w:t>
      </w:r>
    </w:p>
    <w:p w14:paraId="67A2039F">
      <w:pPr>
        <w:keepNext w:val="0"/>
        <w:keepLines w:val="0"/>
        <w:pageBreakBefore w:val="0"/>
        <w:widowControl w:val="0"/>
        <w:numPr>
          <w:ilvl w:val="0"/>
          <w:numId w:val="12"/>
        </w:numPr>
        <w:kinsoku/>
        <w:wordWrap/>
        <w:overflowPunct/>
        <w:topLinePunct w:val="0"/>
        <w:autoSpaceDE/>
        <w:autoSpaceDN/>
        <w:bidi w:val="0"/>
        <w:adjustRightInd w:val="0"/>
        <w:snapToGrid/>
        <w:spacing w:after="0" w:line="360" w:lineRule="auto"/>
        <w:ind w:left="420" w:leftChars="0" w:hanging="420" w:firstLineChars="0"/>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通过参数配置实现与服务端平台系统对接，实现采集端状态上报，实现采集的数据上传。</w:t>
      </w:r>
    </w:p>
    <w:p w14:paraId="134C9DA4">
      <w:pPr>
        <w:keepNext w:val="0"/>
        <w:keepLines w:val="0"/>
        <w:pageBreakBefore w:val="0"/>
        <w:widowControl w:val="0"/>
        <w:numPr>
          <w:ilvl w:val="0"/>
          <w:numId w:val="12"/>
        </w:numPr>
        <w:kinsoku/>
        <w:wordWrap/>
        <w:overflowPunct/>
        <w:topLinePunct w:val="0"/>
        <w:autoSpaceDE/>
        <w:autoSpaceDN/>
        <w:bidi w:val="0"/>
        <w:adjustRightInd w:val="0"/>
        <w:snapToGrid/>
        <w:spacing w:after="0" w:line="360" w:lineRule="auto"/>
        <w:ind w:left="420" w:leftChars="0" w:hanging="420" w:firstLineChars="0"/>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通过参数配置实现对特定网络终端设备的日志采集，包括但不限于终端设备的CPU、内存、存储空间、网络状态、运行情况等日志的采集。</w:t>
      </w:r>
    </w:p>
    <w:p w14:paraId="1F2C7D9C">
      <w:pPr>
        <w:numPr>
          <w:ilvl w:val="0"/>
          <w:numId w:val="13"/>
        </w:numPr>
        <w:spacing w:line="348" w:lineRule="auto"/>
        <w:outlineLvl w:val="2"/>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技术要求</w:t>
      </w:r>
    </w:p>
    <w:p w14:paraId="2CFCD8DC">
      <w:pPr>
        <w:keepNext/>
        <w:keepLines/>
        <w:numPr>
          <w:ilvl w:val="1"/>
          <w:numId w:val="14"/>
        </w:numPr>
        <w:tabs>
          <w:tab w:val="left" w:pos="0"/>
          <w:tab w:val="clear" w:pos="420"/>
        </w:tabs>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系统</w:t>
      </w:r>
      <w:r>
        <w:rPr>
          <w:rFonts w:hint="eastAsia" w:ascii="宋体" w:hAnsi="宋体" w:eastAsia="宋体" w:cs="宋体"/>
          <w:b/>
          <w:bCs/>
          <w:color w:val="auto"/>
          <w:sz w:val="24"/>
          <w:szCs w:val="24"/>
          <w:highlight w:val="none"/>
          <w:lang w:val="en-US" w:eastAsia="zh-CN"/>
        </w:rPr>
        <w:t>基础</w:t>
      </w:r>
      <w:r>
        <w:rPr>
          <w:rFonts w:hint="eastAsia" w:ascii="宋体" w:hAnsi="宋体" w:eastAsia="宋体" w:cs="宋体"/>
          <w:b/>
          <w:bCs/>
          <w:color w:val="auto"/>
          <w:sz w:val="24"/>
          <w:szCs w:val="24"/>
          <w:highlight w:val="none"/>
        </w:rPr>
        <w:t>能力</w:t>
      </w:r>
      <w:r>
        <w:rPr>
          <w:rFonts w:hint="eastAsia" w:ascii="宋体" w:hAnsi="宋体" w:eastAsia="宋体" w:cs="宋体"/>
          <w:b/>
          <w:bCs/>
          <w:color w:val="auto"/>
          <w:sz w:val="24"/>
          <w:szCs w:val="24"/>
          <w:highlight w:val="none"/>
          <w:lang w:val="en-US" w:eastAsia="zh-CN"/>
        </w:rPr>
        <w:t>要求</w:t>
      </w:r>
    </w:p>
    <w:p w14:paraId="0FEB28BA">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系统采用B/S架构并支持前后端分离模式，即前后端程序可分别部署，降低前后端应用程序的耦合程度；</w:t>
      </w:r>
    </w:p>
    <w:p w14:paraId="6219222C">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系统需具备操作日志记录及审计能力，操作日志记录须简洁明了且便于用户理解，记录每项操作详情，包含但不限于操作参数、操作时间、操作人、操作模块、操作前及操作后的信息及变化等数据，用于回溯系统数据变更历史记录，及进行相关的操作审计；</w:t>
      </w:r>
    </w:p>
    <w:p w14:paraId="15FC99EA">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系统运行参数等设置可以动态进行配置及调整；</w:t>
      </w:r>
    </w:p>
    <w:p w14:paraId="5D9BD8ED">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系统具备对展示的表格数据进行排序、筛选、精确/模糊检索、批量导出等</w:t>
      </w:r>
      <w:r>
        <w:rPr>
          <w:rFonts w:hint="eastAsia" w:ascii="宋体" w:hAnsi="宋体" w:eastAsia="宋体" w:cs="宋体"/>
          <w:color w:val="auto"/>
          <w:sz w:val="24"/>
          <w:szCs w:val="24"/>
          <w:highlight w:val="none"/>
          <w:lang w:val="en-US" w:eastAsia="zh-CN"/>
        </w:rPr>
        <w:t>功能</w:t>
      </w:r>
      <w:r>
        <w:rPr>
          <w:rFonts w:hint="eastAsia" w:ascii="宋体" w:hAnsi="宋体" w:eastAsia="宋体" w:cs="宋体"/>
          <w:color w:val="auto"/>
          <w:sz w:val="24"/>
          <w:szCs w:val="24"/>
          <w:highlight w:val="none"/>
        </w:rPr>
        <w:t>；</w:t>
      </w:r>
    </w:p>
    <w:p w14:paraId="30F57590">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系统具备对</w:t>
      </w:r>
      <w:r>
        <w:rPr>
          <w:rFonts w:hint="eastAsia" w:ascii="宋体" w:hAnsi="宋体" w:eastAsia="宋体" w:cs="宋体"/>
          <w:color w:val="auto"/>
          <w:sz w:val="24"/>
          <w:szCs w:val="24"/>
          <w:highlight w:val="none"/>
          <w:lang w:val="en-US" w:eastAsia="zh-CN"/>
        </w:rPr>
        <w:t>所有表单上传附件，对附件进行在线查看、批量下载、归档等功能</w:t>
      </w:r>
      <w:r>
        <w:rPr>
          <w:rFonts w:hint="eastAsia" w:ascii="宋体" w:hAnsi="宋体" w:eastAsia="宋体" w:cs="宋体"/>
          <w:color w:val="auto"/>
          <w:sz w:val="24"/>
          <w:szCs w:val="24"/>
          <w:highlight w:val="none"/>
        </w:rPr>
        <w:t>；</w:t>
      </w:r>
    </w:p>
    <w:p w14:paraId="76127629">
      <w:pPr>
        <w:keepNext/>
        <w:keepLines/>
        <w:numPr>
          <w:ilvl w:val="1"/>
          <w:numId w:val="14"/>
        </w:numPr>
        <w:tabs>
          <w:tab w:val="left" w:pos="0"/>
          <w:tab w:val="clear" w:pos="420"/>
        </w:tabs>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可靠性</w:t>
      </w:r>
      <w:r>
        <w:rPr>
          <w:rFonts w:hint="eastAsia" w:ascii="宋体" w:hAnsi="宋体" w:eastAsia="宋体" w:cs="宋体"/>
          <w:b/>
          <w:bCs/>
          <w:color w:val="auto"/>
          <w:sz w:val="24"/>
          <w:szCs w:val="24"/>
          <w:highlight w:val="none"/>
          <w:lang w:val="en-US" w:eastAsia="zh-CN"/>
        </w:rPr>
        <w:t>要求</w:t>
      </w:r>
    </w:p>
    <w:p w14:paraId="0BC2040F">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lang w:val="zh-CN"/>
        </w:rPr>
      </w:pPr>
      <w:r>
        <w:rPr>
          <w:rFonts w:hint="eastAsia" w:ascii="宋体" w:hAnsi="宋体" w:eastAsia="宋体" w:cs="宋体"/>
          <w:color w:val="auto"/>
          <w:sz w:val="24"/>
          <w:szCs w:val="24"/>
          <w:highlight w:val="none"/>
          <w:lang w:val="zh-CN"/>
        </w:rPr>
        <w:t>系统</w:t>
      </w:r>
      <w:r>
        <w:rPr>
          <w:rFonts w:hint="eastAsia" w:ascii="宋体" w:hAnsi="宋体" w:eastAsia="宋体" w:cs="宋体"/>
          <w:color w:val="auto"/>
          <w:sz w:val="24"/>
          <w:szCs w:val="24"/>
          <w:highlight w:val="none"/>
          <w:lang w:val="en-US" w:eastAsia="zh-CN"/>
        </w:rPr>
        <w:t>需具备良好</w:t>
      </w:r>
      <w:r>
        <w:rPr>
          <w:rFonts w:hint="eastAsia" w:ascii="宋体" w:hAnsi="宋体" w:eastAsia="宋体" w:cs="宋体"/>
          <w:color w:val="auto"/>
          <w:sz w:val="24"/>
          <w:szCs w:val="24"/>
          <w:highlight w:val="none"/>
          <w:lang w:val="zh-CN"/>
        </w:rPr>
        <w:t>的安全机制和可靠性保障。系统开发应针对于各种数据的管理和操作，具备完善的分级权限机制，保证数据的安全和合理使用。</w:t>
      </w:r>
    </w:p>
    <w:p w14:paraId="5D168D57">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lang w:val="zh-CN"/>
        </w:rPr>
      </w:pPr>
      <w:r>
        <w:rPr>
          <w:rFonts w:hint="eastAsia" w:ascii="宋体" w:hAnsi="宋体" w:eastAsia="宋体" w:cs="宋体"/>
          <w:color w:val="auto"/>
          <w:sz w:val="24"/>
          <w:szCs w:val="24"/>
          <w:highlight w:val="none"/>
          <w:lang w:val="zh-CN"/>
        </w:rPr>
        <w:t>针对数据库的存储容量扩充、数据备份、数据安全、数据库操作管理等提出安全可靠的软硬件建设及改造方案，针对所有可能出现的安全隐患进行设计开发；</w:t>
      </w:r>
    </w:p>
    <w:p w14:paraId="41C85458">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lang w:val="zh-CN"/>
        </w:rPr>
      </w:pPr>
      <w:r>
        <w:rPr>
          <w:rFonts w:hint="eastAsia" w:ascii="宋体" w:hAnsi="宋体" w:eastAsia="宋体" w:cs="宋体"/>
          <w:color w:val="auto"/>
          <w:sz w:val="24"/>
          <w:szCs w:val="24"/>
          <w:highlight w:val="none"/>
          <w:lang w:val="zh-CN"/>
        </w:rPr>
        <w:t>系统设计应提供完整的容灾方案，包含系统备份、恢复和部署方案，支持两地三中心部署模式；</w:t>
      </w:r>
    </w:p>
    <w:p w14:paraId="1C4E7530">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zh-CN"/>
        </w:rPr>
        <w:t>系统服务中断时间（对单次故障系统恢复的最长容忍时间）&lt;1小时，SLA指标不低于99.99%有效工作时间；</w:t>
      </w:r>
    </w:p>
    <w:p w14:paraId="673EB731">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不允许存在系统数据丢失情况；</w:t>
      </w:r>
    </w:p>
    <w:p w14:paraId="7F2678EB">
      <w:pPr>
        <w:keepNext/>
        <w:keepLines/>
        <w:numPr>
          <w:ilvl w:val="1"/>
          <w:numId w:val="14"/>
        </w:numPr>
        <w:tabs>
          <w:tab w:val="left" w:pos="0"/>
          <w:tab w:val="clear" w:pos="420"/>
        </w:tabs>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安全性</w:t>
      </w:r>
      <w:r>
        <w:rPr>
          <w:rFonts w:hint="eastAsia" w:ascii="宋体" w:hAnsi="宋体" w:eastAsia="宋体" w:cs="宋体"/>
          <w:b/>
          <w:bCs/>
          <w:color w:val="auto"/>
          <w:sz w:val="24"/>
          <w:szCs w:val="24"/>
          <w:highlight w:val="none"/>
          <w:lang w:val="en-US" w:eastAsia="zh-CN"/>
        </w:rPr>
        <w:t>要求</w:t>
      </w:r>
    </w:p>
    <w:p w14:paraId="4B9949C6">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需保障数据访问的安全性，仅允许授权用户访问系统，授权用户仅能访问权限范围内的功能及数据；</w:t>
      </w:r>
    </w:p>
    <w:p w14:paraId="26C2367B">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系统不得与操作系统的用户名/密码相关，应采用参数的模式记录所连接数据库的IP地址、数据库实例名、用户名/密码等信息，以支持定期修改操作系统、数据库的用户密码；密码不能以明文形式存储；</w:t>
      </w:r>
    </w:p>
    <w:p w14:paraId="330EEDF8">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系统个人账户的密码应具备安全控制,包括但不限于：限定密码的复杂程度；限制最小长度；密码设定有效期；强制密码历史；密码无效尝试次数；上述控制应作为配置项以便进行调整;</w:t>
      </w:r>
    </w:p>
    <w:p w14:paraId="179AB1ED">
      <w:pPr>
        <w:keepNext/>
        <w:keepLines/>
        <w:numPr>
          <w:ilvl w:val="1"/>
          <w:numId w:val="14"/>
        </w:numPr>
        <w:tabs>
          <w:tab w:val="left" w:pos="0"/>
          <w:tab w:val="clear" w:pos="420"/>
        </w:tabs>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性能要求</w:t>
      </w:r>
    </w:p>
    <w:p w14:paraId="4F18167C">
      <w:pPr>
        <w:keepNext w:val="0"/>
        <w:keepLines w:val="0"/>
        <w:pageBreakBefore w:val="0"/>
        <w:widowControl w:val="0"/>
        <w:kinsoku/>
        <w:wordWrap/>
        <w:overflowPunct/>
        <w:topLinePunct w:val="0"/>
        <w:autoSpaceDE/>
        <w:autoSpaceDN/>
        <w:bidi w:val="0"/>
        <w:snapToGrid/>
        <w:spacing w:after="0" w:line="360" w:lineRule="auto"/>
        <w:ind w:firstLine="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在基础软硬件环境资源充足的情况下，应用软件应可支持以下性能要求：</w:t>
      </w:r>
    </w:p>
    <w:p w14:paraId="6D95FB3B">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lang w:val="zh-CN"/>
        </w:rPr>
      </w:pPr>
      <w:r>
        <w:rPr>
          <w:rFonts w:hint="eastAsia" w:ascii="宋体" w:hAnsi="宋体" w:eastAsia="宋体" w:cs="宋体"/>
          <w:color w:val="auto"/>
          <w:sz w:val="24"/>
          <w:szCs w:val="24"/>
          <w:highlight w:val="none"/>
          <w:lang w:val="zh-CN"/>
        </w:rPr>
        <w:t>系统支持最高1000个并发用户，正常100个并发用户的性能请求；</w:t>
      </w:r>
    </w:p>
    <w:p w14:paraId="4BEB8127">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lang w:val="zh-CN"/>
        </w:rPr>
      </w:pPr>
      <w:r>
        <w:rPr>
          <w:rFonts w:hint="eastAsia" w:ascii="宋体" w:hAnsi="宋体" w:eastAsia="宋体" w:cs="宋体"/>
          <w:color w:val="auto"/>
          <w:sz w:val="24"/>
          <w:szCs w:val="24"/>
          <w:highlight w:val="none"/>
          <w:lang w:val="zh-CN"/>
        </w:rPr>
        <w:t>系统服务响应P99指标不超过2秒；</w:t>
      </w:r>
    </w:p>
    <w:p w14:paraId="32591D64">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lang w:val="zh-CN"/>
        </w:rPr>
      </w:pPr>
      <w:r>
        <w:rPr>
          <w:rFonts w:hint="eastAsia" w:ascii="宋体" w:hAnsi="宋体" w:eastAsia="宋体" w:cs="宋体"/>
          <w:color w:val="auto"/>
          <w:sz w:val="24"/>
          <w:szCs w:val="24"/>
          <w:highlight w:val="none"/>
          <w:lang w:val="zh-CN"/>
        </w:rPr>
        <w:t>支持节点动态加入和退出，实现系统的高可用性，保证业务不间断运行；</w:t>
      </w:r>
    </w:p>
    <w:p w14:paraId="61A05795">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lang w:val="zh-CN"/>
        </w:rPr>
      </w:pPr>
      <w:r>
        <w:rPr>
          <w:rFonts w:hint="eastAsia" w:ascii="宋体" w:hAnsi="宋体" w:eastAsia="宋体" w:cs="宋体"/>
          <w:color w:val="auto"/>
          <w:sz w:val="24"/>
          <w:szCs w:val="24"/>
          <w:highlight w:val="none"/>
          <w:lang w:val="zh-CN"/>
        </w:rPr>
        <w:t>平台运行时峰值服务CPU所占比不超过60%，内存所占比不超过80%；</w:t>
      </w:r>
    </w:p>
    <w:p w14:paraId="4CA049B2">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lang w:val="zh-CN"/>
        </w:rPr>
      </w:pPr>
      <w:r>
        <w:rPr>
          <w:rFonts w:hint="eastAsia" w:ascii="宋体" w:hAnsi="宋体" w:eastAsia="宋体" w:cs="宋体"/>
          <w:color w:val="auto"/>
          <w:sz w:val="24"/>
          <w:szCs w:val="24"/>
          <w:highlight w:val="none"/>
          <w:lang w:val="zh-CN"/>
        </w:rPr>
        <w:t>系统整体吞吐量设计能满足未来五年的高峰量；</w:t>
      </w:r>
    </w:p>
    <w:p w14:paraId="32233F25">
      <w:pPr>
        <w:keepNext/>
        <w:keepLines/>
        <w:numPr>
          <w:ilvl w:val="1"/>
          <w:numId w:val="14"/>
        </w:numPr>
        <w:tabs>
          <w:tab w:val="left" w:pos="0"/>
          <w:tab w:val="clear" w:pos="420"/>
        </w:tabs>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运行环境要求</w:t>
      </w:r>
    </w:p>
    <w:p w14:paraId="53F46548">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应用系统所部署的操作系统、数据库、中间件等系统环境应使用甲方购买过的软件产品；使用开源软件须征得甲方同意；不得使用盗版的系统及软件；软件的版本应在原厂的支持范围内，避免使用已经或即将停止维护的软件及补丁版本；</w:t>
      </w:r>
    </w:p>
    <w:p w14:paraId="461654BA">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lang w:val="zh-CN"/>
        </w:rPr>
      </w:pPr>
      <w:r>
        <w:rPr>
          <w:rFonts w:hint="eastAsia" w:ascii="宋体" w:hAnsi="宋体" w:eastAsia="宋体" w:cs="宋体"/>
          <w:color w:val="auto"/>
          <w:sz w:val="24"/>
          <w:szCs w:val="24"/>
          <w:highlight w:val="none"/>
          <w:lang w:val="zh-CN"/>
        </w:rPr>
        <w:t>浏览器应支持Edge、Chrome、火狐、360等主流浏览器及主流版本；</w:t>
      </w:r>
    </w:p>
    <w:p w14:paraId="7F44535D">
      <w:pPr>
        <w:keepNext/>
        <w:keepLines/>
        <w:numPr>
          <w:ilvl w:val="1"/>
          <w:numId w:val="14"/>
        </w:numPr>
        <w:tabs>
          <w:tab w:val="left" w:pos="0"/>
          <w:tab w:val="clear" w:pos="420"/>
        </w:tabs>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数据存储</w:t>
      </w:r>
      <w:r>
        <w:rPr>
          <w:rFonts w:hint="eastAsia" w:ascii="宋体" w:hAnsi="宋体" w:eastAsia="宋体" w:cs="宋体"/>
          <w:b/>
          <w:bCs/>
          <w:color w:val="auto"/>
          <w:sz w:val="24"/>
          <w:szCs w:val="24"/>
          <w:highlight w:val="none"/>
          <w:lang w:val="en-US" w:eastAsia="zh-CN"/>
        </w:rPr>
        <w:t>要求</w:t>
      </w:r>
    </w:p>
    <w:p w14:paraId="0BFBC9B5">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数据库存储支持MySQL；</w:t>
      </w:r>
    </w:p>
    <w:p w14:paraId="55D62A71">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应用数据库具有可伸缩性、可管理性、安全性及容错性；</w:t>
      </w:r>
    </w:p>
    <w:p w14:paraId="59239C2D">
      <w:pPr>
        <w:keepNext/>
        <w:keepLines/>
        <w:numPr>
          <w:ilvl w:val="1"/>
          <w:numId w:val="14"/>
        </w:numPr>
        <w:tabs>
          <w:tab w:val="left" w:pos="0"/>
          <w:tab w:val="clear" w:pos="420"/>
        </w:tabs>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数据权限</w:t>
      </w:r>
      <w:r>
        <w:rPr>
          <w:rFonts w:hint="eastAsia" w:ascii="宋体" w:hAnsi="宋体" w:eastAsia="宋体" w:cs="宋体"/>
          <w:b/>
          <w:bCs/>
          <w:color w:val="auto"/>
          <w:sz w:val="24"/>
          <w:szCs w:val="24"/>
          <w:highlight w:val="none"/>
          <w:lang w:val="en-US" w:eastAsia="zh-CN"/>
        </w:rPr>
        <w:t>要求</w:t>
      </w:r>
    </w:p>
    <w:p w14:paraId="19820819">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系统支持数据权限控制，可根据行政组织或者业务管理组织要求，对数据依照组织结构及角色进行隔离和管控；</w:t>
      </w:r>
    </w:p>
    <w:p w14:paraId="5E8A523B">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lang w:val="zh-CN"/>
        </w:rPr>
      </w:pPr>
      <w:r>
        <w:rPr>
          <w:rFonts w:hint="eastAsia" w:ascii="宋体" w:hAnsi="宋体" w:eastAsia="宋体" w:cs="宋体"/>
          <w:color w:val="auto"/>
          <w:sz w:val="24"/>
          <w:szCs w:val="24"/>
          <w:highlight w:val="none"/>
          <w:lang w:val="zh-CN"/>
        </w:rPr>
        <w:t>业务单据权限可根据业务、审计、风控等不同部门的岗位要求，对单据的新增、修改、删除、查看等权限进行精细化管理；</w:t>
      </w:r>
    </w:p>
    <w:p w14:paraId="4EE39865">
      <w:pPr>
        <w:keepNext/>
        <w:keepLines/>
        <w:numPr>
          <w:ilvl w:val="1"/>
          <w:numId w:val="14"/>
        </w:numPr>
        <w:tabs>
          <w:tab w:val="left" w:pos="0"/>
          <w:tab w:val="clear" w:pos="420"/>
        </w:tabs>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lang w:val="en-US" w:eastAsia="zh-CN"/>
        </w:rPr>
        <w:t>界面设计要</w:t>
      </w:r>
      <w:r>
        <w:rPr>
          <w:rFonts w:hint="eastAsia" w:ascii="宋体" w:hAnsi="宋体" w:eastAsia="宋体" w:cs="宋体"/>
          <w:b/>
          <w:bCs/>
          <w:color w:val="auto"/>
          <w:sz w:val="24"/>
          <w:szCs w:val="24"/>
          <w:highlight w:val="none"/>
        </w:rPr>
        <w:t>求</w:t>
      </w:r>
    </w:p>
    <w:p w14:paraId="3F0B640F">
      <w:pPr>
        <w:keepNext w:val="0"/>
        <w:keepLines w:val="0"/>
        <w:pageBreakBefore w:val="0"/>
        <w:widowControl w:val="0"/>
        <w:numPr>
          <w:ilvl w:val="0"/>
          <w:numId w:val="15"/>
        </w:numPr>
        <w:kinsoku/>
        <w:wordWrap/>
        <w:overflowPunct/>
        <w:topLinePunct w:val="0"/>
        <w:autoSpaceDE/>
        <w:autoSpaceDN/>
        <w:bidi w:val="0"/>
        <w:adjustRightInd w:val="0"/>
        <w:snapToGrid/>
        <w:spacing w:after="0" w:line="360" w:lineRule="auto"/>
        <w:ind w:left="839" w:hanging="42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zh-CN"/>
        </w:rPr>
        <w:t>要求操作界面友好，易于操作，符合业务人员操作习惯；</w:t>
      </w:r>
    </w:p>
    <w:p w14:paraId="1167D3C6">
      <w:pPr>
        <w:numPr>
          <w:ilvl w:val="0"/>
          <w:numId w:val="13"/>
        </w:numPr>
        <w:spacing w:line="348" w:lineRule="auto"/>
        <w:outlineLvl w:val="2"/>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项目实施</w:t>
      </w:r>
    </w:p>
    <w:p w14:paraId="55524DF6">
      <w:pPr>
        <w:keepNext/>
        <w:keepLines/>
        <w:numPr>
          <w:ilvl w:val="1"/>
          <w:numId w:val="16"/>
        </w:numPr>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项目</w:t>
      </w:r>
      <w:r>
        <w:rPr>
          <w:rFonts w:hint="eastAsia" w:ascii="宋体" w:hAnsi="宋体" w:eastAsia="宋体" w:cs="宋体"/>
          <w:b/>
          <w:bCs/>
          <w:color w:val="auto"/>
          <w:sz w:val="24"/>
          <w:szCs w:val="24"/>
          <w:highlight w:val="none"/>
          <w:lang w:val="en-US" w:eastAsia="zh-CN"/>
        </w:rPr>
        <w:t>组织</w:t>
      </w:r>
      <w:r>
        <w:rPr>
          <w:rFonts w:hint="eastAsia" w:ascii="宋体" w:hAnsi="宋体" w:eastAsia="宋体" w:cs="宋体"/>
          <w:b/>
          <w:bCs/>
          <w:color w:val="auto"/>
          <w:sz w:val="24"/>
          <w:szCs w:val="24"/>
          <w:highlight w:val="none"/>
        </w:rPr>
        <w:t>架构</w:t>
      </w:r>
    </w:p>
    <w:p w14:paraId="3B1D6FCB">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依照本次项目建设整体情况，项目实施设立项目组，分别由</w:t>
      </w:r>
      <w:r>
        <w:rPr>
          <w:rFonts w:hint="eastAsia" w:ascii="宋体" w:hAnsi="宋体" w:eastAsia="宋体" w:cs="宋体"/>
          <w:color w:val="auto"/>
          <w:sz w:val="24"/>
          <w:szCs w:val="24"/>
          <w:highlight w:val="none"/>
          <w:lang w:val="en-US" w:eastAsia="zh-CN"/>
        </w:rPr>
        <w:t>甲乙双方</w:t>
      </w:r>
      <w:r>
        <w:rPr>
          <w:rFonts w:hint="eastAsia" w:ascii="宋体" w:hAnsi="宋体" w:eastAsia="宋体" w:cs="宋体"/>
          <w:color w:val="auto"/>
          <w:sz w:val="24"/>
          <w:szCs w:val="24"/>
          <w:highlight w:val="none"/>
        </w:rPr>
        <w:t>项目组核心成员构成，依照既定项目计划及沟通机制进行项目的实施推进。</w:t>
      </w:r>
    </w:p>
    <w:p w14:paraId="6036EBBF">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乙方</w:t>
      </w:r>
      <w:r>
        <w:rPr>
          <w:rFonts w:hint="eastAsia" w:ascii="宋体" w:hAnsi="宋体" w:eastAsia="宋体" w:cs="宋体"/>
          <w:color w:val="auto"/>
          <w:sz w:val="24"/>
          <w:szCs w:val="24"/>
          <w:highlight w:val="none"/>
        </w:rPr>
        <w:t>项目实施团队及分工如下：</w:t>
      </w:r>
    </w:p>
    <w:tbl>
      <w:tblPr>
        <w:tblStyle w:val="9"/>
        <w:tblW w:w="485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8"/>
        <w:gridCol w:w="2268"/>
        <w:gridCol w:w="5151"/>
      </w:tblGrid>
      <w:tr w14:paraId="44C05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518"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44039E55">
            <w:pPr>
              <w:pStyle w:val="4"/>
              <w:keepNext w:val="0"/>
              <w:keepLines w:val="0"/>
              <w:suppressLineNumbers w:val="0"/>
              <w:spacing w:before="0" w:beforeAutospacing="0" w:afterAutospacing="0" w:line="240" w:lineRule="auto"/>
              <w:ind w:left="0" w:right="0"/>
              <w:jc w:val="center"/>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序号</w:t>
            </w:r>
          </w:p>
        </w:tc>
        <w:tc>
          <w:tcPr>
            <w:tcW w:w="1370"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516F6F64">
            <w:pPr>
              <w:pStyle w:val="4"/>
              <w:keepNext w:val="0"/>
              <w:keepLines w:val="0"/>
              <w:suppressLineNumbers w:val="0"/>
              <w:spacing w:before="0" w:beforeAutospacing="0" w:afterAutospacing="0" w:line="240" w:lineRule="auto"/>
              <w:ind w:left="0" w:right="0"/>
              <w:jc w:val="center"/>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姓名</w:t>
            </w:r>
          </w:p>
        </w:tc>
        <w:tc>
          <w:tcPr>
            <w:tcW w:w="3111" w:type="pct"/>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54F9888A">
            <w:pPr>
              <w:pStyle w:val="4"/>
              <w:keepNext w:val="0"/>
              <w:keepLines w:val="0"/>
              <w:suppressLineNumbers w:val="0"/>
              <w:spacing w:before="0" w:beforeAutospacing="0" w:afterAutospacing="0" w:line="240" w:lineRule="auto"/>
              <w:ind w:left="0" w:right="0"/>
              <w:jc w:val="center"/>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角色</w:t>
            </w:r>
          </w:p>
        </w:tc>
      </w:tr>
      <w:tr w14:paraId="6C260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518" w:type="pct"/>
            <w:tcBorders>
              <w:top w:val="single" w:color="auto" w:sz="4" w:space="0"/>
              <w:left w:val="single" w:color="auto" w:sz="4" w:space="0"/>
              <w:bottom w:val="single" w:color="auto" w:sz="4" w:space="0"/>
              <w:right w:val="single" w:color="auto" w:sz="4" w:space="0"/>
            </w:tcBorders>
            <w:shd w:val="clear" w:color="auto" w:fill="auto"/>
            <w:vAlign w:val="center"/>
          </w:tcPr>
          <w:p w14:paraId="4B0C5BEA">
            <w:pPr>
              <w:pStyle w:val="4"/>
              <w:keepNext w:val="0"/>
              <w:keepLines w:val="0"/>
              <w:numPr>
                <w:ilvl w:val="0"/>
                <w:numId w:val="17"/>
              </w:numPr>
              <w:suppressLineNumbers w:val="0"/>
              <w:spacing w:before="0" w:beforeAutospacing="0" w:afterAutospacing="0"/>
              <w:ind w:right="0"/>
              <w:jc w:val="center"/>
              <w:rPr>
                <w:rFonts w:hint="eastAsia" w:ascii="宋体" w:hAnsi="宋体" w:eastAsia="宋体" w:cs="宋体"/>
                <w:color w:val="auto"/>
                <w:sz w:val="24"/>
                <w:szCs w:val="24"/>
                <w:highlight w:val="none"/>
              </w:rPr>
            </w:pPr>
          </w:p>
        </w:tc>
        <w:tc>
          <w:tcPr>
            <w:tcW w:w="1370" w:type="pct"/>
            <w:tcBorders>
              <w:top w:val="single" w:color="auto" w:sz="4" w:space="0"/>
              <w:left w:val="single" w:color="auto" w:sz="4" w:space="0"/>
              <w:bottom w:val="single" w:color="auto" w:sz="4" w:space="0"/>
              <w:right w:val="single" w:color="auto" w:sz="4" w:space="0"/>
            </w:tcBorders>
            <w:shd w:val="clear" w:color="auto" w:fill="auto"/>
            <w:vAlign w:val="center"/>
          </w:tcPr>
          <w:p w14:paraId="50B0F136">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rPr>
            </w:pPr>
          </w:p>
        </w:tc>
        <w:tc>
          <w:tcPr>
            <w:tcW w:w="3111" w:type="pct"/>
            <w:tcBorders>
              <w:top w:val="single" w:color="auto" w:sz="4" w:space="0"/>
              <w:left w:val="single" w:color="auto" w:sz="4" w:space="0"/>
              <w:bottom w:val="single" w:color="auto" w:sz="4" w:space="0"/>
              <w:right w:val="single" w:color="auto" w:sz="4" w:space="0"/>
            </w:tcBorders>
            <w:shd w:val="clear" w:color="auto" w:fill="auto"/>
            <w:vAlign w:val="center"/>
          </w:tcPr>
          <w:p w14:paraId="66230225">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项目总监</w:t>
            </w:r>
          </w:p>
        </w:tc>
      </w:tr>
      <w:tr w14:paraId="37A07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518" w:type="pct"/>
            <w:tcBorders>
              <w:top w:val="single" w:color="auto" w:sz="4" w:space="0"/>
              <w:left w:val="single" w:color="auto" w:sz="4" w:space="0"/>
              <w:bottom w:val="single" w:color="auto" w:sz="4" w:space="0"/>
              <w:right w:val="single" w:color="auto" w:sz="4" w:space="0"/>
            </w:tcBorders>
            <w:shd w:val="clear" w:color="auto" w:fill="auto"/>
            <w:vAlign w:val="center"/>
          </w:tcPr>
          <w:p w14:paraId="7EA7E2F1">
            <w:pPr>
              <w:pStyle w:val="4"/>
              <w:keepNext w:val="0"/>
              <w:keepLines w:val="0"/>
              <w:numPr>
                <w:ilvl w:val="0"/>
                <w:numId w:val="17"/>
              </w:numPr>
              <w:suppressLineNumbers w:val="0"/>
              <w:spacing w:before="0" w:beforeAutospacing="0" w:afterAutospacing="0"/>
              <w:ind w:right="0"/>
              <w:jc w:val="center"/>
              <w:rPr>
                <w:rFonts w:hint="eastAsia" w:ascii="宋体" w:hAnsi="宋体" w:eastAsia="宋体" w:cs="宋体"/>
                <w:color w:val="auto"/>
                <w:sz w:val="24"/>
                <w:szCs w:val="24"/>
                <w:highlight w:val="none"/>
              </w:rPr>
            </w:pPr>
          </w:p>
        </w:tc>
        <w:tc>
          <w:tcPr>
            <w:tcW w:w="1370" w:type="pct"/>
            <w:tcBorders>
              <w:top w:val="single" w:color="auto" w:sz="4" w:space="0"/>
              <w:left w:val="single" w:color="auto" w:sz="4" w:space="0"/>
              <w:bottom w:val="single" w:color="auto" w:sz="4" w:space="0"/>
              <w:right w:val="single" w:color="auto" w:sz="4" w:space="0"/>
            </w:tcBorders>
            <w:shd w:val="clear" w:color="auto" w:fill="auto"/>
            <w:vAlign w:val="center"/>
          </w:tcPr>
          <w:p w14:paraId="6D3B0A3A">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rPr>
            </w:pPr>
          </w:p>
        </w:tc>
        <w:tc>
          <w:tcPr>
            <w:tcW w:w="3111" w:type="pct"/>
            <w:tcBorders>
              <w:top w:val="single" w:color="auto" w:sz="4" w:space="0"/>
              <w:left w:val="single" w:color="auto" w:sz="4" w:space="0"/>
              <w:bottom w:val="single" w:color="auto" w:sz="4" w:space="0"/>
              <w:right w:val="single" w:color="auto" w:sz="4" w:space="0"/>
            </w:tcBorders>
            <w:shd w:val="clear" w:color="auto" w:fill="auto"/>
            <w:vAlign w:val="center"/>
          </w:tcPr>
          <w:p w14:paraId="59B77C41">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项目经理</w:t>
            </w:r>
          </w:p>
        </w:tc>
      </w:tr>
      <w:tr w14:paraId="39DF7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518" w:type="pct"/>
            <w:tcBorders>
              <w:top w:val="single" w:color="auto" w:sz="4" w:space="0"/>
              <w:left w:val="single" w:color="auto" w:sz="4" w:space="0"/>
              <w:bottom w:val="single" w:color="auto" w:sz="4" w:space="0"/>
              <w:right w:val="single" w:color="auto" w:sz="4" w:space="0"/>
            </w:tcBorders>
            <w:shd w:val="clear" w:color="auto" w:fill="auto"/>
            <w:vAlign w:val="center"/>
          </w:tcPr>
          <w:p w14:paraId="00F6646C">
            <w:pPr>
              <w:pStyle w:val="4"/>
              <w:keepNext w:val="0"/>
              <w:keepLines w:val="0"/>
              <w:numPr>
                <w:ilvl w:val="0"/>
                <w:numId w:val="17"/>
              </w:numPr>
              <w:suppressLineNumbers w:val="0"/>
              <w:spacing w:before="0" w:beforeAutospacing="0" w:afterAutospacing="0"/>
              <w:ind w:right="0"/>
              <w:jc w:val="center"/>
              <w:rPr>
                <w:rFonts w:hint="eastAsia" w:ascii="宋体" w:hAnsi="宋体" w:eastAsia="宋体" w:cs="宋体"/>
                <w:color w:val="auto"/>
                <w:sz w:val="24"/>
                <w:szCs w:val="24"/>
                <w:highlight w:val="none"/>
              </w:rPr>
            </w:pPr>
          </w:p>
        </w:tc>
        <w:tc>
          <w:tcPr>
            <w:tcW w:w="1370" w:type="pct"/>
            <w:tcBorders>
              <w:top w:val="single" w:color="auto" w:sz="4" w:space="0"/>
              <w:left w:val="single" w:color="auto" w:sz="4" w:space="0"/>
              <w:bottom w:val="single" w:color="auto" w:sz="4" w:space="0"/>
              <w:right w:val="single" w:color="auto" w:sz="4" w:space="0"/>
            </w:tcBorders>
            <w:shd w:val="clear" w:color="auto" w:fill="auto"/>
            <w:vAlign w:val="center"/>
          </w:tcPr>
          <w:p w14:paraId="6BC2471E">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rPr>
            </w:pPr>
          </w:p>
        </w:tc>
        <w:tc>
          <w:tcPr>
            <w:tcW w:w="3111" w:type="pct"/>
            <w:tcBorders>
              <w:top w:val="single" w:color="auto" w:sz="4" w:space="0"/>
              <w:left w:val="single" w:color="auto" w:sz="4" w:space="0"/>
              <w:bottom w:val="single" w:color="auto" w:sz="4" w:space="0"/>
              <w:right w:val="single" w:color="auto" w:sz="4" w:space="0"/>
            </w:tcBorders>
            <w:shd w:val="clear" w:color="auto" w:fill="auto"/>
            <w:vAlign w:val="center"/>
          </w:tcPr>
          <w:p w14:paraId="3D214B6A">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技术经理</w:t>
            </w:r>
          </w:p>
        </w:tc>
      </w:tr>
      <w:tr w14:paraId="4D7D3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518" w:type="pct"/>
            <w:tcBorders>
              <w:top w:val="single" w:color="auto" w:sz="4" w:space="0"/>
              <w:left w:val="single" w:color="auto" w:sz="4" w:space="0"/>
              <w:bottom w:val="single" w:color="auto" w:sz="4" w:space="0"/>
              <w:right w:val="single" w:color="auto" w:sz="4" w:space="0"/>
            </w:tcBorders>
            <w:shd w:val="clear" w:color="auto" w:fill="auto"/>
            <w:vAlign w:val="center"/>
          </w:tcPr>
          <w:p w14:paraId="07BB1182">
            <w:pPr>
              <w:pStyle w:val="4"/>
              <w:keepNext w:val="0"/>
              <w:keepLines w:val="0"/>
              <w:numPr>
                <w:ilvl w:val="0"/>
                <w:numId w:val="17"/>
              </w:numPr>
              <w:suppressLineNumbers w:val="0"/>
              <w:spacing w:before="0" w:beforeAutospacing="0" w:afterAutospacing="0"/>
              <w:ind w:right="0"/>
              <w:jc w:val="center"/>
              <w:rPr>
                <w:rFonts w:hint="eastAsia" w:ascii="宋体" w:hAnsi="宋体" w:eastAsia="宋体" w:cs="宋体"/>
                <w:color w:val="auto"/>
                <w:sz w:val="24"/>
                <w:szCs w:val="24"/>
                <w:highlight w:val="none"/>
              </w:rPr>
            </w:pPr>
          </w:p>
        </w:tc>
        <w:tc>
          <w:tcPr>
            <w:tcW w:w="1370" w:type="pct"/>
            <w:tcBorders>
              <w:top w:val="single" w:color="auto" w:sz="4" w:space="0"/>
              <w:left w:val="single" w:color="auto" w:sz="4" w:space="0"/>
              <w:bottom w:val="single" w:color="auto" w:sz="4" w:space="0"/>
              <w:right w:val="single" w:color="auto" w:sz="4" w:space="0"/>
            </w:tcBorders>
            <w:shd w:val="clear" w:color="auto" w:fill="auto"/>
            <w:vAlign w:val="center"/>
          </w:tcPr>
          <w:p w14:paraId="234BCF7D">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rPr>
            </w:pPr>
          </w:p>
        </w:tc>
        <w:tc>
          <w:tcPr>
            <w:tcW w:w="3111" w:type="pct"/>
            <w:tcBorders>
              <w:top w:val="single" w:color="auto" w:sz="4" w:space="0"/>
              <w:left w:val="single" w:color="auto" w:sz="4" w:space="0"/>
              <w:bottom w:val="single" w:color="auto" w:sz="4" w:space="0"/>
              <w:right w:val="single" w:color="auto" w:sz="4" w:space="0"/>
            </w:tcBorders>
            <w:shd w:val="clear" w:color="auto" w:fill="auto"/>
            <w:vAlign w:val="center"/>
          </w:tcPr>
          <w:p w14:paraId="5B16CCF1">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开发</w:t>
            </w:r>
            <w:r>
              <w:rPr>
                <w:rFonts w:hint="eastAsia" w:ascii="宋体" w:hAnsi="宋体" w:eastAsia="宋体" w:cs="宋体"/>
                <w:color w:val="auto"/>
                <w:sz w:val="24"/>
                <w:szCs w:val="24"/>
                <w:highlight w:val="none"/>
                <w:lang w:val="en-US" w:eastAsia="zh-CN"/>
              </w:rPr>
              <w:t>工程师</w:t>
            </w:r>
          </w:p>
        </w:tc>
      </w:tr>
      <w:tr w14:paraId="7793E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518" w:type="pct"/>
            <w:tcBorders>
              <w:top w:val="single" w:color="auto" w:sz="4" w:space="0"/>
              <w:left w:val="single" w:color="auto" w:sz="4" w:space="0"/>
              <w:bottom w:val="single" w:color="auto" w:sz="4" w:space="0"/>
              <w:right w:val="single" w:color="auto" w:sz="4" w:space="0"/>
            </w:tcBorders>
            <w:shd w:val="clear" w:color="auto" w:fill="auto"/>
            <w:vAlign w:val="center"/>
          </w:tcPr>
          <w:p w14:paraId="7035310B">
            <w:pPr>
              <w:pStyle w:val="4"/>
              <w:keepNext w:val="0"/>
              <w:keepLines w:val="0"/>
              <w:numPr>
                <w:ilvl w:val="0"/>
                <w:numId w:val="17"/>
              </w:numPr>
              <w:suppressLineNumbers w:val="0"/>
              <w:spacing w:before="0" w:beforeAutospacing="0" w:afterAutospacing="0"/>
              <w:ind w:right="0"/>
              <w:jc w:val="center"/>
              <w:rPr>
                <w:rFonts w:hint="eastAsia" w:ascii="宋体" w:hAnsi="宋体" w:eastAsia="宋体" w:cs="宋体"/>
                <w:color w:val="auto"/>
                <w:sz w:val="24"/>
                <w:szCs w:val="24"/>
                <w:highlight w:val="none"/>
              </w:rPr>
            </w:pPr>
          </w:p>
        </w:tc>
        <w:tc>
          <w:tcPr>
            <w:tcW w:w="1370" w:type="pct"/>
            <w:tcBorders>
              <w:top w:val="single" w:color="auto" w:sz="4" w:space="0"/>
              <w:left w:val="single" w:color="auto" w:sz="4" w:space="0"/>
              <w:bottom w:val="single" w:color="auto" w:sz="4" w:space="0"/>
              <w:right w:val="single" w:color="auto" w:sz="4" w:space="0"/>
            </w:tcBorders>
            <w:shd w:val="clear" w:color="auto" w:fill="auto"/>
            <w:vAlign w:val="center"/>
          </w:tcPr>
          <w:p w14:paraId="450342A8">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rPr>
            </w:pPr>
          </w:p>
        </w:tc>
        <w:tc>
          <w:tcPr>
            <w:tcW w:w="3111" w:type="pct"/>
            <w:tcBorders>
              <w:top w:val="single" w:color="auto" w:sz="4" w:space="0"/>
              <w:left w:val="single" w:color="auto" w:sz="4" w:space="0"/>
              <w:bottom w:val="single" w:color="auto" w:sz="4" w:space="0"/>
              <w:right w:val="single" w:color="auto" w:sz="4" w:space="0"/>
            </w:tcBorders>
            <w:shd w:val="clear" w:color="auto" w:fill="auto"/>
            <w:vAlign w:val="center"/>
          </w:tcPr>
          <w:p w14:paraId="2BD47BA5">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测试工程师</w:t>
            </w:r>
          </w:p>
        </w:tc>
      </w:tr>
      <w:tr w14:paraId="5AAEA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518" w:type="pct"/>
            <w:tcBorders>
              <w:top w:val="single" w:color="auto" w:sz="4" w:space="0"/>
              <w:left w:val="single" w:color="auto" w:sz="4" w:space="0"/>
              <w:bottom w:val="single" w:color="auto" w:sz="4" w:space="0"/>
              <w:right w:val="single" w:color="auto" w:sz="4" w:space="0"/>
            </w:tcBorders>
            <w:shd w:val="clear" w:color="auto" w:fill="auto"/>
            <w:vAlign w:val="center"/>
          </w:tcPr>
          <w:p w14:paraId="69682324">
            <w:pPr>
              <w:pStyle w:val="4"/>
              <w:keepNext w:val="0"/>
              <w:keepLines w:val="0"/>
              <w:numPr>
                <w:ilvl w:val="0"/>
                <w:numId w:val="17"/>
              </w:numPr>
              <w:suppressLineNumbers w:val="0"/>
              <w:spacing w:before="0" w:beforeAutospacing="0" w:afterAutospacing="0"/>
              <w:ind w:right="0"/>
              <w:jc w:val="center"/>
              <w:rPr>
                <w:rFonts w:hint="eastAsia" w:ascii="宋体" w:hAnsi="宋体" w:eastAsia="宋体" w:cs="宋体"/>
                <w:color w:val="auto"/>
                <w:sz w:val="24"/>
                <w:szCs w:val="24"/>
                <w:highlight w:val="none"/>
              </w:rPr>
            </w:pPr>
          </w:p>
        </w:tc>
        <w:tc>
          <w:tcPr>
            <w:tcW w:w="1370" w:type="pct"/>
            <w:tcBorders>
              <w:top w:val="single" w:color="auto" w:sz="4" w:space="0"/>
              <w:left w:val="single" w:color="auto" w:sz="4" w:space="0"/>
              <w:bottom w:val="single" w:color="auto" w:sz="4" w:space="0"/>
              <w:right w:val="single" w:color="auto" w:sz="4" w:space="0"/>
            </w:tcBorders>
            <w:shd w:val="clear" w:color="auto" w:fill="auto"/>
            <w:vAlign w:val="center"/>
          </w:tcPr>
          <w:p w14:paraId="7384E910">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rPr>
            </w:pPr>
          </w:p>
        </w:tc>
        <w:tc>
          <w:tcPr>
            <w:tcW w:w="3111" w:type="pct"/>
            <w:tcBorders>
              <w:top w:val="single" w:color="auto" w:sz="4" w:space="0"/>
              <w:left w:val="single" w:color="auto" w:sz="4" w:space="0"/>
              <w:bottom w:val="single" w:color="auto" w:sz="4" w:space="0"/>
              <w:right w:val="single" w:color="auto" w:sz="4" w:space="0"/>
            </w:tcBorders>
            <w:shd w:val="clear" w:color="auto" w:fill="auto"/>
            <w:vAlign w:val="center"/>
          </w:tcPr>
          <w:p w14:paraId="1F153001">
            <w:pPr>
              <w:keepNext w:val="0"/>
              <w:keepLines w:val="0"/>
              <w:pageBreakBefore w:val="0"/>
              <w:suppressLineNumbers w:val="0"/>
              <w:kinsoku/>
              <w:wordWrap/>
              <w:overflowPunct/>
              <w:topLinePunct w:val="0"/>
              <w:autoSpaceDE/>
              <w:autoSpaceDN/>
              <w:bidi w:val="0"/>
              <w:adjustRightInd w:val="0"/>
              <w:snapToGrid w:val="0"/>
              <w:spacing w:before="63" w:beforeLines="20" w:beforeAutospacing="0" w:after="63" w:afterLines="20" w:afterAutospacing="0" w:line="240" w:lineRule="auto"/>
              <w:ind w:left="0" w:right="0" w:firstLine="0" w:firstLineChars="0"/>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w:t>
            </w:r>
          </w:p>
        </w:tc>
      </w:tr>
    </w:tbl>
    <w:p w14:paraId="4020DFE0">
      <w:pPr>
        <w:keepNext/>
        <w:keepLines/>
        <w:numPr>
          <w:ilvl w:val="1"/>
          <w:numId w:val="16"/>
        </w:numPr>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项目计划</w:t>
      </w:r>
    </w:p>
    <w:p w14:paraId="2C4AFA1E">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本次项目建设周期</w:t>
      </w:r>
      <w:r>
        <w:rPr>
          <w:rFonts w:hint="eastAsia" w:ascii="宋体" w:hAnsi="宋体" w:eastAsia="宋体" w:cs="宋体"/>
          <w:color w:val="auto"/>
          <w:sz w:val="24"/>
          <w:szCs w:val="24"/>
          <w:highlight w:val="none"/>
          <w:lang w:val="en-US" w:eastAsia="zh-CN"/>
        </w:rPr>
        <w:t>2</w:t>
      </w:r>
      <w:r>
        <w:rPr>
          <w:rFonts w:hint="eastAsia" w:ascii="宋体" w:hAnsi="宋体" w:eastAsia="宋体" w:cs="宋体"/>
          <w:color w:val="auto"/>
          <w:sz w:val="24"/>
          <w:szCs w:val="24"/>
          <w:highlight w:val="none"/>
        </w:rPr>
        <w:t>个月，依照项目实施进度要求，项目建设分阶段进行实施及上线，并最终完成整体项目交付</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具体实施进度安排如下：</w:t>
      </w:r>
    </w:p>
    <w:p w14:paraId="66794952">
      <w:pPr>
        <w:numPr>
          <w:ilvl w:val="0"/>
          <w:numId w:val="15"/>
        </w:numPr>
        <w:adjustRightInd w:val="0"/>
        <w:spacing w:after="80" w:line="360" w:lineRule="auto"/>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项目实施整体进度安排</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2"/>
        <w:gridCol w:w="2829"/>
        <w:gridCol w:w="2161"/>
        <w:gridCol w:w="2160"/>
      </w:tblGrid>
      <w:tr w14:paraId="1DDB1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93" w:type="dxa"/>
            <w:shd w:val="clear" w:color="auto" w:fill="D7D7D7" w:themeFill="background1" w:themeFillShade="D8"/>
            <w:tcMar>
              <w:top w:w="108" w:type="dxa"/>
              <w:left w:w="168" w:type="dxa"/>
              <w:bottom w:w="108" w:type="dxa"/>
              <w:right w:w="168" w:type="dxa"/>
            </w:tcMar>
            <w:vAlign w:val="center"/>
          </w:tcPr>
          <w:p w14:paraId="7F26FC7A">
            <w:pPr>
              <w:pStyle w:val="4"/>
              <w:keepNext w:val="0"/>
              <w:keepLines w:val="0"/>
              <w:suppressLineNumbers w:val="0"/>
              <w:spacing w:before="0" w:beforeAutospacing="0" w:afterAutospacing="0" w:line="240" w:lineRule="auto"/>
              <w:ind w:left="0" w:right="0"/>
              <w:jc w:val="center"/>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节点</w:t>
            </w:r>
          </w:p>
        </w:tc>
        <w:tc>
          <w:tcPr>
            <w:tcW w:w="2831" w:type="dxa"/>
            <w:shd w:val="clear" w:color="auto" w:fill="D7D7D7" w:themeFill="background1" w:themeFillShade="D8"/>
            <w:tcMar>
              <w:top w:w="108" w:type="dxa"/>
              <w:left w:w="168" w:type="dxa"/>
              <w:bottom w:w="108" w:type="dxa"/>
              <w:right w:w="168" w:type="dxa"/>
            </w:tcMar>
            <w:vAlign w:val="center"/>
          </w:tcPr>
          <w:p w14:paraId="4E9B5249">
            <w:pPr>
              <w:pStyle w:val="4"/>
              <w:keepNext w:val="0"/>
              <w:keepLines w:val="0"/>
              <w:suppressLineNumbers w:val="0"/>
              <w:spacing w:before="0" w:beforeAutospacing="0" w:afterAutospacing="0" w:line="240" w:lineRule="auto"/>
              <w:ind w:left="0" w:right="0"/>
              <w:jc w:val="center"/>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lang w:val="en-US" w:eastAsia="zh-CN"/>
              </w:rPr>
              <w:t>里程碑</w:t>
            </w:r>
          </w:p>
        </w:tc>
        <w:tc>
          <w:tcPr>
            <w:tcW w:w="2162" w:type="dxa"/>
            <w:shd w:val="clear" w:color="auto" w:fill="D7D7D7" w:themeFill="background1" w:themeFillShade="D8"/>
            <w:tcMar>
              <w:top w:w="108" w:type="dxa"/>
              <w:left w:w="168" w:type="dxa"/>
              <w:bottom w:w="108" w:type="dxa"/>
              <w:right w:w="168" w:type="dxa"/>
            </w:tcMar>
            <w:vAlign w:val="center"/>
          </w:tcPr>
          <w:p w14:paraId="1F064C0F">
            <w:pPr>
              <w:pStyle w:val="4"/>
              <w:keepNext w:val="0"/>
              <w:keepLines w:val="0"/>
              <w:suppressLineNumbers w:val="0"/>
              <w:spacing w:before="0" w:beforeAutospacing="0" w:afterAutospacing="0" w:line="240" w:lineRule="auto"/>
              <w:ind w:left="0" w:right="0"/>
              <w:jc w:val="center"/>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时限</w:t>
            </w:r>
          </w:p>
        </w:tc>
        <w:tc>
          <w:tcPr>
            <w:tcW w:w="2162" w:type="dxa"/>
            <w:shd w:val="clear" w:color="auto" w:fill="D7D7D7" w:themeFill="background1" w:themeFillShade="D8"/>
            <w:tcMar>
              <w:top w:w="108" w:type="dxa"/>
              <w:left w:w="168" w:type="dxa"/>
              <w:bottom w:w="108" w:type="dxa"/>
              <w:right w:w="168" w:type="dxa"/>
            </w:tcMar>
            <w:vAlign w:val="center"/>
          </w:tcPr>
          <w:p w14:paraId="57268BC5">
            <w:pPr>
              <w:pStyle w:val="4"/>
              <w:keepNext w:val="0"/>
              <w:keepLines w:val="0"/>
              <w:suppressLineNumbers w:val="0"/>
              <w:spacing w:before="0" w:beforeAutospacing="0" w:afterAutospacing="0" w:line="240" w:lineRule="auto"/>
              <w:ind w:left="0" w:right="0"/>
              <w:jc w:val="center"/>
              <w:rPr>
                <w:rFonts w:hint="eastAsia" w:ascii="宋体" w:hAnsi="宋体" w:eastAsia="宋体" w:cs="宋体"/>
                <w:b/>
                <w:bCs/>
                <w:color w:val="auto"/>
                <w:sz w:val="24"/>
                <w:szCs w:val="24"/>
                <w:highlight w:val="none"/>
                <w:lang w:eastAsia="zh-CN"/>
              </w:rPr>
            </w:pPr>
            <w:r>
              <w:rPr>
                <w:rFonts w:hint="eastAsia" w:ascii="宋体" w:hAnsi="宋体" w:eastAsia="宋体" w:cs="宋体"/>
                <w:b/>
                <w:bCs/>
                <w:color w:val="auto"/>
                <w:sz w:val="24"/>
                <w:szCs w:val="24"/>
                <w:highlight w:val="none"/>
                <w:lang w:val="en-US" w:eastAsia="zh-CN"/>
              </w:rPr>
              <w:t>周期</w:t>
            </w:r>
          </w:p>
        </w:tc>
      </w:tr>
      <w:tr w14:paraId="7AD21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Mar>
              <w:top w:w="108" w:type="dxa"/>
              <w:left w:w="168" w:type="dxa"/>
              <w:bottom w:w="108" w:type="dxa"/>
              <w:right w:w="168" w:type="dxa"/>
            </w:tcMar>
            <w:vAlign w:val="center"/>
          </w:tcPr>
          <w:p w14:paraId="706AE12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项目</w:t>
            </w:r>
            <w:r>
              <w:rPr>
                <w:rFonts w:hint="eastAsia" w:ascii="宋体" w:hAnsi="宋体" w:eastAsia="宋体" w:cs="宋体"/>
                <w:color w:val="auto"/>
                <w:sz w:val="24"/>
                <w:szCs w:val="24"/>
                <w:highlight w:val="none"/>
              </w:rPr>
              <w:t>启动</w:t>
            </w:r>
          </w:p>
        </w:tc>
        <w:tc>
          <w:tcPr>
            <w:tcW w:w="2831" w:type="dxa"/>
            <w:tcMar>
              <w:top w:w="108" w:type="dxa"/>
              <w:left w:w="168" w:type="dxa"/>
              <w:bottom w:w="108" w:type="dxa"/>
              <w:right w:w="168" w:type="dxa"/>
            </w:tcMar>
            <w:vAlign w:val="center"/>
          </w:tcPr>
          <w:p w14:paraId="08E75DD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启动会、开发环境、人员到位、《详细设计说明书》</w:t>
            </w:r>
          </w:p>
        </w:tc>
        <w:tc>
          <w:tcPr>
            <w:tcW w:w="2162" w:type="dxa"/>
            <w:tcMar>
              <w:top w:w="108" w:type="dxa"/>
              <w:left w:w="168" w:type="dxa"/>
              <w:bottom w:w="108" w:type="dxa"/>
              <w:right w:w="168" w:type="dxa"/>
            </w:tcMar>
            <w:vAlign w:val="center"/>
          </w:tcPr>
          <w:p w14:paraId="304B210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第1周内</w:t>
            </w:r>
          </w:p>
        </w:tc>
        <w:tc>
          <w:tcPr>
            <w:tcW w:w="2162" w:type="dxa"/>
            <w:tcMar>
              <w:top w:w="108" w:type="dxa"/>
              <w:left w:w="168" w:type="dxa"/>
              <w:bottom w:w="108" w:type="dxa"/>
              <w:right w:w="168" w:type="dxa"/>
            </w:tcMar>
            <w:vAlign w:val="center"/>
          </w:tcPr>
          <w:p w14:paraId="5BB09769">
            <w:pPr>
              <w:spacing w:before="60" w:after="60" w:line="240" w:lineRule="auto"/>
              <w:jc w:val="center"/>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T+0周</w:t>
            </w:r>
          </w:p>
        </w:tc>
      </w:tr>
      <w:tr w14:paraId="37311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Mar>
              <w:top w:w="108" w:type="dxa"/>
              <w:left w:w="168" w:type="dxa"/>
              <w:bottom w:w="108" w:type="dxa"/>
              <w:right w:w="168" w:type="dxa"/>
            </w:tcMar>
            <w:vAlign w:val="center"/>
          </w:tcPr>
          <w:p w14:paraId="7D7136A0">
            <w:pPr>
              <w:spacing w:before="60" w:after="60" w:line="240" w:lineRule="auto"/>
              <w:jc w:val="left"/>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完成开发</w:t>
            </w:r>
          </w:p>
        </w:tc>
        <w:tc>
          <w:tcPr>
            <w:tcW w:w="2831" w:type="dxa"/>
            <w:tcMar>
              <w:top w:w="108" w:type="dxa"/>
              <w:left w:w="168" w:type="dxa"/>
              <w:bottom w:w="108" w:type="dxa"/>
              <w:right w:w="168" w:type="dxa"/>
            </w:tcMar>
            <w:vAlign w:val="center"/>
          </w:tcPr>
          <w:p w14:paraId="1E7BF874">
            <w:pPr>
              <w:spacing w:before="60" w:after="60" w:line="240" w:lineRule="auto"/>
              <w:jc w:val="left"/>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完成功能开发</w:t>
            </w:r>
          </w:p>
        </w:tc>
        <w:tc>
          <w:tcPr>
            <w:tcW w:w="2162" w:type="dxa"/>
            <w:tcMar>
              <w:top w:w="108" w:type="dxa"/>
              <w:left w:w="168" w:type="dxa"/>
              <w:bottom w:w="108" w:type="dxa"/>
              <w:right w:w="168" w:type="dxa"/>
            </w:tcMar>
            <w:vAlign w:val="center"/>
          </w:tcPr>
          <w:p w14:paraId="386A3BB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第4周末</w:t>
            </w:r>
          </w:p>
        </w:tc>
        <w:tc>
          <w:tcPr>
            <w:tcW w:w="2162" w:type="dxa"/>
            <w:tcMar>
              <w:top w:w="108" w:type="dxa"/>
              <w:left w:w="168" w:type="dxa"/>
              <w:bottom w:w="108" w:type="dxa"/>
              <w:right w:w="168" w:type="dxa"/>
            </w:tcMar>
            <w:vAlign w:val="center"/>
          </w:tcPr>
          <w:p w14:paraId="62FD6F02">
            <w:pPr>
              <w:spacing w:before="60" w:after="60"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T+4周</w:t>
            </w:r>
          </w:p>
        </w:tc>
      </w:tr>
      <w:tr w14:paraId="0A289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Mar>
              <w:top w:w="108" w:type="dxa"/>
              <w:left w:w="168" w:type="dxa"/>
              <w:bottom w:w="108" w:type="dxa"/>
              <w:right w:w="168" w:type="dxa"/>
            </w:tcMar>
            <w:vAlign w:val="center"/>
          </w:tcPr>
          <w:p w14:paraId="79BCE807">
            <w:pPr>
              <w:spacing w:before="60" w:after="60" w:line="240" w:lineRule="auto"/>
              <w:jc w:val="left"/>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完成上线</w:t>
            </w:r>
          </w:p>
        </w:tc>
        <w:tc>
          <w:tcPr>
            <w:tcW w:w="2831" w:type="dxa"/>
            <w:tcMar>
              <w:top w:w="108" w:type="dxa"/>
              <w:left w:w="168" w:type="dxa"/>
              <w:bottom w:w="108" w:type="dxa"/>
              <w:right w:w="168" w:type="dxa"/>
            </w:tcMar>
            <w:vAlign w:val="center"/>
          </w:tcPr>
          <w:p w14:paraId="421CCECA">
            <w:pPr>
              <w:spacing w:before="60" w:after="60" w:line="240" w:lineRule="auto"/>
              <w:jc w:val="left"/>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全部</w:t>
            </w:r>
            <w:r>
              <w:rPr>
                <w:rFonts w:hint="eastAsia" w:ascii="宋体" w:hAnsi="宋体" w:eastAsia="宋体" w:cs="宋体"/>
                <w:color w:val="auto"/>
                <w:sz w:val="24"/>
                <w:szCs w:val="24"/>
                <w:highlight w:val="none"/>
                <w:lang w:val="en-US" w:eastAsia="zh-CN"/>
              </w:rPr>
              <w:t>功能</w:t>
            </w:r>
            <w:r>
              <w:rPr>
                <w:rFonts w:hint="eastAsia" w:ascii="宋体" w:hAnsi="宋体" w:eastAsia="宋体" w:cs="宋体"/>
                <w:color w:val="auto"/>
                <w:sz w:val="24"/>
                <w:szCs w:val="24"/>
                <w:highlight w:val="none"/>
              </w:rPr>
              <w:t>完成</w:t>
            </w:r>
            <w:r>
              <w:rPr>
                <w:rFonts w:hint="eastAsia" w:ascii="宋体" w:hAnsi="宋体" w:eastAsia="宋体" w:cs="宋体"/>
                <w:color w:val="auto"/>
                <w:sz w:val="24"/>
                <w:szCs w:val="24"/>
                <w:highlight w:val="none"/>
                <w:lang w:val="en-US" w:eastAsia="zh-CN"/>
              </w:rPr>
              <w:t>开发，通过</w:t>
            </w:r>
            <w:r>
              <w:rPr>
                <w:rFonts w:hint="eastAsia" w:ascii="宋体" w:hAnsi="宋体" w:eastAsia="宋体" w:cs="宋体"/>
                <w:color w:val="auto"/>
                <w:sz w:val="24"/>
                <w:szCs w:val="24"/>
                <w:highlight w:val="none"/>
              </w:rPr>
              <w:t>联调测试</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系统</w:t>
            </w:r>
            <w:r>
              <w:rPr>
                <w:rFonts w:hint="eastAsia" w:ascii="宋体" w:hAnsi="宋体" w:eastAsia="宋体" w:cs="宋体"/>
                <w:color w:val="auto"/>
                <w:sz w:val="24"/>
                <w:szCs w:val="24"/>
                <w:highlight w:val="none"/>
              </w:rPr>
              <w:t>部署上线，通过</w:t>
            </w:r>
            <w:r>
              <w:rPr>
                <w:rFonts w:hint="eastAsia" w:ascii="宋体" w:hAnsi="宋体" w:eastAsia="宋体" w:cs="宋体"/>
                <w:color w:val="auto"/>
                <w:sz w:val="24"/>
                <w:szCs w:val="24"/>
                <w:highlight w:val="none"/>
                <w:lang w:val="en-US" w:eastAsia="zh-CN"/>
              </w:rPr>
              <w:t>功能测试</w:t>
            </w:r>
          </w:p>
        </w:tc>
        <w:tc>
          <w:tcPr>
            <w:tcW w:w="2162" w:type="dxa"/>
            <w:tcMar>
              <w:top w:w="108" w:type="dxa"/>
              <w:left w:w="168" w:type="dxa"/>
              <w:bottom w:w="108" w:type="dxa"/>
              <w:right w:w="168" w:type="dxa"/>
            </w:tcMar>
            <w:vAlign w:val="center"/>
          </w:tcPr>
          <w:p w14:paraId="2B958EA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第8周末</w:t>
            </w:r>
          </w:p>
        </w:tc>
        <w:tc>
          <w:tcPr>
            <w:tcW w:w="2162" w:type="dxa"/>
            <w:tcMar>
              <w:top w:w="108" w:type="dxa"/>
              <w:left w:w="168" w:type="dxa"/>
              <w:bottom w:w="108" w:type="dxa"/>
              <w:right w:w="168" w:type="dxa"/>
            </w:tcMar>
            <w:vAlign w:val="center"/>
          </w:tcPr>
          <w:p w14:paraId="3D2ED5E9">
            <w:pPr>
              <w:spacing w:before="60" w:after="60" w:line="240" w:lineRule="auto"/>
              <w:jc w:val="center"/>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T+8周</w:t>
            </w:r>
          </w:p>
        </w:tc>
      </w:tr>
      <w:tr w14:paraId="0349B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Mar>
              <w:top w:w="108" w:type="dxa"/>
              <w:left w:w="168" w:type="dxa"/>
              <w:bottom w:w="108" w:type="dxa"/>
              <w:right w:w="168" w:type="dxa"/>
            </w:tcMar>
            <w:vAlign w:val="center"/>
          </w:tcPr>
          <w:p w14:paraId="7F06CE8E">
            <w:pPr>
              <w:spacing w:before="60" w:after="60" w:line="240" w:lineRule="auto"/>
              <w:jc w:val="left"/>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完成验收</w:t>
            </w:r>
          </w:p>
        </w:tc>
        <w:tc>
          <w:tcPr>
            <w:tcW w:w="2831" w:type="dxa"/>
            <w:tcMar>
              <w:top w:w="108" w:type="dxa"/>
              <w:left w:w="168" w:type="dxa"/>
              <w:bottom w:w="108" w:type="dxa"/>
              <w:right w:w="168" w:type="dxa"/>
            </w:tcMar>
            <w:vAlign w:val="center"/>
          </w:tcPr>
          <w:p w14:paraId="4552A21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试运行</w:t>
            </w:r>
            <w:r>
              <w:rPr>
                <w:rFonts w:hint="eastAsia" w:ascii="宋体" w:hAnsi="宋体" w:eastAsia="宋体" w:cs="宋体"/>
                <w:color w:val="auto"/>
                <w:sz w:val="24"/>
                <w:szCs w:val="24"/>
                <w:highlight w:val="none"/>
                <w:lang w:val="en-US" w:eastAsia="zh-CN"/>
              </w:rPr>
              <w:t>结束</w:t>
            </w:r>
            <w:r>
              <w:rPr>
                <w:rFonts w:hint="eastAsia" w:ascii="宋体" w:hAnsi="宋体" w:eastAsia="宋体" w:cs="宋体"/>
                <w:color w:val="auto"/>
                <w:sz w:val="24"/>
                <w:szCs w:val="24"/>
                <w:highlight w:val="none"/>
              </w:rPr>
              <w:t>、交付物全部移交</w:t>
            </w:r>
            <w:r>
              <w:rPr>
                <w:rFonts w:hint="eastAsia" w:ascii="宋体" w:hAnsi="宋体" w:eastAsia="宋体" w:cs="宋体"/>
                <w:color w:val="auto"/>
                <w:sz w:val="24"/>
                <w:szCs w:val="24"/>
                <w:highlight w:val="none"/>
                <w:lang w:val="en-US" w:eastAsia="zh-CN"/>
              </w:rPr>
              <w:t>并验收合格</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完成培训</w:t>
            </w:r>
          </w:p>
        </w:tc>
        <w:tc>
          <w:tcPr>
            <w:tcW w:w="2162" w:type="dxa"/>
            <w:tcMar>
              <w:top w:w="108" w:type="dxa"/>
              <w:left w:w="168" w:type="dxa"/>
              <w:bottom w:w="108" w:type="dxa"/>
              <w:right w:w="168" w:type="dxa"/>
            </w:tcMar>
            <w:vAlign w:val="center"/>
          </w:tcPr>
          <w:p w14:paraId="6CD8ECC4">
            <w:pPr>
              <w:spacing w:before="60" w:after="60" w:line="240" w:lineRule="auto"/>
              <w:jc w:val="left"/>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rPr>
              <w:t>交付验收合格日起30日完成试运行，试运行完成后组织</w:t>
            </w:r>
            <w:r>
              <w:rPr>
                <w:rFonts w:hint="eastAsia" w:ascii="宋体" w:hAnsi="宋体" w:eastAsia="宋体" w:cs="宋体"/>
                <w:color w:val="auto"/>
                <w:sz w:val="24"/>
                <w:szCs w:val="24"/>
                <w:highlight w:val="none"/>
                <w:lang w:val="en-US" w:eastAsia="zh-CN"/>
              </w:rPr>
              <w:t>验收</w:t>
            </w:r>
          </w:p>
        </w:tc>
        <w:tc>
          <w:tcPr>
            <w:tcW w:w="2162" w:type="dxa"/>
            <w:tcMar>
              <w:top w:w="108" w:type="dxa"/>
              <w:left w:w="168" w:type="dxa"/>
              <w:bottom w:w="108" w:type="dxa"/>
              <w:right w:w="168" w:type="dxa"/>
            </w:tcMar>
            <w:vAlign w:val="center"/>
          </w:tcPr>
          <w:p w14:paraId="40CDA0E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交付验收合格日</w:t>
            </w:r>
          </w:p>
        </w:tc>
      </w:tr>
    </w:tbl>
    <w:p w14:paraId="5DE911F2">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本计划可能受外部系统时间安排影响，由此造成的计划变更或延迟，由甲乙双方依照实际情况进行协商解决。</w:t>
      </w:r>
    </w:p>
    <w:p w14:paraId="4F2A4E1D">
      <w:pPr>
        <w:keepNext/>
        <w:keepLines/>
        <w:numPr>
          <w:ilvl w:val="1"/>
          <w:numId w:val="16"/>
        </w:numPr>
        <w:adjustRightInd w:val="0"/>
        <w:spacing w:before="120" w:after="120" w:line="360" w:lineRule="auto"/>
        <w:ind w:left="845" w:leftChars="0" w:hanging="425" w:firstLineChars="0"/>
        <w:outlineLvl w:val="3"/>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项目培训</w:t>
      </w:r>
    </w:p>
    <w:p w14:paraId="64388E9A">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为确保系统上线后能快速、稳定、高效运行，乙方应采用集中培训、现场培训、多媒体视频培训等方式开展培训工作，对系统管理的运维、技术和管理强化培训，对系统使用操作人员进行业务和操作培训。培训时间和参与人员根据项目情况由双方协商确定。</w:t>
      </w:r>
    </w:p>
    <w:p w14:paraId="028AC0AE">
      <w:pPr>
        <w:keepNext w:val="0"/>
        <w:keepLines w:val="0"/>
        <w:pageBreakBefore w:val="0"/>
        <w:numPr>
          <w:ilvl w:val="0"/>
          <w:numId w:val="18"/>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培训目标</w:t>
      </w:r>
    </w:p>
    <w:p w14:paraId="0DCD8AC9">
      <w:pPr>
        <w:keepNext w:val="0"/>
        <w:keepLines w:val="0"/>
        <w:pageBreakBefore w:val="0"/>
        <w:numPr>
          <w:ilvl w:val="0"/>
          <w:numId w:val="19"/>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lang w:val="zh-TW"/>
        </w:rPr>
      </w:pPr>
      <w:r>
        <w:rPr>
          <w:rFonts w:hint="eastAsia" w:ascii="宋体" w:hAnsi="宋体" w:eastAsia="宋体" w:cs="宋体"/>
          <w:color w:val="auto"/>
          <w:sz w:val="24"/>
          <w:szCs w:val="24"/>
          <w:highlight w:val="none"/>
          <w:lang w:val="zh-TW" w:eastAsia="zh-TW"/>
        </w:rPr>
        <w:t>系统技术管理员培训要求</w:t>
      </w:r>
      <w:r>
        <w:rPr>
          <w:rFonts w:hint="eastAsia" w:ascii="宋体" w:hAnsi="宋体" w:eastAsia="宋体" w:cs="宋体"/>
          <w:color w:val="auto"/>
          <w:sz w:val="24"/>
          <w:szCs w:val="24"/>
          <w:highlight w:val="none"/>
          <w:lang w:val="zh-TW"/>
        </w:rPr>
        <w:t>：</w:t>
      </w:r>
    </w:p>
    <w:p w14:paraId="58D10834">
      <w:pPr>
        <w:keepNext w:val="0"/>
        <w:keepLines w:val="0"/>
        <w:pageBreakBefore w:val="0"/>
        <w:widowControl/>
        <w:numPr>
          <w:ilvl w:val="0"/>
          <w:numId w:val="20"/>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熟悉整个系统软件结构、系统的配置；</w:t>
      </w:r>
    </w:p>
    <w:p w14:paraId="26E46E0A">
      <w:pPr>
        <w:keepNext w:val="0"/>
        <w:keepLines w:val="0"/>
        <w:pageBreakBefore w:val="0"/>
        <w:widowControl/>
        <w:numPr>
          <w:ilvl w:val="0"/>
          <w:numId w:val="20"/>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熟悉系统整体代码框架及逻辑；</w:t>
      </w:r>
    </w:p>
    <w:p w14:paraId="6F7B75BB">
      <w:pPr>
        <w:keepNext w:val="0"/>
        <w:keepLines w:val="0"/>
        <w:pageBreakBefore w:val="0"/>
        <w:widowControl/>
        <w:numPr>
          <w:ilvl w:val="0"/>
          <w:numId w:val="20"/>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熟练掌握系统的操作与运行管理；</w:t>
      </w:r>
    </w:p>
    <w:p w14:paraId="713A16A2">
      <w:pPr>
        <w:keepNext w:val="0"/>
        <w:keepLines w:val="0"/>
        <w:pageBreakBefore w:val="0"/>
        <w:widowControl/>
        <w:numPr>
          <w:ilvl w:val="0"/>
          <w:numId w:val="20"/>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熟练掌握系统的部署、测试、维护；</w:t>
      </w:r>
    </w:p>
    <w:p w14:paraId="69D4B323">
      <w:pPr>
        <w:keepNext w:val="0"/>
        <w:keepLines w:val="0"/>
        <w:pageBreakBefore w:val="0"/>
        <w:widowControl/>
        <w:numPr>
          <w:ilvl w:val="0"/>
          <w:numId w:val="20"/>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熟练掌握排除故障的基本技术。</w:t>
      </w:r>
    </w:p>
    <w:p w14:paraId="51C63579">
      <w:pPr>
        <w:keepNext w:val="0"/>
        <w:keepLines w:val="0"/>
        <w:pageBreakBefore w:val="0"/>
        <w:numPr>
          <w:ilvl w:val="0"/>
          <w:numId w:val="19"/>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lang w:val="zh-TW"/>
        </w:rPr>
      </w:pPr>
      <w:r>
        <w:rPr>
          <w:rFonts w:hint="eastAsia" w:ascii="宋体" w:hAnsi="宋体" w:eastAsia="宋体" w:cs="宋体"/>
          <w:color w:val="auto"/>
          <w:sz w:val="24"/>
          <w:szCs w:val="24"/>
          <w:highlight w:val="none"/>
          <w:lang w:val="zh-TW" w:eastAsia="zh-TW"/>
        </w:rPr>
        <w:t>系统使用人员培训要求</w:t>
      </w:r>
      <w:r>
        <w:rPr>
          <w:rFonts w:hint="eastAsia" w:ascii="宋体" w:hAnsi="宋体" w:eastAsia="宋体" w:cs="宋体"/>
          <w:color w:val="auto"/>
          <w:sz w:val="24"/>
          <w:szCs w:val="24"/>
          <w:highlight w:val="none"/>
          <w:lang w:val="zh-TW"/>
        </w:rPr>
        <w:t>：</w:t>
      </w:r>
    </w:p>
    <w:p w14:paraId="378F969E">
      <w:pPr>
        <w:keepNext w:val="0"/>
        <w:keepLines w:val="0"/>
        <w:pageBreakBefore w:val="0"/>
        <w:widowControl/>
        <w:numPr>
          <w:ilvl w:val="0"/>
          <w:numId w:val="21"/>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bidi="ar"/>
        </w:rPr>
        <w:t>了解平台基本组成及原理；</w:t>
      </w:r>
    </w:p>
    <w:p w14:paraId="09EE626F">
      <w:pPr>
        <w:keepNext w:val="0"/>
        <w:keepLines w:val="0"/>
        <w:pageBreakBefore w:val="0"/>
        <w:widowControl/>
        <w:numPr>
          <w:ilvl w:val="0"/>
          <w:numId w:val="21"/>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bidi="ar"/>
        </w:rPr>
        <w:t>熟练掌握市场、财务、保理业务的操作步骤；</w:t>
      </w:r>
    </w:p>
    <w:p w14:paraId="34AE1CE2">
      <w:pPr>
        <w:keepNext w:val="0"/>
        <w:keepLines w:val="0"/>
        <w:pageBreakBefore w:val="0"/>
        <w:widowControl/>
        <w:numPr>
          <w:ilvl w:val="0"/>
          <w:numId w:val="21"/>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bidi="ar"/>
        </w:rPr>
        <w:t>熟练掌握识别一般故障及排除技巧；</w:t>
      </w:r>
    </w:p>
    <w:p w14:paraId="0FC85D28">
      <w:pPr>
        <w:keepNext w:val="0"/>
        <w:keepLines w:val="0"/>
        <w:pageBreakBefore w:val="0"/>
        <w:widowControl/>
        <w:numPr>
          <w:ilvl w:val="0"/>
          <w:numId w:val="21"/>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bidi="ar"/>
        </w:rPr>
        <w:t>熟练掌握软件操作技能。</w:t>
      </w:r>
    </w:p>
    <w:p w14:paraId="2E217208">
      <w:pPr>
        <w:keepNext w:val="0"/>
        <w:keepLines w:val="0"/>
        <w:pageBreakBefore w:val="0"/>
        <w:numPr>
          <w:ilvl w:val="0"/>
          <w:numId w:val="18"/>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bookmarkStart w:id="68" w:name="_Toc111626663"/>
      <w:bookmarkStart w:id="69" w:name="_Toc89091706"/>
      <w:bookmarkStart w:id="70" w:name="_Toc23963"/>
      <w:bookmarkStart w:id="71" w:name="_Toc112146096"/>
      <w:r>
        <w:rPr>
          <w:rFonts w:hint="eastAsia" w:ascii="宋体" w:hAnsi="宋体" w:eastAsia="宋体" w:cs="宋体"/>
          <w:color w:val="auto"/>
          <w:sz w:val="24"/>
          <w:szCs w:val="24"/>
          <w:highlight w:val="none"/>
        </w:rPr>
        <w:t>培训对象</w:t>
      </w:r>
      <w:bookmarkEnd w:id="68"/>
      <w:bookmarkEnd w:id="69"/>
      <w:bookmarkEnd w:id="70"/>
      <w:bookmarkEnd w:id="71"/>
    </w:p>
    <w:p w14:paraId="6466FAA7">
      <w:pPr>
        <w:keepNext w:val="0"/>
        <w:keepLines w:val="0"/>
        <w:pageBreakBefore w:val="0"/>
        <w:widowControl/>
        <w:numPr>
          <w:ilvl w:val="0"/>
          <w:numId w:val="22"/>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平台涉及单位的领导和管理者、业务人员、操作人员；</w:t>
      </w:r>
    </w:p>
    <w:p w14:paraId="2CB4FE3F">
      <w:pPr>
        <w:keepNext w:val="0"/>
        <w:keepLines w:val="0"/>
        <w:pageBreakBefore w:val="0"/>
        <w:widowControl/>
        <w:numPr>
          <w:ilvl w:val="0"/>
          <w:numId w:val="22"/>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平台的技术管理和运维人员；</w:t>
      </w:r>
    </w:p>
    <w:p w14:paraId="449872C1">
      <w:pPr>
        <w:keepNext w:val="0"/>
        <w:keepLines w:val="0"/>
        <w:pageBreakBefore w:val="0"/>
        <w:widowControl/>
        <w:numPr>
          <w:ilvl w:val="0"/>
          <w:numId w:val="22"/>
        </w:numPr>
        <w:tabs>
          <w:tab w:val="left" w:pos="840"/>
        </w:tabs>
        <w:kinsoku/>
        <w:wordWrap/>
        <w:overflowPunct/>
        <w:topLinePunct w:val="0"/>
        <w:autoSpaceDE/>
        <w:autoSpaceDN/>
        <w:bidi w:val="0"/>
        <w:snapToGrid/>
        <w:spacing w:after="0" w:line="360" w:lineRule="auto"/>
        <w:jc w:val="left"/>
        <w:textAlignment w:val="auto"/>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平台定制化开发的技术人员。</w:t>
      </w:r>
    </w:p>
    <w:p w14:paraId="1F6460BA">
      <w:pPr>
        <w:keepNext w:val="0"/>
        <w:keepLines w:val="0"/>
        <w:pageBreakBefore w:val="0"/>
        <w:numPr>
          <w:ilvl w:val="0"/>
          <w:numId w:val="18"/>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bookmarkStart w:id="72" w:name="_Toc111626664"/>
      <w:bookmarkStart w:id="73" w:name="_Toc89091707"/>
      <w:bookmarkStart w:id="74" w:name="_Toc19880"/>
      <w:bookmarkStart w:id="75" w:name="_Toc112146097"/>
      <w:r>
        <w:rPr>
          <w:rFonts w:hint="eastAsia" w:ascii="宋体" w:hAnsi="宋体" w:eastAsia="宋体" w:cs="宋体"/>
          <w:color w:val="auto"/>
          <w:sz w:val="24"/>
          <w:szCs w:val="24"/>
          <w:highlight w:val="none"/>
        </w:rPr>
        <w:t>培训类型</w:t>
      </w:r>
      <w:bookmarkEnd w:id="72"/>
      <w:bookmarkEnd w:id="73"/>
      <w:bookmarkEnd w:id="74"/>
      <w:bookmarkEnd w:id="75"/>
    </w:p>
    <w:p w14:paraId="06E68210">
      <w:pPr>
        <w:keepNext w:val="0"/>
        <w:keepLines w:val="0"/>
        <w:pageBreakBefore w:val="0"/>
        <w:numPr>
          <w:ilvl w:val="0"/>
          <w:numId w:val="23"/>
        </w:numPr>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技术培训：面向平台运营的技术人员。使业主技术人员明确项目设计与实施思路、方案、技术路线、系统常见技术故障及解决方法、集成平台技术、系统管理与配置等。</w:t>
      </w:r>
    </w:p>
    <w:p w14:paraId="7DB95F00">
      <w:pPr>
        <w:keepNext w:val="0"/>
        <w:keepLines w:val="0"/>
        <w:pageBreakBefore w:val="0"/>
        <w:numPr>
          <w:ilvl w:val="0"/>
          <w:numId w:val="23"/>
        </w:numPr>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规范培训：使得技术人员了解和掌握专业服务管理体系所包含的各项管理规划和技术标准</w:t>
      </w:r>
    </w:p>
    <w:p w14:paraId="6C85A424">
      <w:pPr>
        <w:keepNext w:val="0"/>
        <w:keepLines w:val="0"/>
        <w:pageBreakBefore w:val="0"/>
        <w:numPr>
          <w:ilvl w:val="0"/>
          <w:numId w:val="23"/>
        </w:numPr>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应用培训：面向业务及相关用户单位的业务人员。使业主及相关用户单位的业务人员能够精确提炼业务需求，明确自身工作要求，熟悉使用系统全部功能，并能与项目承接方高效沟通。</w:t>
      </w:r>
    </w:p>
    <w:p w14:paraId="3038D65B">
      <w:pPr>
        <w:keepNext w:val="0"/>
        <w:keepLines w:val="0"/>
        <w:pageBreakBefore w:val="0"/>
        <w:numPr>
          <w:ilvl w:val="0"/>
          <w:numId w:val="18"/>
        </w:numPr>
        <w:kinsoku/>
        <w:wordWrap/>
        <w:overflowPunct/>
        <w:topLinePunct w:val="0"/>
        <w:autoSpaceDE/>
        <w:autoSpaceDN/>
        <w:bidi w:val="0"/>
        <w:adjustRightInd w:val="0"/>
        <w:snapToGrid/>
        <w:spacing w:after="0" w:line="360" w:lineRule="auto"/>
        <w:textAlignment w:val="auto"/>
        <w:rPr>
          <w:rFonts w:hint="eastAsia" w:ascii="宋体" w:hAnsi="宋体" w:eastAsia="宋体" w:cs="宋体"/>
          <w:color w:val="auto"/>
          <w:sz w:val="24"/>
          <w:szCs w:val="24"/>
          <w:highlight w:val="none"/>
        </w:rPr>
      </w:pPr>
      <w:bookmarkStart w:id="76" w:name="_Toc111626665"/>
      <w:bookmarkStart w:id="77" w:name="_Toc12468"/>
      <w:bookmarkStart w:id="78" w:name="_Toc89091708"/>
      <w:bookmarkStart w:id="79" w:name="_Toc112146098"/>
      <w:r>
        <w:rPr>
          <w:rFonts w:hint="eastAsia" w:ascii="宋体" w:hAnsi="宋体" w:eastAsia="宋体" w:cs="宋体"/>
          <w:color w:val="auto"/>
          <w:sz w:val="24"/>
          <w:szCs w:val="24"/>
          <w:highlight w:val="none"/>
          <w:lang w:bidi="ar"/>
        </w:rPr>
        <w:t>培训流程</w:t>
      </w:r>
      <w:bookmarkEnd w:id="76"/>
      <w:bookmarkEnd w:id="77"/>
      <w:bookmarkEnd w:id="78"/>
      <w:bookmarkEnd w:id="79"/>
    </w:p>
    <w:p w14:paraId="03F24141">
      <w:pPr>
        <w:keepNext w:val="0"/>
        <w:keepLines w:val="0"/>
        <w:pageBreakBefore w:val="0"/>
        <w:numPr>
          <w:ilvl w:val="0"/>
          <w:numId w:val="24"/>
        </w:numPr>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lang w:val="zh-TW" w:eastAsia="zh-TW"/>
        </w:rPr>
      </w:pPr>
      <w:r>
        <w:rPr>
          <w:rFonts w:hint="eastAsia" w:ascii="宋体" w:hAnsi="宋体" w:eastAsia="宋体" w:cs="宋体"/>
          <w:color w:val="auto"/>
          <w:sz w:val="24"/>
          <w:szCs w:val="24"/>
          <w:highlight w:val="none"/>
          <w:lang w:val="zh-TW" w:eastAsia="zh-TW"/>
        </w:rPr>
        <w:t>制定培训方案</w:t>
      </w:r>
    </w:p>
    <w:p w14:paraId="443D47FB">
      <w:pPr>
        <w:keepNext w:val="0"/>
        <w:keepLines w:val="0"/>
        <w:pageBreakBefore w:val="0"/>
        <w:numPr>
          <w:ilvl w:val="0"/>
          <w:numId w:val="24"/>
        </w:numPr>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lang w:val="zh-TW" w:eastAsia="zh-TW"/>
        </w:rPr>
      </w:pPr>
      <w:r>
        <w:rPr>
          <w:rFonts w:hint="eastAsia" w:ascii="宋体" w:hAnsi="宋体" w:eastAsia="宋体" w:cs="宋体"/>
          <w:color w:val="auto"/>
          <w:sz w:val="24"/>
          <w:szCs w:val="24"/>
          <w:highlight w:val="none"/>
          <w:lang w:val="zh-TW" w:eastAsia="zh-TW"/>
        </w:rPr>
        <w:t>培训方案评审</w:t>
      </w:r>
    </w:p>
    <w:p w14:paraId="79848F0F">
      <w:pPr>
        <w:keepNext w:val="0"/>
        <w:keepLines w:val="0"/>
        <w:pageBreakBefore w:val="0"/>
        <w:numPr>
          <w:ilvl w:val="0"/>
          <w:numId w:val="24"/>
        </w:numPr>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lang w:val="zh-TW" w:eastAsia="zh-TW"/>
        </w:rPr>
      </w:pPr>
      <w:r>
        <w:rPr>
          <w:rFonts w:hint="eastAsia" w:ascii="宋体" w:hAnsi="宋体" w:eastAsia="宋体" w:cs="宋体"/>
          <w:color w:val="auto"/>
          <w:sz w:val="24"/>
          <w:szCs w:val="24"/>
          <w:highlight w:val="none"/>
          <w:lang w:val="zh-TW" w:eastAsia="zh-TW"/>
        </w:rPr>
        <w:t>编制培训教材/讲义</w:t>
      </w:r>
    </w:p>
    <w:p w14:paraId="32281271">
      <w:pPr>
        <w:keepNext w:val="0"/>
        <w:keepLines w:val="0"/>
        <w:pageBreakBefore w:val="0"/>
        <w:numPr>
          <w:ilvl w:val="0"/>
          <w:numId w:val="24"/>
        </w:numPr>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lang w:val="zh-TW" w:eastAsia="zh-TW"/>
        </w:rPr>
      </w:pPr>
      <w:r>
        <w:rPr>
          <w:rFonts w:hint="eastAsia" w:ascii="宋体" w:hAnsi="宋体" w:eastAsia="宋体" w:cs="宋体"/>
          <w:color w:val="auto"/>
          <w:sz w:val="24"/>
          <w:szCs w:val="24"/>
          <w:highlight w:val="none"/>
          <w:lang w:val="zh-TW" w:eastAsia="zh-TW"/>
        </w:rPr>
        <w:t>培训教材/评审讲义</w:t>
      </w:r>
    </w:p>
    <w:p w14:paraId="22324363">
      <w:pPr>
        <w:keepNext w:val="0"/>
        <w:keepLines w:val="0"/>
        <w:pageBreakBefore w:val="0"/>
        <w:numPr>
          <w:ilvl w:val="0"/>
          <w:numId w:val="24"/>
        </w:numPr>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lang w:val="zh-TW" w:eastAsia="zh-TW"/>
        </w:rPr>
      </w:pPr>
      <w:r>
        <w:rPr>
          <w:rFonts w:hint="eastAsia" w:ascii="宋体" w:hAnsi="宋体" w:eastAsia="宋体" w:cs="宋体"/>
          <w:color w:val="auto"/>
          <w:sz w:val="24"/>
          <w:szCs w:val="24"/>
          <w:highlight w:val="none"/>
          <w:lang w:val="zh-TW" w:eastAsia="zh-TW"/>
        </w:rPr>
        <w:t>实施培训</w:t>
      </w:r>
    </w:p>
    <w:p w14:paraId="6383923E">
      <w:pPr>
        <w:keepNext w:val="0"/>
        <w:keepLines w:val="0"/>
        <w:pageBreakBefore w:val="0"/>
        <w:numPr>
          <w:ilvl w:val="0"/>
          <w:numId w:val="24"/>
        </w:numPr>
        <w:kinsoku/>
        <w:wordWrap/>
        <w:overflowPunct/>
        <w:topLinePunct w:val="0"/>
        <w:autoSpaceDE/>
        <w:autoSpaceDN/>
        <w:bidi w:val="0"/>
        <w:adjustRightInd w:val="0"/>
        <w:snapToGrid/>
        <w:spacing w:after="0" w:line="360" w:lineRule="auto"/>
        <w:ind w:firstLine="480" w:firstLineChars="200"/>
        <w:textAlignment w:val="auto"/>
        <w:rPr>
          <w:rFonts w:hint="eastAsia" w:ascii="宋体" w:hAnsi="宋体" w:eastAsia="宋体" w:cs="宋体"/>
          <w:color w:val="auto"/>
          <w:sz w:val="24"/>
          <w:szCs w:val="24"/>
          <w:highlight w:val="none"/>
          <w:lang w:val="zh-TW" w:eastAsia="zh-TW"/>
        </w:rPr>
      </w:pPr>
      <w:r>
        <w:rPr>
          <w:rFonts w:hint="eastAsia" w:ascii="宋体" w:hAnsi="宋体" w:eastAsia="宋体" w:cs="宋体"/>
          <w:color w:val="auto"/>
          <w:sz w:val="24"/>
          <w:szCs w:val="24"/>
          <w:highlight w:val="none"/>
          <w:lang w:val="zh-TW" w:eastAsia="zh-TW"/>
        </w:rPr>
        <w:t>培训效果评估</w:t>
      </w:r>
    </w:p>
    <w:p w14:paraId="6679006A">
      <w:pPr>
        <w:numPr>
          <w:ilvl w:val="0"/>
          <w:numId w:val="18"/>
        </w:numPr>
        <w:adjustRightInd w:val="0"/>
        <w:spacing w:after="80" w:line="360" w:lineRule="auto"/>
        <w:rPr>
          <w:rFonts w:hint="eastAsia" w:ascii="宋体" w:hAnsi="宋体" w:eastAsia="宋体" w:cs="宋体"/>
          <w:b/>
          <w:bCs/>
          <w:color w:val="auto"/>
          <w:sz w:val="24"/>
          <w:szCs w:val="24"/>
          <w:highlight w:val="none"/>
          <w:lang w:bidi="ar"/>
        </w:rPr>
      </w:pPr>
      <w:bookmarkStart w:id="80" w:name="_Toc112146099"/>
      <w:bookmarkStart w:id="81" w:name="_Toc24550"/>
      <w:bookmarkStart w:id="82" w:name="_Toc89091709"/>
      <w:bookmarkStart w:id="83" w:name="_Toc111626666"/>
      <w:r>
        <w:rPr>
          <w:rFonts w:hint="eastAsia" w:ascii="宋体" w:hAnsi="宋体" w:eastAsia="宋体" w:cs="宋体"/>
          <w:b/>
          <w:bCs/>
          <w:color w:val="auto"/>
          <w:sz w:val="24"/>
          <w:szCs w:val="24"/>
          <w:highlight w:val="none"/>
          <w:lang w:bidi="ar"/>
        </w:rPr>
        <w:t>培训内容</w:t>
      </w:r>
      <w:bookmarkEnd w:id="80"/>
      <w:bookmarkEnd w:id="81"/>
      <w:bookmarkEnd w:id="82"/>
      <w:bookmarkEnd w:id="83"/>
    </w:p>
    <w:tbl>
      <w:tblPr>
        <w:tblStyle w:val="13"/>
        <w:tblW w:w="7983"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392"/>
        <w:gridCol w:w="3291"/>
        <w:gridCol w:w="2300"/>
      </w:tblGrid>
      <w:tr w14:paraId="5BC64E4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84" w:hRule="atLeast"/>
        </w:trPr>
        <w:tc>
          <w:tcPr>
            <w:tcW w:w="239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80" w:type="dxa"/>
              <w:left w:w="80" w:type="dxa"/>
              <w:bottom w:w="80" w:type="dxa"/>
              <w:right w:w="80" w:type="dxa"/>
            </w:tcMar>
            <w:vAlign w:val="center"/>
          </w:tcPr>
          <w:p w14:paraId="32AA488B">
            <w:pPr>
              <w:keepNext w:val="0"/>
              <w:keepLines w:val="0"/>
              <w:suppressLineNumbers w:val="0"/>
              <w:spacing w:before="0" w:beforeAutospacing="0" w:after="0" w:afterAutospacing="0"/>
              <w:ind w:left="0" w:right="0"/>
              <w:jc w:val="center"/>
              <w:rPr>
                <w:rFonts w:hint="eastAsia" w:ascii="宋体" w:hAnsi="宋体" w:eastAsia="宋体" w:cs="宋体"/>
                <w:b/>
                <w:bCs/>
                <w:color w:val="auto"/>
                <w:sz w:val="24"/>
                <w:szCs w:val="24"/>
                <w:highlight w:val="none"/>
                <w:lang w:val="zh-TW" w:eastAsia="zh-TW"/>
              </w:rPr>
            </w:pPr>
            <w:r>
              <w:rPr>
                <w:rFonts w:hint="eastAsia" w:ascii="宋体" w:hAnsi="宋体" w:eastAsia="宋体" w:cs="宋体"/>
                <w:b/>
                <w:bCs/>
                <w:color w:val="auto"/>
                <w:sz w:val="24"/>
                <w:szCs w:val="24"/>
                <w:highlight w:val="none"/>
                <w:lang w:val="zh-TW" w:eastAsia="zh-TW" w:bidi="ar"/>
              </w:rPr>
              <w:t>课程名称</w:t>
            </w:r>
          </w:p>
        </w:tc>
        <w:tc>
          <w:tcPr>
            <w:tcW w:w="329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80" w:type="dxa"/>
              <w:left w:w="80" w:type="dxa"/>
              <w:bottom w:w="80" w:type="dxa"/>
              <w:right w:w="80" w:type="dxa"/>
            </w:tcMar>
            <w:vAlign w:val="center"/>
          </w:tcPr>
          <w:p w14:paraId="72D0998C">
            <w:pPr>
              <w:keepNext w:val="0"/>
              <w:keepLines w:val="0"/>
              <w:suppressLineNumbers w:val="0"/>
              <w:spacing w:before="0" w:beforeAutospacing="0" w:after="0" w:afterAutospacing="0"/>
              <w:ind w:left="0" w:right="0"/>
              <w:jc w:val="center"/>
              <w:rPr>
                <w:rFonts w:hint="eastAsia" w:ascii="宋体" w:hAnsi="宋体" w:eastAsia="宋体" w:cs="宋体"/>
                <w:b/>
                <w:bCs/>
                <w:color w:val="auto"/>
                <w:sz w:val="24"/>
                <w:szCs w:val="24"/>
                <w:highlight w:val="none"/>
                <w:lang w:val="zh-TW" w:eastAsia="zh-TW"/>
              </w:rPr>
            </w:pPr>
            <w:r>
              <w:rPr>
                <w:rFonts w:hint="eastAsia" w:ascii="宋体" w:hAnsi="宋体" w:eastAsia="宋体" w:cs="宋体"/>
                <w:b/>
                <w:bCs/>
                <w:color w:val="auto"/>
                <w:sz w:val="24"/>
                <w:szCs w:val="24"/>
                <w:highlight w:val="none"/>
                <w:lang w:val="zh-TW" w:eastAsia="zh-TW" w:bidi="ar"/>
              </w:rPr>
              <w:t>培训教材</w:t>
            </w:r>
          </w:p>
        </w:tc>
        <w:tc>
          <w:tcPr>
            <w:tcW w:w="230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80" w:type="dxa"/>
              <w:left w:w="80" w:type="dxa"/>
              <w:bottom w:w="80" w:type="dxa"/>
              <w:right w:w="80" w:type="dxa"/>
            </w:tcMar>
            <w:vAlign w:val="center"/>
          </w:tcPr>
          <w:p w14:paraId="3A8BEC5F">
            <w:pPr>
              <w:keepNext w:val="0"/>
              <w:keepLines w:val="0"/>
              <w:suppressLineNumbers w:val="0"/>
              <w:spacing w:before="0" w:beforeAutospacing="0" w:after="0" w:afterAutospacing="0"/>
              <w:ind w:left="0" w:right="0"/>
              <w:jc w:val="center"/>
              <w:rPr>
                <w:rFonts w:hint="eastAsia" w:ascii="宋体" w:hAnsi="宋体" w:eastAsia="宋体" w:cs="宋体"/>
                <w:b/>
                <w:bCs/>
                <w:color w:val="auto"/>
                <w:sz w:val="24"/>
                <w:szCs w:val="24"/>
                <w:highlight w:val="none"/>
                <w:lang w:val="zh-TW" w:eastAsia="zh-TW"/>
              </w:rPr>
            </w:pPr>
            <w:r>
              <w:rPr>
                <w:rFonts w:hint="eastAsia" w:ascii="宋体" w:hAnsi="宋体" w:eastAsia="宋体" w:cs="宋体"/>
                <w:b/>
                <w:bCs/>
                <w:color w:val="auto"/>
                <w:sz w:val="24"/>
                <w:szCs w:val="24"/>
                <w:highlight w:val="none"/>
                <w:lang w:val="zh-TW" w:eastAsia="zh-TW" w:bidi="ar"/>
              </w:rPr>
              <w:t>培训形式</w:t>
            </w:r>
          </w:p>
        </w:tc>
      </w:tr>
      <w:tr w14:paraId="467516E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1"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B38BCCA">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系统运维管理</w:t>
            </w:r>
          </w:p>
        </w:tc>
        <w:tc>
          <w:tcPr>
            <w:tcW w:w="329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50F170F">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《运行维护手册》</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6CA14DF">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现场培训</w:t>
            </w:r>
          </w:p>
        </w:tc>
      </w:tr>
      <w:tr w14:paraId="3D31007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48"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482EF4D">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系统操作培训</w:t>
            </w:r>
          </w:p>
        </w:tc>
        <w:tc>
          <w:tcPr>
            <w:tcW w:w="329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A54CC78">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《用户操作手册》</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CC64C85">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现场培训</w:t>
            </w:r>
          </w:p>
        </w:tc>
      </w:tr>
      <w:tr w14:paraId="57ABB70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8"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78BCCC5">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系统开发培训</w:t>
            </w:r>
          </w:p>
        </w:tc>
        <w:tc>
          <w:tcPr>
            <w:tcW w:w="329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AF7C0DF">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《开发指导手册》</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B7CA7F8">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现场培训</w:t>
            </w:r>
          </w:p>
        </w:tc>
      </w:tr>
      <w:tr w14:paraId="7AC66F2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58"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26856B3">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架构及部署培训</w:t>
            </w:r>
          </w:p>
        </w:tc>
        <w:tc>
          <w:tcPr>
            <w:tcW w:w="329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A1452B9">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《系统架构</w:t>
            </w:r>
            <w:r>
              <w:rPr>
                <w:rFonts w:hint="eastAsia" w:ascii="宋体" w:hAnsi="宋体" w:eastAsia="宋体" w:cs="宋体"/>
                <w:color w:val="auto"/>
                <w:sz w:val="24"/>
                <w:szCs w:val="24"/>
                <w:highlight w:val="none"/>
                <w:lang w:bidi="ar"/>
              </w:rPr>
              <w:t>及部署</w:t>
            </w:r>
            <w:r>
              <w:rPr>
                <w:rFonts w:hint="eastAsia" w:ascii="宋体" w:hAnsi="宋体" w:eastAsia="宋体" w:cs="宋体"/>
                <w:color w:val="auto"/>
                <w:sz w:val="24"/>
                <w:szCs w:val="24"/>
                <w:highlight w:val="none"/>
                <w:lang w:val="zh-TW" w:eastAsia="zh-TW" w:bidi="ar"/>
              </w:rPr>
              <w:t>培训手册》</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D9DC2AC">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现场培训</w:t>
            </w:r>
          </w:p>
        </w:tc>
      </w:tr>
      <w:tr w14:paraId="7840AE6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64"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091C904">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标准接口培训</w:t>
            </w:r>
          </w:p>
        </w:tc>
        <w:tc>
          <w:tcPr>
            <w:tcW w:w="329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46A65D3">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《系统接口规范文档》</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5D3706D">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现场培训</w:t>
            </w:r>
          </w:p>
        </w:tc>
      </w:tr>
      <w:tr w14:paraId="2771F1D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05"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85E6758">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业务培训</w:t>
            </w:r>
          </w:p>
        </w:tc>
        <w:tc>
          <w:tcPr>
            <w:tcW w:w="329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B45EE7D">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业务相关的培训等</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9B4CE33">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现场培训</w:t>
            </w:r>
          </w:p>
        </w:tc>
      </w:tr>
      <w:tr w14:paraId="6A7C845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23" w:hRule="atLeast"/>
        </w:trPr>
        <w:tc>
          <w:tcPr>
            <w:tcW w:w="239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6D5256D">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eastAsia="zh-TW" w:bidi="ar"/>
              </w:rPr>
            </w:pPr>
            <w:r>
              <w:rPr>
                <w:rFonts w:hint="eastAsia" w:ascii="宋体" w:hAnsi="宋体" w:eastAsia="宋体" w:cs="宋体"/>
                <w:color w:val="auto"/>
                <w:sz w:val="24"/>
                <w:szCs w:val="24"/>
                <w:highlight w:val="none"/>
                <w:lang w:val="zh-TW" w:eastAsia="zh-TW" w:bidi="ar"/>
              </w:rPr>
              <w:t>其他培训</w:t>
            </w:r>
          </w:p>
        </w:tc>
        <w:tc>
          <w:tcPr>
            <w:tcW w:w="329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0F406BF">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其他甲方针对项目应用场景提出的</w:t>
            </w:r>
            <w:r>
              <w:rPr>
                <w:rFonts w:hint="eastAsia" w:ascii="宋体" w:hAnsi="宋体" w:eastAsia="宋体" w:cs="宋体"/>
                <w:color w:val="auto"/>
                <w:sz w:val="24"/>
                <w:szCs w:val="24"/>
                <w:highlight w:val="none"/>
                <w:lang w:val="zh-TW" w:eastAsia="zh-TW" w:bidi="ar"/>
              </w:rPr>
              <w:t>业务培训等</w:t>
            </w:r>
            <w:r>
              <w:rPr>
                <w:rFonts w:hint="eastAsia" w:ascii="宋体" w:hAnsi="宋体" w:eastAsia="宋体" w:cs="宋体"/>
                <w:color w:val="auto"/>
                <w:sz w:val="24"/>
                <w:szCs w:val="24"/>
                <w:highlight w:val="none"/>
                <w:lang w:bidi="ar"/>
              </w:rPr>
              <w:t>内容</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2C0879E">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val="zh-TW" w:bidi="ar"/>
              </w:rPr>
            </w:pPr>
            <w:r>
              <w:rPr>
                <w:rFonts w:hint="eastAsia" w:ascii="宋体" w:hAnsi="宋体" w:eastAsia="宋体" w:cs="宋体"/>
                <w:color w:val="auto"/>
                <w:sz w:val="24"/>
                <w:szCs w:val="24"/>
                <w:highlight w:val="none"/>
                <w:lang w:val="zh-TW" w:eastAsia="zh-TW" w:bidi="ar"/>
              </w:rPr>
              <w:t>现场培训</w:t>
            </w:r>
          </w:p>
          <w:p w14:paraId="6FEB7F61">
            <w:pPr>
              <w:keepNext w:val="0"/>
              <w:keepLines w:val="0"/>
              <w:suppressLineNumbers w:val="0"/>
              <w:spacing w:before="0" w:beforeAutospacing="0" w:after="0" w:afterAutospacing="0"/>
              <w:ind w:left="0" w:right="0"/>
              <w:jc w:val="center"/>
              <w:rPr>
                <w:rFonts w:hint="eastAsia" w:ascii="宋体" w:hAnsi="宋体" w:eastAsia="宋体" w:cs="宋体"/>
                <w:color w:val="auto"/>
                <w:sz w:val="24"/>
                <w:szCs w:val="24"/>
                <w:highlight w:val="none"/>
                <w:lang w:bidi="ar"/>
              </w:rPr>
            </w:pPr>
            <w:r>
              <w:rPr>
                <w:rFonts w:hint="eastAsia" w:ascii="宋体" w:hAnsi="宋体" w:eastAsia="宋体" w:cs="宋体"/>
                <w:color w:val="auto"/>
                <w:sz w:val="24"/>
                <w:szCs w:val="24"/>
                <w:highlight w:val="none"/>
                <w:lang w:bidi="ar"/>
              </w:rPr>
              <w:t>远程培训</w:t>
            </w:r>
          </w:p>
        </w:tc>
      </w:tr>
    </w:tbl>
    <w:p w14:paraId="496D32BA">
      <w:pPr>
        <w:adjustRightInd/>
        <w:spacing w:line="240" w:lineRule="auto"/>
        <w:ind w:left="0"/>
        <w:outlineLvl w:val="9"/>
        <w:rPr>
          <w:rFonts w:hint="eastAsia" w:ascii="宋体" w:hAnsi="宋体" w:eastAsia="宋体" w:cs="宋体"/>
          <w:color w:val="auto"/>
          <w:sz w:val="24"/>
          <w:szCs w:val="24"/>
          <w:highlight w:val="none"/>
        </w:rPr>
      </w:pPr>
    </w:p>
    <w:p w14:paraId="4C6D8B6F">
      <w:pPr>
        <w:rPr>
          <w:rFonts w:hint="eastAsia" w:ascii="宋体" w:hAnsi="宋体" w:eastAsia="宋体" w:cs="宋体"/>
          <w:b/>
          <w:bCs/>
          <w:color w:val="auto"/>
          <w:sz w:val="24"/>
          <w:szCs w:val="24"/>
          <w:highlight w:val="none"/>
          <w:lang w:eastAsia="zh-CN"/>
        </w:rPr>
      </w:pPr>
      <w:bookmarkStart w:id="84" w:name="_Toc31861"/>
      <w:bookmarkStart w:id="85" w:name="_Toc28459"/>
      <w:r>
        <w:rPr>
          <w:rFonts w:hint="eastAsia" w:ascii="宋体" w:hAnsi="宋体" w:eastAsia="宋体" w:cs="宋体"/>
          <w:b/>
          <w:bCs/>
          <w:color w:val="auto"/>
          <w:sz w:val="24"/>
          <w:szCs w:val="24"/>
          <w:highlight w:val="none"/>
          <w:lang w:eastAsia="zh-CN"/>
        </w:rPr>
        <w:br w:type="page"/>
      </w:r>
    </w:p>
    <w:p w14:paraId="11F1EFD0">
      <w:pPr>
        <w:numPr>
          <w:ilvl w:val="255"/>
          <w:numId w:val="0"/>
        </w:numPr>
        <w:adjustRightInd w:val="0"/>
        <w:snapToGrid w:val="0"/>
        <w:spacing w:after="160" w:line="360" w:lineRule="auto"/>
        <w:ind w:left="0"/>
        <w:jc w:val="left"/>
        <w:outlineLvl w:val="1"/>
        <w:rPr>
          <w:rFonts w:hint="eastAsia" w:ascii="宋体" w:hAnsi="宋体" w:eastAsia="宋体" w:cs="宋体"/>
          <w:b/>
          <w:bCs/>
          <w:color w:val="auto"/>
          <w:sz w:val="24"/>
          <w:szCs w:val="24"/>
          <w:highlight w:val="none"/>
          <w:lang w:eastAsia="zh-CN"/>
        </w:rPr>
      </w:pPr>
      <w:r>
        <w:rPr>
          <w:rFonts w:hint="eastAsia" w:ascii="宋体" w:hAnsi="宋体" w:eastAsia="宋体" w:cs="宋体"/>
          <w:b/>
          <w:bCs/>
          <w:color w:val="auto"/>
          <w:sz w:val="24"/>
          <w:szCs w:val="24"/>
          <w:highlight w:val="none"/>
          <w:lang w:eastAsia="zh-CN"/>
        </w:rPr>
        <w:t>附件二《需求变更申请书》</w:t>
      </w:r>
      <w:bookmarkEnd w:id="84"/>
      <w:bookmarkEnd w:id="85"/>
    </w:p>
    <w:tbl>
      <w:tblPr>
        <w:tblStyle w:val="9"/>
        <w:tblW w:w="0" w:type="auto"/>
        <w:jc w:val="center"/>
        <w:tblLayout w:type="fixed"/>
        <w:tblCellMar>
          <w:top w:w="0" w:type="dxa"/>
          <w:left w:w="108" w:type="dxa"/>
          <w:bottom w:w="0" w:type="dxa"/>
          <w:right w:w="108" w:type="dxa"/>
        </w:tblCellMar>
      </w:tblPr>
      <w:tblGrid>
        <w:gridCol w:w="8630"/>
      </w:tblGrid>
      <w:tr w14:paraId="509B3188">
        <w:tblPrEx>
          <w:tblCellMar>
            <w:top w:w="0" w:type="dxa"/>
            <w:left w:w="108" w:type="dxa"/>
            <w:bottom w:w="0" w:type="dxa"/>
            <w:right w:w="108" w:type="dxa"/>
          </w:tblCellMar>
        </w:tblPrEx>
        <w:trPr>
          <w:trHeight w:val="529" w:hRule="atLeast"/>
          <w:jc w:val="center"/>
        </w:trPr>
        <w:tc>
          <w:tcPr>
            <w:tcW w:w="8630" w:type="dxa"/>
            <w:tcBorders>
              <w:top w:val="single" w:color="auto" w:sz="6" w:space="0"/>
              <w:left w:val="single" w:color="auto" w:sz="6" w:space="0"/>
              <w:bottom w:val="single" w:color="auto" w:sz="6" w:space="0"/>
              <w:right w:val="single" w:color="auto" w:sz="6" w:space="0"/>
            </w:tcBorders>
            <w:shd w:val="clear" w:color="auto" w:fill="DDD9C4"/>
          </w:tcPr>
          <w:p w14:paraId="3A6E53E1">
            <w:pPr>
              <w:widowControl/>
              <w:spacing w:after="0" w:line="240" w:lineRule="auto"/>
              <w:jc w:val="center"/>
              <w:rPr>
                <w:rFonts w:hint="eastAsia" w:ascii="宋体" w:hAnsi="宋体" w:eastAsia="宋体" w:cs="宋体"/>
                <w:b/>
                <w:bCs/>
                <w:color w:val="auto"/>
                <w:kern w:val="0"/>
                <w:sz w:val="24"/>
                <w:szCs w:val="24"/>
                <w:highlight w:val="none"/>
              </w:rPr>
            </w:pPr>
            <w:r>
              <w:rPr>
                <w:rFonts w:hint="eastAsia" w:ascii="宋体" w:hAnsi="宋体" w:eastAsia="宋体" w:cs="宋体"/>
                <w:b/>
                <w:bCs/>
                <w:color w:val="auto"/>
                <w:kern w:val="0"/>
                <w:sz w:val="24"/>
                <w:szCs w:val="24"/>
                <w:highlight w:val="none"/>
              </w:rPr>
              <w:t>需求变更申请书</w:t>
            </w:r>
          </w:p>
        </w:tc>
      </w:tr>
      <w:tr w14:paraId="6144FC4E">
        <w:tblPrEx>
          <w:tblCellMar>
            <w:top w:w="0" w:type="dxa"/>
            <w:left w:w="108" w:type="dxa"/>
            <w:bottom w:w="0" w:type="dxa"/>
            <w:right w:w="108" w:type="dxa"/>
          </w:tblCellMar>
        </w:tblPrEx>
        <w:trPr>
          <w:trHeight w:val="692" w:hRule="atLeast"/>
          <w:jc w:val="center"/>
        </w:trPr>
        <w:tc>
          <w:tcPr>
            <w:tcW w:w="8630" w:type="dxa"/>
            <w:tcBorders>
              <w:top w:val="single" w:color="auto" w:sz="6" w:space="0"/>
              <w:left w:val="single" w:color="auto" w:sz="6" w:space="0"/>
              <w:bottom w:val="single" w:color="auto" w:sz="6" w:space="0"/>
              <w:right w:val="single" w:color="auto" w:sz="6" w:space="0"/>
            </w:tcBorders>
          </w:tcPr>
          <w:p w14:paraId="214A5CEE">
            <w:pPr>
              <w:spacing w:before="156" w:after="0" w:line="348" w:lineRule="auto"/>
              <w:ind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序号：</w:t>
            </w:r>
          </w:p>
        </w:tc>
      </w:tr>
      <w:tr w14:paraId="7ED6EC96">
        <w:tblPrEx>
          <w:tblCellMar>
            <w:top w:w="0" w:type="dxa"/>
            <w:left w:w="108" w:type="dxa"/>
            <w:bottom w:w="0" w:type="dxa"/>
            <w:right w:w="108" w:type="dxa"/>
          </w:tblCellMar>
        </w:tblPrEx>
        <w:trPr>
          <w:trHeight w:val="1440" w:hRule="atLeast"/>
          <w:jc w:val="center"/>
        </w:trPr>
        <w:tc>
          <w:tcPr>
            <w:tcW w:w="8630" w:type="dxa"/>
            <w:tcBorders>
              <w:top w:val="single" w:color="auto" w:sz="6" w:space="0"/>
              <w:left w:val="single" w:color="auto" w:sz="6" w:space="0"/>
              <w:bottom w:val="single" w:color="auto" w:sz="6" w:space="0"/>
              <w:right w:val="single" w:color="auto" w:sz="6" w:space="0"/>
            </w:tcBorders>
          </w:tcPr>
          <w:p w14:paraId="64928B58">
            <w:pPr>
              <w:spacing w:before="156" w:after="0" w:line="348" w:lineRule="auto"/>
              <w:ind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申请人：</w:t>
            </w:r>
          </w:p>
          <w:p w14:paraId="19C8EA24">
            <w:pPr>
              <w:spacing w:before="156" w:after="0" w:line="348" w:lineRule="auto"/>
              <w:ind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日期：</w:t>
            </w:r>
          </w:p>
        </w:tc>
      </w:tr>
      <w:tr w14:paraId="66CC2484">
        <w:tblPrEx>
          <w:tblCellMar>
            <w:top w:w="0" w:type="dxa"/>
            <w:left w:w="108" w:type="dxa"/>
            <w:bottom w:w="0" w:type="dxa"/>
            <w:right w:w="108" w:type="dxa"/>
          </w:tblCellMar>
        </w:tblPrEx>
        <w:trPr>
          <w:jc w:val="center"/>
        </w:trPr>
        <w:tc>
          <w:tcPr>
            <w:tcW w:w="8630" w:type="dxa"/>
            <w:tcBorders>
              <w:top w:val="single" w:color="auto" w:sz="6" w:space="0"/>
              <w:left w:val="single" w:color="auto" w:sz="6" w:space="0"/>
              <w:bottom w:val="single" w:color="auto" w:sz="6" w:space="0"/>
              <w:right w:val="single" w:color="auto" w:sz="6" w:space="0"/>
            </w:tcBorders>
          </w:tcPr>
          <w:p w14:paraId="35D9B5B4">
            <w:pPr>
              <w:spacing w:before="156" w:after="0" w:line="348" w:lineRule="auto"/>
              <w:ind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待变更内容：</w:t>
            </w:r>
          </w:p>
        </w:tc>
      </w:tr>
      <w:tr w14:paraId="0DC6AD54">
        <w:tblPrEx>
          <w:tblCellMar>
            <w:top w:w="0" w:type="dxa"/>
            <w:left w:w="108" w:type="dxa"/>
            <w:bottom w:w="0" w:type="dxa"/>
            <w:right w:w="108" w:type="dxa"/>
          </w:tblCellMar>
        </w:tblPrEx>
        <w:trPr>
          <w:jc w:val="center"/>
        </w:trPr>
        <w:tc>
          <w:tcPr>
            <w:tcW w:w="8630" w:type="dxa"/>
            <w:tcBorders>
              <w:top w:val="single" w:color="auto" w:sz="6" w:space="0"/>
              <w:left w:val="single" w:color="auto" w:sz="6" w:space="0"/>
              <w:bottom w:val="single" w:color="auto" w:sz="6" w:space="0"/>
              <w:right w:val="single" w:color="auto" w:sz="6" w:space="0"/>
            </w:tcBorders>
          </w:tcPr>
          <w:p w14:paraId="2520C789">
            <w:pPr>
              <w:spacing w:before="156" w:after="0" w:line="348" w:lineRule="auto"/>
              <w:ind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变更原因：</w:t>
            </w:r>
          </w:p>
        </w:tc>
      </w:tr>
      <w:tr w14:paraId="1F81AE95">
        <w:tblPrEx>
          <w:tblCellMar>
            <w:top w:w="0" w:type="dxa"/>
            <w:left w:w="108" w:type="dxa"/>
            <w:bottom w:w="0" w:type="dxa"/>
            <w:right w:w="108" w:type="dxa"/>
          </w:tblCellMar>
        </w:tblPrEx>
        <w:trPr>
          <w:jc w:val="center"/>
        </w:trPr>
        <w:tc>
          <w:tcPr>
            <w:tcW w:w="8630" w:type="dxa"/>
            <w:tcBorders>
              <w:top w:val="single" w:color="auto" w:sz="6" w:space="0"/>
              <w:left w:val="single" w:color="auto" w:sz="6" w:space="0"/>
              <w:bottom w:val="single" w:color="auto" w:sz="6" w:space="0"/>
              <w:right w:val="single" w:color="auto" w:sz="6" w:space="0"/>
            </w:tcBorders>
          </w:tcPr>
          <w:p w14:paraId="7DC14C89">
            <w:pPr>
              <w:spacing w:before="156" w:after="0" w:line="348" w:lineRule="auto"/>
              <w:ind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变更类别</w:t>
            </w:r>
          </w:p>
          <w:p w14:paraId="1781476F">
            <w:pPr>
              <w:spacing w:before="156" w:after="0" w:line="348" w:lineRule="auto"/>
              <w:ind w:left="420" w:leftChars="200"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A.功能方面______</w:t>
            </w:r>
          </w:p>
          <w:p w14:paraId="627446A1">
            <w:pPr>
              <w:spacing w:before="156" w:after="0" w:line="348" w:lineRule="auto"/>
              <w:ind w:left="420" w:leftChars="200"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B.性能方面______</w:t>
            </w:r>
          </w:p>
          <w:p w14:paraId="7E411878">
            <w:pPr>
              <w:spacing w:before="156" w:after="0" w:line="348" w:lineRule="auto"/>
              <w:ind w:left="420" w:leftChars="200"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C.文档方面______</w:t>
            </w:r>
          </w:p>
          <w:p w14:paraId="3D511ABC">
            <w:pPr>
              <w:spacing w:before="156" w:after="0" w:line="348" w:lineRule="auto"/>
              <w:ind w:left="420" w:leftChars="200"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D.其他__________</w:t>
            </w:r>
          </w:p>
        </w:tc>
      </w:tr>
      <w:tr w14:paraId="39B6C132">
        <w:tblPrEx>
          <w:tblCellMar>
            <w:top w:w="0" w:type="dxa"/>
            <w:left w:w="108" w:type="dxa"/>
            <w:bottom w:w="0" w:type="dxa"/>
            <w:right w:w="108" w:type="dxa"/>
          </w:tblCellMar>
        </w:tblPrEx>
        <w:trPr>
          <w:jc w:val="center"/>
        </w:trPr>
        <w:tc>
          <w:tcPr>
            <w:tcW w:w="8630" w:type="dxa"/>
            <w:tcBorders>
              <w:top w:val="single" w:color="auto" w:sz="6" w:space="0"/>
              <w:left w:val="single" w:color="auto" w:sz="6" w:space="0"/>
              <w:bottom w:val="single" w:color="auto" w:sz="6" w:space="0"/>
              <w:right w:val="single" w:color="auto" w:sz="6" w:space="0"/>
            </w:tcBorders>
          </w:tcPr>
          <w:p w14:paraId="48909754">
            <w:pPr>
              <w:spacing w:before="156" w:after="0" w:line="348" w:lineRule="auto"/>
              <w:ind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甲方经办人签字：_______________日期：______________</w:t>
            </w:r>
          </w:p>
          <w:p w14:paraId="36AE174A">
            <w:pPr>
              <w:spacing w:before="156" w:after="0" w:line="348" w:lineRule="auto"/>
              <w:ind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甲方授权人签字：_______________日期：______________</w:t>
            </w:r>
          </w:p>
          <w:p w14:paraId="7A59A36C">
            <w:pPr>
              <w:spacing w:before="156" w:after="0" w:line="348" w:lineRule="auto"/>
              <w:ind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乙方经办人签字：_______________日期：______________</w:t>
            </w:r>
          </w:p>
          <w:p w14:paraId="41DDB2F8">
            <w:pPr>
              <w:spacing w:before="156" w:after="0" w:line="348" w:lineRule="auto"/>
              <w:ind w:firstLine="480"/>
              <w:contextualSpacing/>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乙方授权人签字：_______________日期：______________</w:t>
            </w:r>
          </w:p>
        </w:tc>
      </w:tr>
    </w:tbl>
    <w:p w14:paraId="30B35EB8">
      <w:pPr>
        <w:spacing w:after="0" w:line="480" w:lineRule="auto"/>
        <w:jc w:val="left"/>
        <w:rPr>
          <w:rFonts w:hint="eastAsia" w:ascii="宋体" w:hAnsi="宋体" w:eastAsia="宋体" w:cs="宋体"/>
          <w:color w:val="auto"/>
          <w:sz w:val="24"/>
          <w:szCs w:val="24"/>
          <w:highlight w:val="none"/>
        </w:rPr>
      </w:pPr>
    </w:p>
    <w:p w14:paraId="12D09BCA">
      <w:pPr>
        <w:widowControl/>
        <w:spacing w:after="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br w:type="page"/>
      </w:r>
    </w:p>
    <w:p w14:paraId="0E48A5D5">
      <w:pPr>
        <w:numPr>
          <w:ilvl w:val="255"/>
          <w:numId w:val="0"/>
        </w:numPr>
        <w:adjustRightInd w:val="0"/>
        <w:snapToGrid w:val="0"/>
        <w:spacing w:after="160" w:line="360" w:lineRule="auto"/>
        <w:ind w:left="0"/>
        <w:jc w:val="left"/>
        <w:outlineLvl w:val="1"/>
        <w:rPr>
          <w:rFonts w:hint="eastAsia" w:ascii="宋体" w:hAnsi="宋体" w:eastAsia="宋体" w:cs="宋体"/>
          <w:b/>
          <w:bCs/>
          <w:color w:val="auto"/>
          <w:sz w:val="24"/>
          <w:szCs w:val="24"/>
          <w:highlight w:val="none"/>
          <w:lang w:eastAsia="zh-CN"/>
        </w:rPr>
      </w:pPr>
      <w:bookmarkStart w:id="86" w:name="_Toc5952"/>
      <w:bookmarkStart w:id="87" w:name="_Toc108777010"/>
      <w:bookmarkStart w:id="88" w:name="_Toc31928"/>
      <w:r>
        <w:rPr>
          <w:rFonts w:hint="eastAsia" w:ascii="宋体" w:hAnsi="宋体" w:eastAsia="宋体" w:cs="宋体"/>
          <w:b/>
          <w:bCs/>
          <w:color w:val="auto"/>
          <w:sz w:val="24"/>
          <w:szCs w:val="24"/>
          <w:highlight w:val="none"/>
          <w:lang w:eastAsia="zh-CN"/>
        </w:rPr>
        <w:t>附件三《交付物及培训》</w:t>
      </w:r>
      <w:bookmarkEnd w:id="86"/>
      <w:bookmarkEnd w:id="87"/>
      <w:bookmarkEnd w:id="88"/>
    </w:p>
    <w:p w14:paraId="71BCE211">
      <w:pPr>
        <w:numPr>
          <w:ilvl w:val="0"/>
          <w:numId w:val="25"/>
        </w:numPr>
        <w:spacing w:line="348" w:lineRule="auto"/>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交付物清单</w:t>
      </w:r>
    </w:p>
    <w:p w14:paraId="3B88771E">
      <w:pPr>
        <w:spacing w:after="0" w:line="348"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项目各阶段主要的交付物如下：</w:t>
      </w:r>
    </w:p>
    <w:p w14:paraId="2EF17CE0">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《项目计划》：完成里程碑所需的任务、日程和资源详细计划</w:t>
      </w:r>
    </w:p>
    <w:p w14:paraId="641FF435">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《项目周报》：乙方项目经理每周发出的阶段性成果进度报告</w:t>
      </w:r>
    </w:p>
    <w:p w14:paraId="0408D9FD">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《项目会议纪要》：每次甲乙双方召开的项目沟通会议纪要</w:t>
      </w:r>
    </w:p>
    <w:p w14:paraId="2E25D6A2">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《需求说明书》</w:t>
      </w:r>
      <w:r>
        <w:rPr>
          <w:rFonts w:hint="eastAsia" w:ascii="宋体" w:hAnsi="宋体" w:eastAsia="宋体" w:cs="宋体"/>
          <w:color w:val="auto"/>
          <w:sz w:val="24"/>
          <w:szCs w:val="24"/>
          <w:highlight w:val="none"/>
          <w:lang w:val="en-US" w:eastAsia="zh-CN"/>
        </w:rPr>
        <w:t>业务需求说明书、原型设计等</w:t>
      </w:r>
    </w:p>
    <w:p w14:paraId="7FD7BA47">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《详细设计说明书》</w:t>
      </w:r>
      <w:r>
        <w:rPr>
          <w:rFonts w:hint="eastAsia" w:ascii="宋体" w:hAnsi="宋体" w:eastAsia="宋体" w:cs="宋体"/>
          <w:color w:val="auto"/>
          <w:sz w:val="24"/>
          <w:szCs w:val="24"/>
          <w:highlight w:val="none"/>
          <w:lang w:val="en-US" w:eastAsia="zh-CN"/>
        </w:rPr>
        <w:t>系统功能设计及业务流程设计</w:t>
      </w:r>
    </w:p>
    <w:p w14:paraId="3BBB3BA0">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《数据库设计说明书》</w:t>
      </w:r>
      <w:r>
        <w:rPr>
          <w:rFonts w:hint="eastAsia" w:ascii="宋体" w:hAnsi="宋体" w:eastAsia="宋体" w:cs="宋体"/>
          <w:color w:val="auto"/>
          <w:sz w:val="24"/>
          <w:szCs w:val="24"/>
          <w:highlight w:val="none"/>
          <w:lang w:val="en-US" w:eastAsia="zh-CN"/>
        </w:rPr>
        <w:t>系统数据库结构、字段设计</w:t>
      </w:r>
    </w:p>
    <w:p w14:paraId="471B93AF">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《API接口设计说明书》</w:t>
      </w:r>
      <w:r>
        <w:rPr>
          <w:rFonts w:hint="eastAsia" w:ascii="宋体" w:hAnsi="宋体" w:eastAsia="宋体" w:cs="宋体"/>
          <w:color w:val="auto"/>
          <w:sz w:val="24"/>
          <w:szCs w:val="24"/>
          <w:highlight w:val="none"/>
          <w:lang w:val="en-US" w:eastAsia="zh-CN"/>
        </w:rPr>
        <w:t>系统内外部API接口设计</w:t>
      </w:r>
    </w:p>
    <w:p w14:paraId="61FE47A3">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《测试</w:t>
      </w:r>
      <w:r>
        <w:rPr>
          <w:rFonts w:hint="eastAsia" w:ascii="宋体" w:hAnsi="宋体" w:eastAsia="宋体" w:cs="宋体"/>
          <w:color w:val="auto"/>
          <w:sz w:val="24"/>
          <w:szCs w:val="24"/>
          <w:highlight w:val="none"/>
          <w:lang w:val="en-US" w:eastAsia="zh-CN"/>
        </w:rPr>
        <w:t>用例及计划</w:t>
      </w: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eastAsia="zh"/>
        </w:rPr>
        <w:t>：</w:t>
      </w:r>
      <w:r>
        <w:rPr>
          <w:rFonts w:hint="eastAsia" w:ascii="宋体" w:hAnsi="宋体" w:eastAsia="宋体" w:cs="宋体"/>
          <w:color w:val="auto"/>
          <w:sz w:val="24"/>
          <w:szCs w:val="24"/>
          <w:highlight w:val="none"/>
          <w:lang w:val="en-US" w:eastAsia="zh-CN"/>
        </w:rPr>
        <w:t>系统</w:t>
      </w:r>
      <w:r>
        <w:rPr>
          <w:rFonts w:hint="eastAsia" w:ascii="宋体" w:hAnsi="宋体" w:eastAsia="宋体" w:cs="宋体"/>
          <w:color w:val="auto"/>
          <w:sz w:val="24"/>
          <w:szCs w:val="24"/>
          <w:highlight w:val="none"/>
        </w:rPr>
        <w:t>功能测试</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集成测试等</w:t>
      </w:r>
      <w:r>
        <w:rPr>
          <w:rFonts w:hint="eastAsia" w:ascii="宋体" w:hAnsi="宋体" w:eastAsia="宋体" w:cs="宋体"/>
          <w:color w:val="auto"/>
          <w:sz w:val="24"/>
          <w:szCs w:val="24"/>
          <w:highlight w:val="none"/>
        </w:rPr>
        <w:t>用例和</w:t>
      </w:r>
      <w:r>
        <w:rPr>
          <w:rFonts w:hint="eastAsia" w:ascii="宋体" w:hAnsi="宋体" w:eastAsia="宋体" w:cs="宋体"/>
          <w:color w:val="auto"/>
          <w:sz w:val="24"/>
          <w:szCs w:val="24"/>
          <w:highlight w:val="none"/>
          <w:lang w:val="en-US" w:eastAsia="zh-CN"/>
        </w:rPr>
        <w:t>计划</w:t>
      </w:r>
    </w:p>
    <w:p w14:paraId="132ED9AC">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《上线</w:t>
      </w:r>
      <w:r>
        <w:rPr>
          <w:rFonts w:hint="eastAsia" w:ascii="宋体" w:hAnsi="宋体" w:eastAsia="宋体" w:cs="宋体"/>
          <w:color w:val="auto"/>
          <w:sz w:val="24"/>
          <w:szCs w:val="24"/>
          <w:highlight w:val="none"/>
          <w:lang w:val="en-US" w:eastAsia="zh-CN"/>
        </w:rPr>
        <w:t>方案</w:t>
      </w:r>
      <w:r>
        <w:rPr>
          <w:rFonts w:hint="eastAsia" w:ascii="宋体" w:hAnsi="宋体" w:eastAsia="宋体" w:cs="宋体"/>
          <w:color w:val="auto"/>
          <w:sz w:val="24"/>
          <w:szCs w:val="24"/>
          <w:highlight w:val="none"/>
        </w:rPr>
        <w:t>》：系统上线方案，包括计划、</w:t>
      </w:r>
      <w:r>
        <w:rPr>
          <w:rFonts w:hint="eastAsia" w:ascii="宋体" w:hAnsi="宋体" w:eastAsia="宋体" w:cs="宋体"/>
          <w:color w:val="auto"/>
          <w:sz w:val="24"/>
          <w:szCs w:val="24"/>
          <w:highlight w:val="none"/>
          <w:lang w:val="en-US" w:eastAsia="zh-CN"/>
        </w:rPr>
        <w:t>软硬件</w:t>
      </w:r>
      <w:r>
        <w:rPr>
          <w:rFonts w:hint="eastAsia" w:ascii="宋体" w:hAnsi="宋体" w:eastAsia="宋体" w:cs="宋体"/>
          <w:color w:val="auto"/>
          <w:sz w:val="24"/>
          <w:szCs w:val="24"/>
          <w:highlight w:val="none"/>
        </w:rPr>
        <w:t>资源、</w:t>
      </w:r>
      <w:r>
        <w:rPr>
          <w:rFonts w:hint="eastAsia" w:ascii="宋体" w:hAnsi="宋体" w:eastAsia="宋体" w:cs="宋体"/>
          <w:color w:val="auto"/>
          <w:sz w:val="24"/>
          <w:szCs w:val="24"/>
          <w:highlight w:val="none"/>
          <w:lang w:val="en-US" w:eastAsia="zh-CN"/>
        </w:rPr>
        <w:t>上线</w:t>
      </w:r>
      <w:r>
        <w:rPr>
          <w:rFonts w:hint="eastAsia" w:ascii="宋体" w:hAnsi="宋体" w:eastAsia="宋体" w:cs="宋体"/>
          <w:color w:val="auto"/>
          <w:sz w:val="24"/>
          <w:szCs w:val="24"/>
          <w:highlight w:val="none"/>
        </w:rPr>
        <w:t>流程等</w:t>
      </w:r>
    </w:p>
    <w:p w14:paraId="47281537">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w:t>
      </w:r>
      <w:r>
        <w:rPr>
          <w:rFonts w:hint="eastAsia" w:ascii="宋体" w:hAnsi="宋体" w:eastAsia="宋体" w:cs="宋体"/>
          <w:color w:val="auto"/>
          <w:sz w:val="24"/>
          <w:szCs w:val="24"/>
          <w:highlight w:val="none"/>
          <w:lang w:val="en-US" w:eastAsia="zh-CN"/>
        </w:rPr>
        <w:t>项目</w:t>
      </w:r>
      <w:r>
        <w:rPr>
          <w:rFonts w:hint="eastAsia" w:ascii="宋体" w:hAnsi="宋体" w:eastAsia="宋体" w:cs="宋体"/>
          <w:color w:val="auto"/>
          <w:sz w:val="24"/>
          <w:szCs w:val="24"/>
          <w:highlight w:val="none"/>
        </w:rPr>
        <w:t>验收报告》</w:t>
      </w:r>
    </w:p>
    <w:p w14:paraId="17812EF7">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《运维手册》</w:t>
      </w:r>
      <w:r>
        <w:rPr>
          <w:rFonts w:hint="eastAsia" w:ascii="宋体" w:hAnsi="宋体" w:eastAsia="宋体" w:cs="宋体"/>
          <w:color w:val="auto"/>
          <w:sz w:val="24"/>
          <w:szCs w:val="24"/>
          <w:highlight w:val="none"/>
          <w:lang w:val="en-US" w:eastAsia="zh-CN"/>
        </w:rPr>
        <w:t>系统运维操作手册</w:t>
      </w:r>
    </w:p>
    <w:p w14:paraId="0FFA6973">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《交接计划及清单》</w:t>
      </w:r>
    </w:p>
    <w:p w14:paraId="0C1633BC">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项目全部源代码、打包编译脚本、运维部署等相关脚本</w:t>
      </w:r>
    </w:p>
    <w:p w14:paraId="4DFDE7FC">
      <w:pPr>
        <w:numPr>
          <w:ilvl w:val="0"/>
          <w:numId w:val="26"/>
        </w:numPr>
        <w:spacing w:after="0" w:line="348" w:lineRule="auto"/>
        <w:ind w:left="0" w:firstLine="240" w:firstLineChars="1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源代码交付说明》：软件涉及的全部源代码说明，包括但不限于代码整体结构说明，各功能模块用途及关系，系统配置文件及各配置项说明，数据库配置说明，第三方服务配置说明，外部系统对接配置说明，源代码编译、打包及运行命令及参数等。</w:t>
      </w:r>
    </w:p>
    <w:p w14:paraId="4E12E0BA">
      <w:pPr>
        <w:numPr>
          <w:ilvl w:val="0"/>
          <w:numId w:val="25"/>
        </w:numPr>
        <w:spacing w:line="348" w:lineRule="auto"/>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交付物质量要求</w:t>
      </w:r>
    </w:p>
    <w:p w14:paraId="1C1F491D">
      <w:pPr>
        <w:numPr>
          <w:ilvl w:val="0"/>
          <w:numId w:val="27"/>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乙方在项目各阶段提交的文档必须满足以下质量要求：</w:t>
      </w:r>
    </w:p>
    <w:p w14:paraId="24E9FB5A">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文档有双方认可的模板的，必须按规定的文档模板编写；没有双方确定的模板的按照甲方的要求进行编写，经甲方验收确认后视作乙方合格交付；</w:t>
      </w:r>
    </w:p>
    <w:p w14:paraId="2501F9A9">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文档必须具有详细的修改记录；</w:t>
      </w:r>
    </w:p>
    <w:p w14:paraId="419356B0">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文档必须符合甲方文档规范，尽可能做到文字通顺，条理清楚，无二义性；</w:t>
      </w:r>
    </w:p>
    <w:p w14:paraId="3E544B48">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应对各个阶段完成的文档进行汇总，依照文档体系的描述，形成相应完整的文档。如各阶段需求分析完成后，应汇总为一份完整的需求分析说明书；</w:t>
      </w:r>
    </w:p>
    <w:p w14:paraId="2F473CD7">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所有文档须严格按双方商定的时间点提交；</w:t>
      </w:r>
    </w:p>
    <w:p w14:paraId="23EC8384">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乙方提交的文档须通过甲方相关质量管理部门组织的评审，评审后乙方须根据评审意见进行文档修正并提交反馈或评审；</w:t>
      </w:r>
    </w:p>
    <w:p w14:paraId="58E8FB1A">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文档统一纳入配置管理系统进行管理；</w:t>
      </w:r>
    </w:p>
    <w:p w14:paraId="55CBC390">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项目各阶段需要甲方评审和确认的文档必须同时提交电子和纸质文档，其他实施期间产生的过程文档可以只提供电子文档，但经确认后需在配置管理系统设置独立目录存放；</w:t>
      </w:r>
    </w:p>
    <w:p w14:paraId="2B78D7AE">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所有重检交付物需在十个工作日内提交修正。</w:t>
      </w:r>
      <w:bookmarkStart w:id="89" w:name="_Toc269906254"/>
      <w:bookmarkStart w:id="90" w:name="_Toc225833075"/>
      <w:bookmarkStart w:id="91" w:name="_Toc270325582"/>
    </w:p>
    <w:p w14:paraId="4EC1F7F0">
      <w:pPr>
        <w:spacing w:after="0" w:line="348" w:lineRule="auto"/>
        <w:ind w:firstLine="480" w:firstLineChars="200"/>
        <w:rPr>
          <w:rFonts w:hint="eastAsia" w:ascii="宋体" w:hAnsi="宋体" w:eastAsia="宋体" w:cs="宋体"/>
          <w:color w:val="auto"/>
          <w:sz w:val="24"/>
          <w:szCs w:val="24"/>
          <w:highlight w:val="none"/>
        </w:rPr>
      </w:pPr>
    </w:p>
    <w:p w14:paraId="327D62EC">
      <w:pPr>
        <w:numPr>
          <w:ilvl w:val="0"/>
          <w:numId w:val="27"/>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乙方交付的源代码及数据库设计必须满足以下质量要求：</w:t>
      </w:r>
    </w:p>
    <w:p w14:paraId="454407A0">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代码遵循与甲方约定的编码规范，常量需先定义后使用，避免常量混用，避免使用可变参数编程；</w:t>
      </w:r>
    </w:p>
    <w:p w14:paraId="1B364DE1">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代码简洁，避免存在大量冗余、重复的无用代码，应包含适当的注释，对代码逻辑进行明确描述；</w:t>
      </w:r>
    </w:p>
    <w:p w14:paraId="192D5BBB">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代码应经过性能调优，避免内存泄漏、冗余运算等，以便高效运行；</w:t>
      </w:r>
    </w:p>
    <w:p w14:paraId="71D48285">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代码应遵循安全编程规范，防范SQL注入、XSS攻击、CSRF攻击等安全漏洞。使用加密技术保护敏感数据，禁止使用字符串拼接SQL；</w:t>
      </w:r>
    </w:p>
    <w:p w14:paraId="62DB71B4">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数据库合理设计索引以提高查询效率，同时考虑索引对插入、更新操作的影响，保持性能平衡；</w:t>
      </w:r>
    </w:p>
    <w:p w14:paraId="0BFA2E1C">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数据库设计遵循物理主键、逻辑外键、逻辑唯一性约束等规则，确保数据的完整性和准确性；</w:t>
      </w:r>
    </w:p>
    <w:p w14:paraId="01FA33CC">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数据库设计避免表结构及字段过度冗余，避免存在大量未使用的表及字段；</w:t>
      </w:r>
    </w:p>
    <w:p w14:paraId="24EC6714">
      <w:pPr>
        <w:numPr>
          <w:ilvl w:val="0"/>
          <w:numId w:val="28"/>
        </w:numPr>
        <w:spacing w:after="0" w:line="348" w:lineRule="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数据库设计应提供包括ER图、数据字典、表关系说明在内的文档；</w:t>
      </w:r>
    </w:p>
    <w:p w14:paraId="7F77872D">
      <w:pPr>
        <w:numPr>
          <w:ilvl w:val="0"/>
          <w:numId w:val="25"/>
        </w:numPr>
        <w:spacing w:line="348" w:lineRule="auto"/>
        <w:rPr>
          <w:rFonts w:hint="eastAsia" w:ascii="宋体" w:hAnsi="宋体" w:eastAsia="宋体" w:cs="宋体"/>
          <w:b/>
          <w:color w:val="auto"/>
          <w:sz w:val="24"/>
          <w:szCs w:val="24"/>
          <w:highlight w:val="none"/>
        </w:rPr>
      </w:pPr>
      <w:bookmarkStart w:id="92" w:name="_Toc372113614"/>
      <w:bookmarkStart w:id="93" w:name="_Toc372113844"/>
      <w:r>
        <w:rPr>
          <w:rFonts w:hint="eastAsia" w:ascii="宋体" w:hAnsi="宋体" w:eastAsia="宋体" w:cs="宋体"/>
          <w:b/>
          <w:color w:val="auto"/>
          <w:sz w:val="24"/>
          <w:szCs w:val="24"/>
          <w:highlight w:val="none"/>
        </w:rPr>
        <w:t>培训</w:t>
      </w:r>
      <w:bookmarkEnd w:id="89"/>
      <w:bookmarkEnd w:id="90"/>
      <w:bookmarkEnd w:id="91"/>
      <w:bookmarkEnd w:id="92"/>
      <w:bookmarkEnd w:id="93"/>
    </w:p>
    <w:p w14:paraId="2F6A528E">
      <w:pPr>
        <w:keepNext w:val="0"/>
        <w:keepLines w:val="0"/>
        <w:pageBreakBefore w:val="0"/>
        <w:widowControl w:val="0"/>
        <w:kinsoku/>
        <w:wordWrap/>
        <w:overflowPunct/>
        <w:topLinePunct w:val="0"/>
        <w:autoSpaceDE/>
        <w:autoSpaceDN/>
        <w:bidi w:val="0"/>
        <w:adjustRightInd/>
        <w:snapToGrid/>
        <w:spacing w:after="0" w:line="348" w:lineRule="auto"/>
        <w:ind w:firstLine="480" w:firstLineChars="200"/>
        <w:textAlignment w:val="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培训目的：通过知识转移使甲方不同层次的人员能够理解并掌握系统，以便于项目实施和系统上线后顺利使用和维护。</w:t>
      </w:r>
    </w:p>
    <w:p w14:paraId="57904BC3">
      <w:pPr>
        <w:keepNext w:val="0"/>
        <w:keepLines w:val="0"/>
        <w:pageBreakBefore w:val="0"/>
        <w:widowControl w:val="0"/>
        <w:kinsoku/>
        <w:wordWrap/>
        <w:overflowPunct/>
        <w:topLinePunct w:val="0"/>
        <w:autoSpaceDE/>
        <w:autoSpaceDN/>
        <w:bidi w:val="0"/>
        <w:adjustRightInd/>
        <w:snapToGrid/>
        <w:spacing w:after="0" w:line="348"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培训要求：</w:t>
      </w:r>
    </w:p>
    <w:p w14:paraId="457A395D">
      <w:pPr>
        <w:keepNext w:val="0"/>
        <w:keepLines w:val="0"/>
        <w:pageBreakBefore w:val="0"/>
        <w:widowControl w:val="0"/>
        <w:numPr>
          <w:ilvl w:val="0"/>
          <w:numId w:val="28"/>
        </w:numPr>
        <w:kinsoku/>
        <w:wordWrap/>
        <w:overflowPunct/>
        <w:topLinePunct w:val="0"/>
        <w:autoSpaceDE/>
        <w:autoSpaceDN/>
        <w:bidi w:val="0"/>
        <w:adjustRightInd/>
        <w:snapToGrid/>
        <w:spacing w:after="0" w:line="348"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乙方保证培训师具备所需传授的知识，熟悉项目所涉及的软、硬件系统；</w:t>
      </w:r>
    </w:p>
    <w:p w14:paraId="5DE91ED5">
      <w:pPr>
        <w:keepNext w:val="0"/>
        <w:keepLines w:val="0"/>
        <w:pageBreakBefore w:val="0"/>
        <w:widowControl w:val="0"/>
        <w:numPr>
          <w:ilvl w:val="0"/>
          <w:numId w:val="28"/>
        </w:numPr>
        <w:kinsoku/>
        <w:wordWrap/>
        <w:overflowPunct/>
        <w:topLinePunct w:val="0"/>
        <w:autoSpaceDE/>
        <w:autoSpaceDN/>
        <w:bidi w:val="0"/>
        <w:adjustRightInd/>
        <w:snapToGrid/>
        <w:spacing w:after="0" w:line="348"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乙方向甲方提供全套培训材料电子版或纸质版留存；</w:t>
      </w:r>
    </w:p>
    <w:p w14:paraId="3110B5BE">
      <w:pPr>
        <w:keepNext w:val="0"/>
        <w:keepLines w:val="0"/>
        <w:pageBreakBefore w:val="0"/>
        <w:widowControl w:val="0"/>
        <w:numPr>
          <w:ilvl w:val="0"/>
          <w:numId w:val="28"/>
        </w:numPr>
        <w:kinsoku/>
        <w:wordWrap/>
        <w:overflowPunct/>
        <w:topLinePunct w:val="0"/>
        <w:autoSpaceDE/>
        <w:autoSpaceDN/>
        <w:bidi w:val="0"/>
        <w:adjustRightInd/>
        <w:snapToGrid/>
        <w:spacing w:after="0" w:line="348"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乙方可依据甲方要求开展针对不同对象的培训，培训内容切实、有针对性</w:t>
      </w:r>
      <w:bookmarkStart w:id="94" w:name="_Toc225832002"/>
      <w:bookmarkEnd w:id="94"/>
      <w:bookmarkStart w:id="95" w:name="_Toc225833078"/>
      <w:bookmarkEnd w:id="95"/>
      <w:bookmarkStart w:id="96" w:name="_Toc225832531"/>
      <w:bookmarkEnd w:id="96"/>
      <w:bookmarkStart w:id="97" w:name="_Toc225831981"/>
      <w:bookmarkEnd w:id="97"/>
      <w:bookmarkStart w:id="98" w:name="_Toc225832547"/>
      <w:bookmarkEnd w:id="98"/>
      <w:bookmarkStart w:id="99" w:name="_Toc225832001"/>
      <w:bookmarkEnd w:id="99"/>
      <w:bookmarkStart w:id="100" w:name="_Toc225832000"/>
      <w:bookmarkEnd w:id="100"/>
      <w:bookmarkStart w:id="101" w:name="_Toc225833099"/>
      <w:bookmarkEnd w:id="101"/>
      <w:bookmarkStart w:id="102" w:name="_Toc225832548"/>
      <w:bookmarkEnd w:id="102"/>
      <w:bookmarkStart w:id="103" w:name="_Toc225833096"/>
      <w:bookmarkEnd w:id="103"/>
      <w:bookmarkStart w:id="104" w:name="_Toc225833097"/>
      <w:bookmarkEnd w:id="104"/>
      <w:bookmarkStart w:id="105" w:name="_Toc225832549"/>
      <w:bookmarkEnd w:id="105"/>
      <w:bookmarkStart w:id="106" w:name="_Toc225831999"/>
      <w:bookmarkEnd w:id="106"/>
      <w:bookmarkStart w:id="107" w:name="_Toc225832530"/>
      <w:bookmarkEnd w:id="107"/>
      <w:bookmarkStart w:id="108" w:name="_Toc225831982"/>
      <w:bookmarkEnd w:id="108"/>
      <w:bookmarkStart w:id="109" w:name="_Toc225833095"/>
      <w:bookmarkEnd w:id="109"/>
      <w:bookmarkStart w:id="110" w:name="_Toc225833079"/>
      <w:bookmarkEnd w:id="110"/>
      <w:bookmarkStart w:id="111" w:name="_Toc225832550"/>
      <w:bookmarkEnd w:id="111"/>
      <w:bookmarkStart w:id="112" w:name="_Toc225831998"/>
      <w:bookmarkEnd w:id="112"/>
      <w:bookmarkStart w:id="113" w:name="_Toc225833098"/>
      <w:bookmarkEnd w:id="113"/>
      <w:bookmarkStart w:id="114" w:name="_Toc225832551"/>
      <w:bookmarkEnd w:id="114"/>
      <w:r>
        <w:rPr>
          <w:rFonts w:hint="eastAsia" w:ascii="宋体" w:hAnsi="宋体" w:eastAsia="宋体" w:cs="宋体"/>
          <w:color w:val="auto"/>
          <w:sz w:val="24"/>
          <w:szCs w:val="24"/>
          <w:highlight w:val="none"/>
        </w:rPr>
        <w:t>。</w:t>
      </w:r>
      <w:bookmarkStart w:id="115" w:name="_Toc372113846"/>
      <w:r>
        <w:rPr>
          <w:rFonts w:hint="eastAsia" w:ascii="宋体" w:hAnsi="宋体" w:eastAsia="宋体" w:cs="宋体"/>
          <w:color w:val="auto"/>
          <w:sz w:val="24"/>
          <w:szCs w:val="24"/>
          <w:highlight w:val="none"/>
        </w:rPr>
        <w:br w:type="page"/>
      </w:r>
    </w:p>
    <w:p w14:paraId="63886127">
      <w:pPr>
        <w:numPr>
          <w:ilvl w:val="255"/>
          <w:numId w:val="0"/>
        </w:numPr>
        <w:adjustRightInd w:val="0"/>
        <w:snapToGrid w:val="0"/>
        <w:spacing w:after="160" w:line="360" w:lineRule="auto"/>
        <w:ind w:left="0"/>
        <w:jc w:val="left"/>
        <w:outlineLvl w:val="1"/>
        <w:rPr>
          <w:rFonts w:hint="eastAsia" w:ascii="宋体" w:hAnsi="宋体" w:eastAsia="宋体" w:cs="宋体"/>
          <w:b/>
          <w:bCs/>
          <w:color w:val="auto"/>
          <w:sz w:val="24"/>
          <w:szCs w:val="24"/>
          <w:highlight w:val="none"/>
          <w:lang w:eastAsia="zh-CN"/>
        </w:rPr>
      </w:pPr>
      <w:bookmarkStart w:id="116" w:name="_Toc269906266"/>
      <w:bookmarkStart w:id="117" w:name="_Toc95891629"/>
      <w:bookmarkStart w:id="118" w:name="_Toc131928702"/>
      <w:bookmarkStart w:id="119" w:name="_Toc270325588"/>
      <w:bookmarkStart w:id="120" w:name="_Toc95215014"/>
      <w:bookmarkStart w:id="121" w:name="_Toc10965569"/>
      <w:bookmarkStart w:id="122" w:name="_Toc46150526"/>
      <w:bookmarkStart w:id="123" w:name="_Toc527537278"/>
      <w:bookmarkStart w:id="124" w:name="_Toc162670599"/>
      <w:bookmarkStart w:id="125" w:name="_Toc225833423"/>
      <w:bookmarkStart w:id="126" w:name="_Toc94328873"/>
      <w:bookmarkStart w:id="127" w:name="_Toc131920069"/>
      <w:bookmarkStart w:id="128" w:name="_Toc527537699"/>
      <w:bookmarkStart w:id="129" w:name="_Toc95213872"/>
      <w:bookmarkStart w:id="130" w:name="_Toc11211067"/>
      <w:bookmarkStart w:id="131" w:name="_Toc527537489"/>
      <w:bookmarkStart w:id="132" w:name="_Toc527534589"/>
      <w:bookmarkStart w:id="133" w:name="_Toc9583949"/>
      <w:bookmarkStart w:id="134" w:name="_Toc518791913"/>
      <w:bookmarkStart w:id="135" w:name="_Toc179596712"/>
      <w:bookmarkStart w:id="136" w:name="_Toc131928810"/>
      <w:bookmarkStart w:id="137" w:name="_Toc108777011"/>
      <w:bookmarkStart w:id="138" w:name="_Toc13385"/>
      <w:bookmarkStart w:id="139" w:name="_Toc25082"/>
      <w:bookmarkStart w:id="140" w:name="_Toc124754743"/>
      <w:bookmarkStart w:id="141" w:name="_Toc122679111"/>
      <w:r>
        <w:rPr>
          <w:rFonts w:hint="eastAsia" w:ascii="宋体" w:hAnsi="宋体" w:eastAsia="宋体" w:cs="宋体"/>
          <w:b/>
          <w:bCs/>
          <w:color w:val="auto"/>
          <w:sz w:val="24"/>
          <w:szCs w:val="24"/>
          <w:highlight w:val="none"/>
          <w:lang w:eastAsia="zh-CN"/>
        </w:rPr>
        <w:t>附件四《项目阶段确认和验收</w:t>
      </w:r>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Start w:id="142" w:name="_Toc179596713"/>
      <w:bookmarkStart w:id="143" w:name="_Toc372113617"/>
      <w:bookmarkStart w:id="144" w:name="_Toc225833424"/>
      <w:bookmarkStart w:id="145" w:name="_Toc270325589"/>
      <w:bookmarkStart w:id="146" w:name="_Toc269906267"/>
      <w:r>
        <w:rPr>
          <w:rFonts w:hint="eastAsia" w:ascii="宋体" w:hAnsi="宋体" w:eastAsia="宋体" w:cs="宋体"/>
          <w:b/>
          <w:bCs/>
          <w:color w:val="auto"/>
          <w:sz w:val="24"/>
          <w:szCs w:val="24"/>
          <w:highlight w:val="none"/>
          <w:lang w:eastAsia="zh-CN"/>
        </w:rPr>
        <w:t>》</w:t>
      </w:r>
      <w:bookmarkEnd w:id="137"/>
      <w:bookmarkEnd w:id="138"/>
      <w:bookmarkEnd w:id="139"/>
    </w:p>
    <w:p w14:paraId="1BAF7DB7">
      <w:pPr>
        <w:numPr>
          <w:ilvl w:val="0"/>
          <w:numId w:val="29"/>
        </w:numPr>
        <w:spacing w:line="348" w:lineRule="auto"/>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阶段确认</w:t>
      </w:r>
      <w:bookmarkEnd w:id="142"/>
      <w:bookmarkEnd w:id="143"/>
      <w:bookmarkEnd w:id="144"/>
      <w:bookmarkEnd w:id="145"/>
      <w:bookmarkEnd w:id="146"/>
    </w:p>
    <w:p w14:paraId="32659FDC">
      <w:pPr>
        <w:keepNext w:val="0"/>
        <w:keepLines w:val="0"/>
        <w:pageBreakBefore w:val="0"/>
        <w:widowControl w:val="0"/>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项目阶段确认，是指在项目实施期间双方对项目各阶段实施目标，工作计划和提交的阶段工作完成报告做出结论。甲方应及时书面签署确认乙方要求确认的有关文档，或者提出不予确认的结论和原因。</w:t>
      </w:r>
    </w:p>
    <w:p w14:paraId="3807EADC">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阶段交付物提交前，乙方应组织相关人员对交付物进行内部评审，并做好评审记录，确保交付物的质量能够满足项目质量要求。内部评审通过后，由乙方提交给甲方。</w:t>
      </w:r>
    </w:p>
    <w:p w14:paraId="50DC5DCB">
      <w:pPr>
        <w:numPr>
          <w:ilvl w:val="0"/>
          <w:numId w:val="29"/>
        </w:numPr>
        <w:spacing w:line="348" w:lineRule="auto"/>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试运行</w:t>
      </w:r>
    </w:p>
    <w:p w14:paraId="3A69EE6E">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按照合同正文条款约定的试运行期，如因乙方原因，软件在试运行期间出现故障或问题，乙方应及时排除该方面的故障或问题，所</w:t>
      </w:r>
      <w:r>
        <w:rPr>
          <w:rFonts w:hint="eastAsia" w:ascii="宋体" w:hAnsi="宋体" w:eastAsia="宋体" w:cs="宋体"/>
          <w:color w:val="auto"/>
          <w:sz w:val="24"/>
          <w:szCs w:val="24"/>
          <w:highlight w:val="none"/>
          <w:lang w:val="en-US" w:eastAsia="zh-CN"/>
        </w:rPr>
        <w:t>产生</w:t>
      </w:r>
      <w:r>
        <w:rPr>
          <w:rFonts w:hint="eastAsia" w:ascii="宋体" w:hAnsi="宋体" w:eastAsia="宋体" w:cs="宋体"/>
          <w:color w:val="auto"/>
          <w:sz w:val="24"/>
          <w:szCs w:val="24"/>
          <w:highlight w:val="none"/>
        </w:rPr>
        <w:t>的费用由乙方承担。</w:t>
      </w:r>
    </w:p>
    <w:p w14:paraId="378FE2F0">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乙方应在合理的期限内排除故障或处理问题。如以上故障或问题影响软件基本功能和目标的实现，且排除故障或处理问题的时间超过</w:t>
      </w:r>
      <w:r>
        <w:rPr>
          <w:rFonts w:hint="eastAsia" w:ascii="宋体" w:hAnsi="宋体" w:eastAsia="宋体" w:cs="宋体"/>
          <w:color w:val="auto"/>
          <w:sz w:val="24"/>
          <w:szCs w:val="24"/>
          <w:highlight w:val="none"/>
          <w:u w:val="single"/>
        </w:rPr>
        <w:t>5</w:t>
      </w:r>
      <w:r>
        <w:rPr>
          <w:rFonts w:hint="eastAsia" w:ascii="宋体" w:hAnsi="宋体" w:eastAsia="宋体" w:cs="宋体"/>
          <w:color w:val="auto"/>
          <w:sz w:val="24"/>
          <w:szCs w:val="24"/>
          <w:highlight w:val="none"/>
        </w:rPr>
        <w:t>个工作日，则视为乙方交付违约，除非上述故障和问题是由甲方引起的。</w:t>
      </w:r>
    </w:p>
    <w:p w14:paraId="7CDF428D">
      <w:pPr>
        <w:numPr>
          <w:ilvl w:val="0"/>
          <w:numId w:val="29"/>
        </w:numPr>
        <w:spacing w:line="348" w:lineRule="auto"/>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验收程序</w:t>
      </w:r>
    </w:p>
    <w:p w14:paraId="0E07A754">
      <w:pPr>
        <w:spacing w:after="0"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在规定的投产后或试运行期结束后，乙方应做好项目验收的必要准备（乙方应向甲方提交要求的验收内容，包含但不限于</w:t>
      </w:r>
      <w:r>
        <w:rPr>
          <w:rFonts w:hint="eastAsia" w:ascii="宋体" w:hAnsi="宋体" w:eastAsia="宋体" w:cs="宋体"/>
          <w:color w:val="auto"/>
          <w:sz w:val="24"/>
          <w:szCs w:val="24"/>
          <w:highlight w:val="none"/>
          <w:lang w:eastAsia="zh-CN"/>
        </w:rPr>
        <w:t>附件三</w:t>
      </w:r>
      <w:r>
        <w:rPr>
          <w:rFonts w:hint="eastAsia" w:ascii="宋体" w:hAnsi="宋体" w:eastAsia="宋体" w:cs="宋体"/>
          <w:color w:val="auto"/>
          <w:sz w:val="24"/>
          <w:szCs w:val="24"/>
          <w:highlight w:val="none"/>
        </w:rPr>
        <w:t>中的交付物清单等）并向甲方提交验收方案及验收申请书，甲方应当在收到验收申请书后</w:t>
      </w:r>
      <w:r>
        <w:rPr>
          <w:rFonts w:hint="eastAsia" w:ascii="宋体" w:hAnsi="宋体" w:cs="宋体"/>
          <w:color w:val="auto"/>
          <w:sz w:val="24"/>
          <w:szCs w:val="24"/>
          <w:highlight w:val="none"/>
          <w:lang w:val="en-US" w:eastAsia="zh-CN"/>
        </w:rPr>
        <w:t>1</w:t>
      </w:r>
      <w:r>
        <w:rPr>
          <w:rFonts w:hint="eastAsia" w:ascii="宋体" w:hAnsi="宋体" w:eastAsia="宋体" w:cs="宋体"/>
          <w:color w:val="auto"/>
          <w:sz w:val="24"/>
          <w:szCs w:val="24"/>
          <w:highlight w:val="none"/>
        </w:rPr>
        <w:t>个</w:t>
      </w:r>
      <w:r>
        <w:rPr>
          <w:rFonts w:hint="eastAsia" w:ascii="宋体" w:hAnsi="宋体" w:cs="宋体"/>
          <w:color w:val="auto"/>
          <w:sz w:val="24"/>
          <w:szCs w:val="24"/>
          <w:highlight w:val="none"/>
          <w:lang w:val="en-US" w:eastAsia="zh-CN"/>
        </w:rPr>
        <w:t>月</w:t>
      </w:r>
      <w:r>
        <w:rPr>
          <w:rFonts w:hint="eastAsia" w:ascii="宋体" w:hAnsi="宋体" w:eastAsia="宋体" w:cs="宋体"/>
          <w:color w:val="auto"/>
          <w:sz w:val="24"/>
          <w:szCs w:val="24"/>
          <w:highlight w:val="none"/>
        </w:rPr>
        <w:t>内</w:t>
      </w:r>
      <w:r>
        <w:rPr>
          <w:rFonts w:hint="eastAsia" w:ascii="宋体" w:hAnsi="宋体" w:cs="宋体"/>
          <w:color w:val="auto"/>
          <w:sz w:val="24"/>
          <w:szCs w:val="24"/>
          <w:highlight w:val="none"/>
          <w:lang w:val="en-US" w:eastAsia="zh-CN"/>
        </w:rPr>
        <w:t>进行</w:t>
      </w:r>
      <w:r>
        <w:rPr>
          <w:rFonts w:hint="eastAsia" w:ascii="宋体" w:hAnsi="宋体" w:eastAsia="宋体" w:cs="宋体"/>
          <w:color w:val="auto"/>
          <w:sz w:val="24"/>
          <w:szCs w:val="24"/>
          <w:highlight w:val="none"/>
        </w:rPr>
        <w:t>验收。</w:t>
      </w:r>
    </w:p>
    <w:p w14:paraId="0C15DCA6">
      <w:pPr>
        <w:spacing w:after="0"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乙方应协助甲方根据《工作说明书》的内容对项目进行系统测试，测试验收成立验收小组,由甲方、乙方及专家等人员组成，对项目建设进行验收。验收时,由乙方拟定验收方案，编制测试手册，经验收小组一致确认后，由验收小组负责验收。验收方案包括测试目的、环境、过程、结果及分析等方面内容。在测试验收过程中，出现严重缺陷或质量问题时，验收小组可以决定暂停所有测试，直至缺陷和问题得到纠正。</w:t>
      </w:r>
    </w:p>
    <w:p w14:paraId="0AE3976B">
      <w:pPr>
        <w:spacing w:after="0" w:line="360"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在验收通过后的</w:t>
      </w:r>
      <w:r>
        <w:rPr>
          <w:rFonts w:hint="eastAsia" w:ascii="宋体" w:hAnsi="宋体" w:eastAsia="宋体" w:cs="宋体"/>
          <w:color w:val="auto"/>
          <w:sz w:val="24"/>
          <w:szCs w:val="24"/>
          <w:highlight w:val="none"/>
          <w:u w:val="single"/>
        </w:rPr>
        <w:t>10</w:t>
      </w:r>
      <w:r>
        <w:rPr>
          <w:rFonts w:hint="eastAsia" w:ascii="宋体" w:hAnsi="宋体" w:eastAsia="宋体" w:cs="宋体"/>
          <w:color w:val="auto"/>
          <w:sz w:val="24"/>
          <w:szCs w:val="24"/>
          <w:highlight w:val="none"/>
        </w:rPr>
        <w:t>个工作日内，由双方签署验收报告并加盖公章。如果甲方无法在收到乙方提交的验收申请书后</w:t>
      </w:r>
      <w:r>
        <w:rPr>
          <w:rFonts w:hint="eastAsia" w:ascii="宋体" w:hAnsi="宋体" w:eastAsia="宋体" w:cs="宋体"/>
          <w:color w:val="auto"/>
          <w:sz w:val="24"/>
          <w:szCs w:val="24"/>
          <w:highlight w:val="none"/>
          <w:u w:val="single"/>
        </w:rPr>
        <w:t>10</w:t>
      </w:r>
      <w:r>
        <w:rPr>
          <w:rFonts w:hint="eastAsia" w:ascii="宋体" w:hAnsi="宋体" w:eastAsia="宋体" w:cs="宋体"/>
          <w:color w:val="auto"/>
          <w:sz w:val="24"/>
          <w:szCs w:val="24"/>
          <w:highlight w:val="none"/>
        </w:rPr>
        <w:t>个工作日内组织验收或甲方认为项目达不到验收条件，则必须书面向乙方提交无法按期验收的原因，验收时间可以顺延，但顺延时间不超过</w:t>
      </w:r>
      <w:r>
        <w:rPr>
          <w:rFonts w:hint="eastAsia" w:ascii="宋体" w:hAnsi="宋体" w:eastAsia="宋体" w:cs="宋体"/>
          <w:color w:val="auto"/>
          <w:sz w:val="24"/>
          <w:szCs w:val="24"/>
          <w:highlight w:val="none"/>
          <w:u w:val="single"/>
        </w:rPr>
        <w:t>15</w:t>
      </w:r>
      <w:r>
        <w:rPr>
          <w:rFonts w:hint="eastAsia" w:ascii="宋体" w:hAnsi="宋体" w:eastAsia="宋体" w:cs="宋体"/>
          <w:color w:val="auto"/>
          <w:sz w:val="24"/>
          <w:szCs w:val="24"/>
          <w:highlight w:val="none"/>
        </w:rPr>
        <w:t>个工作日。</w:t>
      </w:r>
    </w:p>
    <w:p w14:paraId="5B0325B1">
      <w:pPr>
        <w:numPr>
          <w:ilvl w:val="0"/>
          <w:numId w:val="29"/>
        </w:numPr>
        <w:spacing w:line="348" w:lineRule="auto"/>
        <w:rPr>
          <w:rFonts w:hint="eastAsia" w:ascii="宋体" w:hAnsi="宋体" w:eastAsia="宋体" w:cs="宋体"/>
          <w:b/>
          <w:color w:val="auto"/>
          <w:sz w:val="24"/>
          <w:szCs w:val="24"/>
          <w:highlight w:val="none"/>
        </w:rPr>
      </w:pPr>
      <w:bookmarkStart w:id="147" w:name="_Toc162670604"/>
      <w:bookmarkStart w:id="148" w:name="_Toc128217331"/>
      <w:bookmarkStart w:id="149" w:name="_Toc179596715"/>
      <w:bookmarkStart w:id="150" w:name="_Toc225833426"/>
      <w:bookmarkStart w:id="151" w:name="_Toc372113618"/>
      <w:bookmarkStart w:id="152" w:name="_Toc270325591"/>
      <w:bookmarkStart w:id="153" w:name="_Toc269906269"/>
      <w:bookmarkStart w:id="154" w:name="_Toc161264464"/>
      <w:bookmarkStart w:id="155" w:name="_Toc121568596"/>
      <w:r>
        <w:rPr>
          <w:rFonts w:hint="eastAsia" w:ascii="宋体" w:hAnsi="宋体" w:eastAsia="宋体" w:cs="宋体"/>
          <w:b/>
          <w:color w:val="auto"/>
          <w:sz w:val="24"/>
          <w:szCs w:val="24"/>
          <w:highlight w:val="none"/>
        </w:rPr>
        <w:t>验收标准</w:t>
      </w:r>
      <w:bookmarkEnd w:id="147"/>
      <w:bookmarkEnd w:id="148"/>
      <w:bookmarkEnd w:id="149"/>
      <w:bookmarkEnd w:id="150"/>
      <w:bookmarkEnd w:id="151"/>
      <w:bookmarkEnd w:id="152"/>
      <w:bookmarkEnd w:id="153"/>
      <w:bookmarkEnd w:id="154"/>
      <w:bookmarkEnd w:id="155"/>
    </w:p>
    <w:p w14:paraId="366E26BE">
      <w:pPr>
        <w:numPr>
          <w:ilvl w:val="0"/>
          <w:numId w:val="30"/>
        </w:numPr>
        <w:spacing w:line="360" w:lineRule="auto"/>
        <w:rPr>
          <w:rFonts w:hint="eastAsia" w:ascii="宋体" w:hAnsi="宋体" w:eastAsia="宋体" w:cs="宋体"/>
          <w:b/>
          <w:color w:val="auto"/>
          <w:sz w:val="24"/>
          <w:szCs w:val="24"/>
          <w:highlight w:val="none"/>
        </w:rPr>
      </w:pPr>
      <w:bookmarkStart w:id="156" w:name="_Toc270325593"/>
      <w:bookmarkStart w:id="157" w:name="_Toc225833428"/>
      <w:bookmarkStart w:id="158" w:name="_Toc269906271"/>
      <w:bookmarkStart w:id="159" w:name="_Toc372113619"/>
      <w:bookmarkStart w:id="160" w:name="_Toc179596717"/>
      <w:bookmarkStart w:id="161" w:name="_Toc372113847"/>
      <w:r>
        <w:rPr>
          <w:rFonts w:hint="eastAsia" w:ascii="宋体" w:hAnsi="宋体" w:eastAsia="宋体" w:cs="宋体"/>
          <w:b/>
          <w:color w:val="auto"/>
          <w:sz w:val="24"/>
          <w:szCs w:val="24"/>
          <w:highlight w:val="none"/>
        </w:rPr>
        <w:t>系统功能及性能验收标准</w:t>
      </w:r>
      <w:bookmarkEnd w:id="156"/>
      <w:bookmarkEnd w:id="157"/>
      <w:bookmarkEnd w:id="158"/>
      <w:bookmarkEnd w:id="159"/>
      <w:bookmarkEnd w:id="160"/>
      <w:bookmarkEnd w:id="161"/>
    </w:p>
    <w:p w14:paraId="5549B478">
      <w:pPr>
        <w:spacing w:after="0" w:line="360" w:lineRule="auto"/>
        <w:ind w:firstLine="480" w:firstLineChars="200"/>
        <w:rPr>
          <w:rFonts w:hint="eastAsia" w:ascii="宋体" w:hAnsi="宋体" w:eastAsia="宋体" w:cs="宋体"/>
          <w:color w:val="auto"/>
          <w:sz w:val="24"/>
          <w:szCs w:val="24"/>
          <w:highlight w:val="none"/>
        </w:rPr>
      </w:pPr>
      <w:bookmarkStart w:id="162" w:name="_Toc121568628"/>
      <w:bookmarkStart w:id="163" w:name="_Toc269906272"/>
      <w:bookmarkStart w:id="164" w:name="_Toc161264465"/>
      <w:bookmarkStart w:id="165" w:name="_Toc225833429"/>
      <w:bookmarkStart w:id="166" w:name="_Toc179596718"/>
      <w:bookmarkStart w:id="167" w:name="_Toc270325594"/>
      <w:bookmarkStart w:id="168" w:name="_Toc162670605"/>
      <w:bookmarkStart w:id="169" w:name="_Toc128217332"/>
      <w:bookmarkStart w:id="170" w:name="_Toc372113620"/>
      <w:r>
        <w:rPr>
          <w:rFonts w:hint="eastAsia" w:ascii="宋体" w:hAnsi="宋体" w:eastAsia="宋体" w:cs="宋体"/>
          <w:color w:val="auto"/>
          <w:sz w:val="24"/>
          <w:szCs w:val="24"/>
          <w:highlight w:val="none"/>
        </w:rPr>
        <w:t>项目正式验收前，乙方应当对本合同项下所有硬件设备、材料、软件系统等进行检验和测试，做这些工作需保证有甲方代表参与或批准。甲方依照《工作说明书》中的内容进行功能验收。甲方可根据需要，另行委托具有相应检测资质和测评能力的第三方对乙方交付的软件系统进行软件测评或安全测评。如有缺陷，乙方应当及时整改并承担相应的费用。</w:t>
      </w:r>
    </w:p>
    <w:tbl>
      <w:tblPr>
        <w:tblStyle w:val="10"/>
        <w:tblW w:w="5000" w:type="pct"/>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716"/>
        <w:gridCol w:w="5926"/>
      </w:tblGrid>
      <w:tr w14:paraId="1DDFA4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2716" w:type="dxa"/>
            <w:tcBorders>
              <w:top w:val="single" w:color="E0E0E0" w:sz="6" w:space="0"/>
              <w:left w:val="single" w:color="E0E0E0" w:sz="6" w:space="0"/>
              <w:bottom w:val="single" w:color="E0E0E0" w:sz="6" w:space="0"/>
              <w:right w:val="single" w:color="E0E0E0" w:sz="6" w:space="0"/>
            </w:tcBorders>
            <w:shd w:val="clear" w:color="auto" w:fill="D7D7D7" w:themeFill="background1" w:themeFillShade="D8"/>
            <w:tcMar>
              <w:top w:w="108" w:type="dxa"/>
              <w:left w:w="168" w:type="dxa"/>
              <w:bottom w:w="108" w:type="dxa"/>
              <w:right w:w="168" w:type="dxa"/>
            </w:tcMar>
            <w:vAlign w:val="center"/>
          </w:tcPr>
          <w:p w14:paraId="25471C71">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判定项</w:t>
            </w:r>
          </w:p>
        </w:tc>
        <w:tc>
          <w:tcPr>
            <w:tcW w:w="5926" w:type="dxa"/>
            <w:tcBorders>
              <w:top w:val="single" w:color="E0E0E0" w:sz="6" w:space="0"/>
              <w:left w:val="single" w:color="E0E0E0" w:sz="6" w:space="0"/>
              <w:bottom w:val="single" w:color="E0E0E0" w:sz="6" w:space="0"/>
              <w:right w:val="single" w:color="E0E0E0" w:sz="6" w:space="0"/>
            </w:tcBorders>
            <w:shd w:val="clear" w:color="auto" w:fill="D7D7D7" w:themeFill="background1" w:themeFillShade="D8"/>
            <w:tcMar>
              <w:top w:w="108" w:type="dxa"/>
              <w:left w:w="168" w:type="dxa"/>
              <w:bottom w:w="108" w:type="dxa"/>
              <w:right w:w="168" w:type="dxa"/>
            </w:tcMar>
            <w:vAlign w:val="center"/>
          </w:tcPr>
          <w:p w14:paraId="4E1FC685">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合格标准</w:t>
            </w:r>
          </w:p>
        </w:tc>
      </w:tr>
      <w:tr w14:paraId="390003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716" w:type="dxa"/>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813D115">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P0级需求项</w:t>
            </w:r>
          </w:p>
        </w:tc>
        <w:tc>
          <w:tcPr>
            <w:tcW w:w="5926" w:type="dxa"/>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1B1A942">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通过率100%，任一项不通过即判定为不合格</w:t>
            </w:r>
          </w:p>
        </w:tc>
      </w:tr>
      <w:tr w14:paraId="0028D3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716" w:type="dxa"/>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1A2B51A">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P1级需求项</w:t>
            </w:r>
          </w:p>
        </w:tc>
        <w:tc>
          <w:tcPr>
            <w:tcW w:w="5926" w:type="dxa"/>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D8EFED6">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通过率≥95%，且未通过项无功能性缺失</w:t>
            </w:r>
          </w:p>
        </w:tc>
      </w:tr>
      <w:tr w14:paraId="71863C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716" w:type="dxa"/>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FC6CF19">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致命缺陷（A级）</w:t>
            </w:r>
          </w:p>
        </w:tc>
        <w:tc>
          <w:tcPr>
            <w:tcW w:w="5926" w:type="dxa"/>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B9BFDA6">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零遗留，存在任一致命缺陷即判定为不合格</w:t>
            </w:r>
          </w:p>
        </w:tc>
      </w:tr>
      <w:tr w14:paraId="334A8A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716" w:type="dxa"/>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0EBAF4B">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严重缺陷（B级）</w:t>
            </w:r>
          </w:p>
        </w:tc>
        <w:tc>
          <w:tcPr>
            <w:tcW w:w="5926" w:type="dxa"/>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7ABCF80">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零遗留，或经甲方书面同意转为限期整改</w:t>
            </w:r>
          </w:p>
        </w:tc>
      </w:tr>
      <w:tr w14:paraId="7D4AA3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716" w:type="dxa"/>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931F374">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安全指标</w:t>
            </w:r>
          </w:p>
        </w:tc>
        <w:tc>
          <w:tcPr>
            <w:tcW w:w="5926" w:type="dxa"/>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75B325F">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多租户越权访问测试用例100%拦截；凭据加密存储不可明文查看；无高危漏洞</w:t>
            </w:r>
          </w:p>
        </w:tc>
      </w:tr>
    </w:tbl>
    <w:p w14:paraId="09082407">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lang w:val="en-US" w:eastAsia="zh-CN"/>
        </w:rPr>
      </w:pPr>
    </w:p>
    <w:p w14:paraId="3B75DDBC">
      <w:pPr>
        <w:numPr>
          <w:ilvl w:val="0"/>
          <w:numId w:val="30"/>
        </w:numPr>
        <w:spacing w:line="360" w:lineRule="auto"/>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rPr>
        <w:t>项目管理验收标准</w:t>
      </w:r>
      <w:bookmarkEnd w:id="162"/>
      <w:bookmarkEnd w:id="163"/>
      <w:bookmarkEnd w:id="164"/>
      <w:bookmarkEnd w:id="165"/>
      <w:bookmarkEnd w:id="166"/>
      <w:bookmarkEnd w:id="167"/>
      <w:bookmarkEnd w:id="168"/>
      <w:bookmarkEnd w:id="169"/>
      <w:bookmarkEnd w:id="170"/>
    </w:p>
    <w:p w14:paraId="4F6BBA3E">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项目实施过程严格按照本工作说明书的架构、计划、标准及流程进行，交付物均已交付甲方并得到确认，对交付文档以抽样方式进行检查。如果在最终验收的文档中发现文档与最新系统版本不一致时，由双方对文档进行整理，补充相关文档资料。</w:t>
      </w:r>
      <w:bookmarkEnd w:id="140"/>
      <w:bookmarkEnd w:id="141"/>
    </w:p>
    <w:p w14:paraId="1CE71368">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color w:val="auto"/>
          <w:sz w:val="24"/>
          <w:szCs w:val="24"/>
          <w:highlight w:val="none"/>
        </w:rPr>
      </w:pPr>
      <w:bookmarkStart w:id="171" w:name="_Toc223262277"/>
      <w:r>
        <w:rPr>
          <w:rFonts w:hint="eastAsia" w:ascii="宋体" w:hAnsi="宋体" w:eastAsia="宋体" w:cs="宋体"/>
          <w:color w:val="auto"/>
          <w:sz w:val="24"/>
          <w:szCs w:val="24"/>
          <w:highlight w:val="none"/>
        </w:rPr>
        <w:t>验收</w:t>
      </w:r>
      <w:bookmarkEnd w:id="171"/>
      <w:r>
        <w:rPr>
          <w:rFonts w:hint="eastAsia" w:ascii="宋体" w:hAnsi="宋体" w:eastAsia="宋体" w:cs="宋体"/>
          <w:color w:val="auto"/>
          <w:sz w:val="24"/>
          <w:szCs w:val="24"/>
          <w:highlight w:val="none"/>
        </w:rPr>
        <w:t>标准：</w:t>
      </w:r>
      <w:r>
        <w:rPr>
          <w:rFonts w:hint="eastAsia" w:ascii="宋体" w:hAnsi="宋体" w:eastAsia="宋体" w:cs="宋体"/>
          <w:color w:val="auto"/>
          <w:sz w:val="24"/>
          <w:szCs w:val="24"/>
          <w:highlight w:val="none"/>
          <w:lang w:val="en-US" w:eastAsia="zh-CN"/>
        </w:rPr>
        <w:t>附件三</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交付物及培训</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中的所有交付物及</w:t>
      </w:r>
      <w:r>
        <w:rPr>
          <w:rFonts w:hint="eastAsia" w:ascii="宋体" w:hAnsi="宋体" w:eastAsia="宋体" w:cs="宋体"/>
          <w:color w:val="auto"/>
          <w:sz w:val="24"/>
          <w:szCs w:val="24"/>
          <w:highlight w:val="none"/>
        </w:rPr>
        <w:t>文档提交完整、内容准确，符合规定的提交程序。在验收的文档中，关键处出现错误的描述，或描述每一独立完整的功能/章节错误，则视为验收未通过。</w:t>
      </w:r>
      <w:bookmarkEnd w:id="115"/>
      <w:bookmarkStart w:id="172" w:name="_Toc518296669"/>
    </w:p>
    <w:p w14:paraId="4391BF57">
      <w:pPr>
        <w:numPr>
          <w:ilvl w:val="0"/>
          <w:numId w:val="30"/>
        </w:numPr>
        <w:spacing w:line="360" w:lineRule="auto"/>
        <w:rPr>
          <w:rFonts w:hint="eastAsia" w:ascii="宋体" w:hAnsi="宋体" w:eastAsia="宋体" w:cs="宋体"/>
          <w:b/>
          <w:color w:val="auto"/>
          <w:sz w:val="24"/>
          <w:szCs w:val="24"/>
          <w:highlight w:val="none"/>
          <w:lang w:val="en-US" w:eastAsia="zh-CN"/>
        </w:rPr>
      </w:pPr>
      <w:r>
        <w:rPr>
          <w:rFonts w:hint="eastAsia" w:ascii="宋体" w:hAnsi="宋体" w:eastAsia="宋体" w:cs="宋体"/>
          <w:b/>
          <w:color w:val="auto"/>
          <w:sz w:val="24"/>
          <w:szCs w:val="24"/>
          <w:highlight w:val="none"/>
          <w:lang w:val="en-US" w:eastAsia="zh-CN"/>
        </w:rPr>
        <w:t>验收标准清单</w:t>
      </w:r>
    </w:p>
    <w:tbl>
      <w:tblPr>
        <w:tblStyle w:val="10"/>
        <w:tblW w:w="5000" w:type="pct"/>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460"/>
        <w:gridCol w:w="1743"/>
        <w:gridCol w:w="1662"/>
        <w:gridCol w:w="2487"/>
        <w:gridCol w:w="1290"/>
      </w:tblGrid>
      <w:tr w14:paraId="5C1A83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844" w:type="pct"/>
            <w:tcBorders>
              <w:top w:val="single" w:color="E0E0E0" w:sz="6" w:space="0"/>
              <w:left w:val="single" w:color="E0E0E0" w:sz="6" w:space="0"/>
              <w:bottom w:val="single" w:color="E0E0E0" w:sz="6" w:space="0"/>
              <w:right w:val="single" w:color="E0E0E0" w:sz="6" w:space="0"/>
            </w:tcBorders>
            <w:shd w:val="clear" w:color="auto" w:fill="D7D7D7" w:themeFill="background1" w:themeFillShade="D8"/>
            <w:tcMar>
              <w:top w:w="108" w:type="dxa"/>
              <w:left w:w="168" w:type="dxa"/>
              <w:bottom w:w="108" w:type="dxa"/>
              <w:right w:w="168" w:type="dxa"/>
            </w:tcMar>
            <w:vAlign w:val="center"/>
          </w:tcPr>
          <w:p w14:paraId="46D8E076">
            <w:pPr>
              <w:spacing w:before="60" w:after="60" w:line="240" w:lineRule="auto"/>
              <w:jc w:val="center"/>
              <w:rPr>
                <w:rFonts w:hint="eastAsia" w:ascii="宋体" w:hAnsi="宋体" w:eastAsia="宋体" w:cs="宋体"/>
                <w:color w:val="auto"/>
                <w:sz w:val="24"/>
                <w:szCs w:val="24"/>
                <w:highlight w:val="none"/>
              </w:rPr>
            </w:pPr>
            <w:r>
              <w:rPr>
                <w:rFonts w:hint="eastAsia" w:ascii="宋体" w:hAnsi="宋体" w:eastAsia="宋体" w:cs="宋体"/>
                <w:b/>
                <w:color w:val="auto"/>
                <w:sz w:val="24"/>
                <w:szCs w:val="24"/>
                <w:highlight w:val="none"/>
              </w:rPr>
              <w:t>模块</w:t>
            </w:r>
          </w:p>
        </w:tc>
        <w:tc>
          <w:tcPr>
            <w:tcW w:w="1008" w:type="pct"/>
            <w:tcBorders>
              <w:top w:val="single" w:color="E0E0E0" w:sz="6" w:space="0"/>
              <w:left w:val="single" w:color="E0E0E0" w:sz="6" w:space="0"/>
              <w:bottom w:val="single" w:color="E0E0E0" w:sz="6" w:space="0"/>
              <w:right w:val="single" w:color="E0E0E0" w:sz="6" w:space="0"/>
            </w:tcBorders>
            <w:shd w:val="clear" w:color="auto" w:fill="D7D7D7" w:themeFill="background1" w:themeFillShade="D8"/>
            <w:tcMar>
              <w:top w:w="108" w:type="dxa"/>
              <w:left w:w="168" w:type="dxa"/>
              <w:bottom w:w="108" w:type="dxa"/>
              <w:right w:w="168" w:type="dxa"/>
            </w:tcMar>
            <w:vAlign w:val="center"/>
          </w:tcPr>
          <w:p w14:paraId="17C5D21C">
            <w:pPr>
              <w:spacing w:before="60" w:after="60" w:line="240" w:lineRule="auto"/>
              <w:jc w:val="center"/>
              <w:rPr>
                <w:rFonts w:hint="eastAsia" w:ascii="宋体" w:hAnsi="宋体" w:eastAsia="宋体" w:cs="宋体"/>
                <w:color w:val="auto"/>
                <w:sz w:val="24"/>
                <w:szCs w:val="24"/>
                <w:highlight w:val="none"/>
              </w:rPr>
            </w:pPr>
            <w:r>
              <w:rPr>
                <w:rFonts w:hint="eastAsia" w:ascii="宋体" w:hAnsi="宋体" w:eastAsia="宋体" w:cs="宋体"/>
                <w:b/>
                <w:color w:val="auto"/>
                <w:sz w:val="24"/>
                <w:szCs w:val="24"/>
                <w:highlight w:val="none"/>
              </w:rPr>
              <w:t>验收项</w:t>
            </w:r>
          </w:p>
        </w:tc>
        <w:tc>
          <w:tcPr>
            <w:tcW w:w="961" w:type="pct"/>
            <w:tcBorders>
              <w:top w:val="single" w:color="E0E0E0" w:sz="6" w:space="0"/>
              <w:left w:val="single" w:color="E0E0E0" w:sz="6" w:space="0"/>
              <w:bottom w:val="single" w:color="E0E0E0" w:sz="6" w:space="0"/>
              <w:right w:val="single" w:color="E0E0E0" w:sz="6" w:space="0"/>
            </w:tcBorders>
            <w:shd w:val="clear" w:color="auto" w:fill="D7D7D7" w:themeFill="background1" w:themeFillShade="D8"/>
            <w:tcMar>
              <w:top w:w="108" w:type="dxa"/>
              <w:left w:w="168" w:type="dxa"/>
              <w:bottom w:w="108" w:type="dxa"/>
              <w:right w:w="168" w:type="dxa"/>
            </w:tcMar>
            <w:vAlign w:val="center"/>
          </w:tcPr>
          <w:p w14:paraId="35717FB0">
            <w:pPr>
              <w:spacing w:before="60" w:after="60" w:line="240" w:lineRule="auto"/>
              <w:jc w:val="center"/>
              <w:rPr>
                <w:rFonts w:hint="eastAsia" w:ascii="宋体" w:hAnsi="宋体" w:eastAsia="宋体" w:cs="宋体"/>
                <w:color w:val="auto"/>
                <w:sz w:val="24"/>
                <w:szCs w:val="24"/>
                <w:highlight w:val="none"/>
              </w:rPr>
            </w:pPr>
            <w:r>
              <w:rPr>
                <w:rFonts w:hint="eastAsia" w:ascii="宋体" w:hAnsi="宋体" w:eastAsia="宋体" w:cs="宋体"/>
                <w:b/>
                <w:color w:val="auto"/>
                <w:sz w:val="24"/>
                <w:szCs w:val="24"/>
                <w:highlight w:val="none"/>
              </w:rPr>
              <w:t>验收方法</w:t>
            </w:r>
          </w:p>
        </w:tc>
        <w:tc>
          <w:tcPr>
            <w:tcW w:w="1438" w:type="pct"/>
            <w:tcBorders>
              <w:top w:val="single" w:color="E0E0E0" w:sz="6" w:space="0"/>
              <w:left w:val="single" w:color="E0E0E0" w:sz="6" w:space="0"/>
              <w:bottom w:val="single" w:color="E0E0E0" w:sz="6" w:space="0"/>
              <w:right w:val="single" w:color="E0E0E0" w:sz="6" w:space="0"/>
            </w:tcBorders>
            <w:shd w:val="clear" w:color="auto" w:fill="D7D7D7" w:themeFill="background1" w:themeFillShade="D8"/>
            <w:tcMar>
              <w:top w:w="108" w:type="dxa"/>
              <w:left w:w="168" w:type="dxa"/>
              <w:bottom w:w="108" w:type="dxa"/>
              <w:right w:w="168" w:type="dxa"/>
            </w:tcMar>
            <w:vAlign w:val="center"/>
          </w:tcPr>
          <w:p w14:paraId="3B73A176">
            <w:pPr>
              <w:spacing w:before="60" w:after="60" w:line="240" w:lineRule="auto"/>
              <w:jc w:val="center"/>
              <w:rPr>
                <w:rFonts w:hint="eastAsia" w:ascii="宋体" w:hAnsi="宋体" w:eastAsia="宋体" w:cs="宋体"/>
                <w:color w:val="auto"/>
                <w:sz w:val="24"/>
                <w:szCs w:val="24"/>
                <w:highlight w:val="none"/>
              </w:rPr>
            </w:pPr>
            <w:r>
              <w:rPr>
                <w:rFonts w:hint="eastAsia" w:ascii="宋体" w:hAnsi="宋体" w:eastAsia="宋体" w:cs="宋体"/>
                <w:b/>
                <w:color w:val="auto"/>
                <w:sz w:val="24"/>
                <w:szCs w:val="24"/>
                <w:highlight w:val="none"/>
              </w:rPr>
              <w:t>判定标准与阈值</w:t>
            </w:r>
          </w:p>
        </w:tc>
        <w:tc>
          <w:tcPr>
            <w:tcW w:w="746" w:type="pct"/>
            <w:tcBorders>
              <w:top w:val="single" w:color="E0E0E0" w:sz="6" w:space="0"/>
              <w:left w:val="single" w:color="E0E0E0" w:sz="6" w:space="0"/>
              <w:bottom w:val="single" w:color="E0E0E0" w:sz="6" w:space="0"/>
              <w:right w:val="single" w:color="E0E0E0" w:sz="6" w:space="0"/>
            </w:tcBorders>
            <w:shd w:val="clear" w:color="auto" w:fill="D7D7D7" w:themeFill="background1" w:themeFillShade="D8"/>
            <w:tcMar>
              <w:top w:w="108" w:type="dxa"/>
              <w:left w:w="168" w:type="dxa"/>
              <w:bottom w:w="108" w:type="dxa"/>
              <w:right w:w="168" w:type="dxa"/>
            </w:tcMar>
            <w:vAlign w:val="center"/>
          </w:tcPr>
          <w:p w14:paraId="76514C71">
            <w:pPr>
              <w:spacing w:before="60" w:after="60" w:line="240" w:lineRule="auto"/>
              <w:jc w:val="center"/>
              <w:rPr>
                <w:rFonts w:hint="eastAsia" w:ascii="宋体" w:hAnsi="宋体" w:eastAsia="宋体" w:cs="宋体"/>
                <w:color w:val="auto"/>
                <w:sz w:val="24"/>
                <w:szCs w:val="24"/>
                <w:highlight w:val="none"/>
              </w:rPr>
            </w:pPr>
            <w:r>
              <w:rPr>
                <w:rFonts w:hint="eastAsia" w:ascii="宋体" w:hAnsi="宋体" w:eastAsia="宋体" w:cs="宋体"/>
                <w:b/>
                <w:color w:val="auto"/>
                <w:sz w:val="24"/>
                <w:szCs w:val="24"/>
                <w:highlight w:val="none"/>
              </w:rPr>
              <w:t>证据</w:t>
            </w:r>
          </w:p>
        </w:tc>
      </w:tr>
      <w:tr w14:paraId="536F97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907791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01租户与权限</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F15E27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多客户数据隔离</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404355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越权访问测试</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166E2A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跨租户ID枚举全部被阻断，100%拦截</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454363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测试报告</w:t>
            </w:r>
          </w:p>
        </w:tc>
      </w:tr>
      <w:tr w14:paraId="3DFC0C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A244B4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01租户与权限</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66142D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角色与操作权限</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CC0D02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权限矩阵逐项验证</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234B06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账号角色、菜单与操作权限判定全部正确</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2A994C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截图</w:t>
            </w:r>
          </w:p>
        </w:tc>
      </w:tr>
      <w:tr w14:paraId="54349D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513E2D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01租户与权限</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FEFCA3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客户</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档位</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配额管理</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46B233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功能演示</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965808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客户联系人、服务档位、设备数量配额可配置且生效</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8C66A3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录屏</w:t>
            </w:r>
          </w:p>
        </w:tc>
      </w:tr>
      <w:tr w14:paraId="6A6C28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40AE87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02设备台账</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6EEE5D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Excel导入导出</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797B0E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导入含错误行的文件</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CA2DFE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正确行导入成功并输出错误行报告；台账可导出</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9BF52B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测试报告</w:t>
            </w:r>
          </w:p>
        </w:tc>
      </w:tr>
      <w:tr w14:paraId="513D38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57586F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02设备台账</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EEC7A0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凭据加密托管</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BA2B88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数据库与界面核查</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99C3DF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设备凭据加密存储，任何界面不可明文查看</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26371E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核查记录</w:t>
            </w:r>
          </w:p>
        </w:tc>
      </w:tr>
      <w:tr w14:paraId="37BF80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4F61A1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02设备台账</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3143CE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维保到期与依赖配置</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B27D74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功能演示</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3452DF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维保到期可查询提醒；设备依赖关系可配置并用于告警抑制</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3A574B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录屏</w:t>
            </w:r>
          </w:p>
        </w:tc>
      </w:tr>
      <w:tr w14:paraId="6DA867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7E9C62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03监控与告警</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003D94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四类监控指标</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70A6B9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实机接入设备</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677F23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设备状态、资源、流量、线路质量指标采集正常</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439203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监控截图</w:t>
            </w:r>
          </w:p>
        </w:tc>
      </w:tr>
      <w:tr w14:paraId="37CD68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41B9A4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03监控与告警</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F58484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告警处理链路</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9ECDE1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实机触发告警</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A275E5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阈值分级、防抖、重复合并、告警抑制、维护静默、恢复通知全部生效</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8FF847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录屏</w:t>
            </w:r>
          </w:p>
        </w:tc>
      </w:tr>
      <w:tr w14:paraId="6B92E3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3E60DB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04工单与SLA</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222707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告警自动建单</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7A334B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实机触发告警</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02A59B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告警自动生成工单，无需人工创建</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E5A822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录屏</w:t>
            </w:r>
          </w:p>
        </w:tc>
      </w:tr>
      <w:tr w14:paraId="060B62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106A5C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04工单与SLA</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768A92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工单流转</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720FE7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全流程演练</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D20913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报障、接单、转派、升级、处置记录流转完整；超时提醒触发</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658E2B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录屏</w:t>
            </w:r>
          </w:p>
        </w:tc>
      </w:tr>
      <w:tr w14:paraId="314053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20D59D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04工单与SLA</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11574C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按档位计时与关单闭环</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E12F7A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用例测试</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2589A5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按服务档位计时准确（含档位变更快照）；客户确认关单与重开闭环可用</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8774B8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测试记录</w:t>
            </w:r>
          </w:p>
        </w:tc>
      </w:tr>
      <w:tr w14:paraId="5599CC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50418DE">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05配置备份</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FD4942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备份与查看</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ADC42D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功能演示</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C8B4EE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定时备份执行、结果可查询、客户只读查看生效</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3A4824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截图</w:t>
            </w:r>
          </w:p>
        </w:tc>
      </w:tr>
      <w:tr w14:paraId="2229C3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615C98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05配置备份</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504418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失败建单与演练记录</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04F6F3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模拟备份失败</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B8C71E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失败自动建单；恢复演练记录可留存查询</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E588E7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测试记录</w:t>
            </w:r>
          </w:p>
        </w:tc>
      </w:tr>
      <w:tr w14:paraId="29B05C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C0152F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06远程处置与审计</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E77538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审批硬控制</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911288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穿透测试</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4109C4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设备授权、读写操作审批生效，无审批无法建立连接</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673A8E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测试报告</w:t>
            </w:r>
          </w:p>
        </w:tc>
      </w:tr>
      <w:tr w14:paraId="7C3780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5E3E728">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06远程处置与审计</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765021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审计留痕</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69964A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操作抽样核查</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9FDDFA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会话录屏、命令日志完整，操作审计可导出</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3DC526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导出文件</w:t>
            </w:r>
          </w:p>
        </w:tc>
      </w:tr>
      <w:tr w14:paraId="291E63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0D6A04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07客户门户与通知</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DC71544">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企业微信内嵌五项功能</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506FD7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实机演示</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F2CD9C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设备概况、拍照报障、工单进度、确认关单、报告查阅全部可用</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D8F74D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录屏</w:t>
            </w:r>
          </w:p>
        </w:tc>
      </w:tr>
      <w:tr w14:paraId="0038AC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1F7AA2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07客户门户与通知</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D0C737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通知对接</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28AE70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实机触发</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9D04FC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企业微信、电话、短信三类通知按事件规则触达</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029FDA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通知记录</w:t>
            </w:r>
          </w:p>
        </w:tc>
      </w:tr>
      <w:tr w14:paraId="74C3AA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59537C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08月报与体检报告</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AEB982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老板版月报生成</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F77920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性能测试</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4719AD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H5/PDF自动生成≤10秒，无手工填数入口，含阅读记录</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71392E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计时录屏</w:t>
            </w:r>
          </w:p>
        </w:tc>
      </w:tr>
      <w:tr w14:paraId="0DFB1C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151846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08月报与体检报告</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35E1211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基础体检报告</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F0260A0">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功能演示</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F02E40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根据录入或导入资料自动生成，指标明细完整</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5363B05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样例报告</w:t>
            </w:r>
          </w:p>
        </w:tc>
      </w:tr>
      <w:tr w14:paraId="043F72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454C7E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09经营数据看板</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26B295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指标口径</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75CABC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与手工核算比对</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16722E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SLA达成率、远程处置率、告警确认及时率、客户毛利、人员服务能力口径正确</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72CEC8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比对记录</w:t>
            </w:r>
          </w:p>
        </w:tc>
      </w:tr>
      <w:tr w14:paraId="5935DD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25A2F36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10部署与交付</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241FD51">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部署与试运行</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7C12F4C">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甲方环境实测</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CB93D8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部署脚本可一键部署；试运行期可用率≥99.5%、误报率≤5%</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6FEEDD65">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试运行记录</w:t>
            </w:r>
          </w:p>
        </w:tc>
      </w:tr>
      <w:tr w14:paraId="69D63F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44"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443B00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10部署与交付</w:t>
            </w:r>
          </w:p>
        </w:tc>
        <w:tc>
          <w:tcPr>
            <w:tcW w:w="100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42255669">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交付物齐备</w:t>
            </w:r>
          </w:p>
        </w:tc>
        <w:tc>
          <w:tcPr>
            <w:tcW w:w="961"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72C2CC2A">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清单核对</w:t>
            </w:r>
          </w:p>
        </w:tc>
        <w:tc>
          <w:tcPr>
            <w:tcW w:w="1438"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03C9D84B">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定制源码、数据库结构、部署说明、操作文档全部移交且可复现构建</w:t>
            </w:r>
          </w:p>
        </w:tc>
        <w:tc>
          <w:tcPr>
            <w:tcW w:w="746" w:type="pct"/>
            <w:tcBorders>
              <w:top w:val="single" w:color="E0E0E0" w:sz="6" w:space="0"/>
              <w:left w:val="single" w:color="E0E0E0" w:sz="6" w:space="0"/>
              <w:bottom w:val="single" w:color="E0E0E0" w:sz="6" w:space="0"/>
              <w:right w:val="single" w:color="E0E0E0" w:sz="6" w:space="0"/>
            </w:tcBorders>
            <w:tcMar>
              <w:top w:w="108" w:type="dxa"/>
              <w:left w:w="168" w:type="dxa"/>
              <w:bottom w:w="108" w:type="dxa"/>
              <w:right w:w="168" w:type="dxa"/>
            </w:tcMar>
            <w:vAlign w:val="center"/>
          </w:tcPr>
          <w:p w14:paraId="1F1D935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移交确认书</w:t>
            </w:r>
          </w:p>
        </w:tc>
      </w:tr>
      <w:bookmarkEnd w:id="172"/>
    </w:tbl>
    <w:p w14:paraId="0F395CFF">
      <w:pPr>
        <w:rPr>
          <w:rFonts w:hint="eastAsia" w:ascii="宋体" w:hAnsi="宋体" w:eastAsia="宋体" w:cs="宋体"/>
          <w:color w:val="auto"/>
          <w:sz w:val="24"/>
          <w:szCs w:val="24"/>
          <w:highlight w:val="none"/>
        </w:rPr>
      </w:pPr>
    </w:p>
    <w:p w14:paraId="6B36F7A3">
      <w:pPr>
        <w:numPr>
          <w:ilvl w:val="255"/>
          <w:numId w:val="0"/>
        </w:numPr>
        <w:adjustRightInd w:val="0"/>
        <w:snapToGrid w:val="0"/>
        <w:spacing w:after="160" w:line="360" w:lineRule="auto"/>
        <w:ind w:left="0"/>
        <w:jc w:val="left"/>
        <w:outlineLvl w:val="1"/>
        <w:rPr>
          <w:rFonts w:hint="eastAsia" w:ascii="宋体" w:hAnsi="宋体" w:eastAsia="宋体" w:cs="宋体"/>
          <w:color w:val="auto"/>
          <w:sz w:val="24"/>
          <w:szCs w:val="24"/>
          <w:highlight w:val="none"/>
        </w:rPr>
      </w:pPr>
      <w:r>
        <w:rPr>
          <w:rFonts w:hint="eastAsia" w:ascii="宋体" w:hAnsi="宋体" w:eastAsia="宋体" w:cs="宋体"/>
          <w:b/>
          <w:bCs/>
          <w:color w:val="auto"/>
          <w:sz w:val="24"/>
          <w:szCs w:val="24"/>
          <w:highlight w:val="none"/>
          <w:lang w:eastAsia="zh-CN"/>
        </w:rPr>
        <w:t>附件</w:t>
      </w:r>
      <w:r>
        <w:rPr>
          <w:rFonts w:hint="eastAsia" w:ascii="宋体" w:hAnsi="宋体" w:cs="宋体"/>
          <w:b/>
          <w:bCs/>
          <w:color w:val="auto"/>
          <w:sz w:val="24"/>
          <w:szCs w:val="24"/>
          <w:highlight w:val="none"/>
          <w:lang w:val="en-US" w:eastAsia="zh-CN"/>
        </w:rPr>
        <w:t>五《分项报价表》</w:t>
      </w:r>
    </w:p>
    <w:tbl>
      <w:tblPr>
        <w:tblStyle w:val="9"/>
        <w:tblW w:w="8431"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436"/>
        <w:gridCol w:w="2338"/>
        <w:gridCol w:w="1705"/>
        <w:gridCol w:w="1952"/>
      </w:tblGrid>
      <w:tr w14:paraId="4E012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3" w:hRule="atLeast"/>
        </w:trPr>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BA74F">
            <w:pPr>
              <w:spacing w:before="60" w:after="60" w:line="240" w:lineRule="auto"/>
              <w:jc w:val="left"/>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lang w:val="en-US" w:eastAsia="zh-CN"/>
              </w:rPr>
              <w:t>一期固定总价</w:t>
            </w:r>
          </w:p>
        </w:tc>
        <w:tc>
          <w:tcPr>
            <w:tcW w:w="23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060732">
            <w:pPr>
              <w:spacing w:before="60" w:after="60" w:line="240" w:lineRule="auto"/>
              <w:jc w:val="left"/>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lang w:val="en-US" w:eastAsia="zh-CN"/>
              </w:rPr>
              <w:t>开发团队</w:t>
            </w:r>
          </w:p>
        </w:tc>
        <w:tc>
          <w:tcPr>
            <w:tcW w:w="17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524204">
            <w:pPr>
              <w:spacing w:before="60" w:after="60" w:line="240" w:lineRule="auto"/>
              <w:jc w:val="left"/>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lang w:val="en-US" w:eastAsia="zh-CN"/>
              </w:rPr>
              <w:t>开发周期</w:t>
            </w:r>
          </w:p>
        </w:tc>
        <w:tc>
          <w:tcPr>
            <w:tcW w:w="191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FCAD24">
            <w:pPr>
              <w:spacing w:before="60" w:after="60" w:line="240" w:lineRule="auto"/>
              <w:jc w:val="left"/>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lang w:val="en-US" w:eastAsia="zh-CN"/>
              </w:rPr>
              <w:t>工作量测算</w:t>
            </w:r>
          </w:p>
        </w:tc>
      </w:tr>
      <w:tr w14:paraId="3F0F3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3" w:hRule="atLeast"/>
        </w:trPr>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F468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30000元</w:t>
            </w:r>
          </w:p>
        </w:tc>
        <w:tc>
          <w:tcPr>
            <w:tcW w:w="23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AD24C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2人</w:t>
            </w:r>
          </w:p>
        </w:tc>
        <w:tc>
          <w:tcPr>
            <w:tcW w:w="1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01D707">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2个月</w:t>
            </w:r>
          </w:p>
        </w:tc>
        <w:tc>
          <w:tcPr>
            <w:tcW w:w="19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E89D2">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80人天</w:t>
            </w:r>
          </w:p>
        </w:tc>
      </w:tr>
      <w:tr w14:paraId="05C5C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3" w:hRule="atLeast"/>
        </w:trPr>
        <w:tc>
          <w:tcPr>
            <w:tcW w:w="24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9C386">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人民币叁万元整</w:t>
            </w:r>
          </w:p>
        </w:tc>
        <w:tc>
          <w:tcPr>
            <w:tcW w:w="23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86F28F">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按2人测算</w:t>
            </w:r>
          </w:p>
        </w:tc>
        <w:tc>
          <w:tcPr>
            <w:tcW w:w="1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8F5A03">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约8周</w:t>
            </w:r>
          </w:p>
        </w:tc>
        <w:tc>
          <w:tcPr>
            <w:tcW w:w="19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CE702D">
            <w:pPr>
              <w:spacing w:before="60" w:after="60" w:line="240" w:lineRule="auto"/>
              <w:jc w:val="left"/>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lang w:val="en-US" w:eastAsia="zh-CN"/>
              </w:rPr>
              <w:t>375 元/人天</w:t>
            </w:r>
          </w:p>
        </w:tc>
      </w:tr>
    </w:tbl>
    <w:p w14:paraId="66B8139D">
      <w:pPr>
        <w:rPr>
          <w:rFonts w:hint="eastAsia" w:ascii="宋体" w:hAnsi="宋体" w:eastAsia="宋体" w:cs="宋体"/>
          <w:color w:val="auto"/>
          <w:sz w:val="24"/>
          <w:szCs w:val="24"/>
          <w:highlight w:val="none"/>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809F9">
    <w:pPr>
      <w:pStyle w:val="8"/>
      <w:framePr w:wrap="around" w:vAnchor="text" w:hAnchor="margin" w:xAlign="right" w:y="1"/>
      <w:rPr>
        <w:rStyle w:val="12"/>
      </w:rPr>
    </w:pPr>
    <w:r>
      <w:rPr>
        <w:rStyle w:val="12"/>
      </w:rPr>
      <w:fldChar w:fldCharType="begin"/>
    </w:r>
    <w:r>
      <w:rPr>
        <w:rStyle w:val="12"/>
      </w:rPr>
      <w:instrText xml:space="preserve">PAGE  </w:instrText>
    </w:r>
    <w:r>
      <w:rPr>
        <w:rStyle w:val="12"/>
      </w:rPr>
      <w:fldChar w:fldCharType="separate"/>
    </w:r>
    <w:r>
      <w:rPr>
        <w:rStyle w:val="12"/>
      </w:rPr>
      <w:t>91</w:t>
    </w:r>
    <w:r>
      <w:rPr>
        <w:rStyle w:val="12"/>
      </w:rPr>
      <w:fldChar w:fldCharType="end"/>
    </w:r>
  </w:p>
  <w:p w14:paraId="47CF2673">
    <w:pPr>
      <w:pStyle w:val="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909C6">
    <w:pPr>
      <w:pStyle w:val="8"/>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14:paraId="3ACAD3C1">
    <w:pPr>
      <w:pStyle w:val="8"/>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5A1DF">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8FC0F">
    <w:pPr>
      <w:pBdr>
        <w:bottom w:val="single" w:color="auto" w:sz="6" w:space="1"/>
      </w:pBdr>
      <w:tabs>
        <w:tab w:val="center" w:pos="4153"/>
        <w:tab w:val="right" w:pos="8306"/>
      </w:tabs>
      <w:adjustRightInd w:val="0"/>
      <w:spacing w:line="240" w:lineRule="atLeast"/>
      <w:ind w:firstLine="360"/>
      <w:jc w:val="center"/>
      <w:textAlignment w:val="baseline"/>
      <w:rPr>
        <w:kern w:val="0"/>
        <w:sz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79C88">
    <w:pPr>
      <w:pBdr>
        <w:bottom w:val="single" w:color="auto" w:sz="6" w:space="1"/>
      </w:pBdr>
      <w:tabs>
        <w:tab w:val="center" w:pos="4153"/>
        <w:tab w:val="right" w:pos="8306"/>
      </w:tabs>
      <w:adjustRightInd w:val="0"/>
      <w:spacing w:line="240" w:lineRule="atLeast"/>
      <w:ind w:firstLine="360"/>
      <w:jc w:val="center"/>
      <w:textAlignment w:val="baseline"/>
      <w:rPr>
        <w:kern w:val="0"/>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93581D"/>
    <w:multiLevelType w:val="singleLevel"/>
    <w:tmpl w:val="9A93581D"/>
    <w:lvl w:ilvl="0" w:tentative="0">
      <w:start w:val="1"/>
      <w:numFmt w:val="decimal"/>
      <w:suff w:val="space"/>
      <w:lvlText w:val="%1."/>
      <w:lvlJc w:val="left"/>
    </w:lvl>
  </w:abstractNum>
  <w:abstractNum w:abstractNumId="1">
    <w:nsid w:val="9F0EDDF5"/>
    <w:multiLevelType w:val="singleLevel"/>
    <w:tmpl w:val="9F0EDDF5"/>
    <w:lvl w:ilvl="0" w:tentative="0">
      <w:start w:val="1"/>
      <w:numFmt w:val="decimal"/>
      <w:lvlText w:val="(%1)"/>
      <w:lvlJc w:val="left"/>
      <w:pPr>
        <w:ind w:left="425" w:hanging="425"/>
      </w:pPr>
      <w:rPr>
        <w:rFonts w:hint="default"/>
      </w:rPr>
    </w:lvl>
  </w:abstractNum>
  <w:abstractNum w:abstractNumId="2">
    <w:nsid w:val="A8FFDC5F"/>
    <w:multiLevelType w:val="multilevel"/>
    <w:tmpl w:val="A8FFDC5F"/>
    <w:lvl w:ilvl="0" w:tentative="0">
      <w:start w:val="1"/>
      <w:numFmt w:val="decimal"/>
      <w:lvlText w:val="%1."/>
      <w:lvlJc w:val="left"/>
      <w:pPr>
        <w:tabs>
          <w:tab w:val="left" w:pos="420"/>
        </w:tabs>
        <w:ind w:left="845" w:hanging="425"/>
      </w:pPr>
      <w:rPr>
        <w:rFonts w:hint="default"/>
      </w:rPr>
    </w:lvl>
    <w:lvl w:ilvl="1" w:tentative="0">
      <w:start w:val="1"/>
      <w:numFmt w:val="decimal"/>
      <w:suff w:val="space"/>
      <w:lvlText w:val="%1.%2"/>
      <w:lvlJc w:val="left"/>
      <w:pPr>
        <w:tabs>
          <w:tab w:val="left" w:pos="0"/>
        </w:tabs>
        <w:ind w:left="845" w:hanging="425"/>
      </w:pPr>
      <w:rPr>
        <w:rFonts w:hint="default"/>
      </w:rPr>
    </w:lvl>
    <w:lvl w:ilvl="2" w:tentative="0">
      <w:start w:val="1"/>
      <w:numFmt w:val="decimalEnclosedCircleChinese"/>
      <w:lvlText w:val="%3"/>
      <w:lvlJc w:val="left"/>
      <w:pPr>
        <w:tabs>
          <w:tab w:val="left" w:pos="1680"/>
        </w:tabs>
        <w:ind w:left="1680" w:hanging="420"/>
      </w:pPr>
      <w:rPr>
        <w:rFonts w:hint="eastAsia"/>
      </w:rPr>
    </w:lvl>
    <w:lvl w:ilvl="3" w:tentative="0">
      <w:start w:val="1"/>
      <w:numFmt w:val="decimal"/>
      <w:lvlText w:val="%4)"/>
      <w:lvlJc w:val="left"/>
      <w:pPr>
        <w:tabs>
          <w:tab w:val="left" w:pos="2100"/>
        </w:tabs>
        <w:ind w:left="2100" w:hanging="420"/>
      </w:pPr>
      <w:rPr>
        <w:rFonts w:hint="default"/>
      </w:rPr>
    </w:lvl>
    <w:lvl w:ilvl="4" w:tentative="0">
      <w:start w:val="1"/>
      <w:numFmt w:val="lowerLetter"/>
      <w:lvlText w:val="%5."/>
      <w:lvlJc w:val="left"/>
      <w:pPr>
        <w:tabs>
          <w:tab w:val="left" w:pos="2520"/>
        </w:tabs>
        <w:ind w:left="2520" w:hanging="420"/>
      </w:pPr>
      <w:rPr>
        <w:rFonts w:hint="default"/>
      </w:rPr>
    </w:lvl>
    <w:lvl w:ilvl="5" w:tentative="0">
      <w:start w:val="1"/>
      <w:numFmt w:val="lowerLetter"/>
      <w:lvlText w:val="%6)"/>
      <w:lvlJc w:val="left"/>
      <w:pPr>
        <w:tabs>
          <w:tab w:val="left" w:pos="2940"/>
        </w:tabs>
        <w:ind w:left="2940" w:hanging="420"/>
      </w:pPr>
      <w:rPr>
        <w:rFonts w:hint="default"/>
      </w:rPr>
    </w:lvl>
    <w:lvl w:ilvl="6" w:tentative="0">
      <w:start w:val="1"/>
      <w:numFmt w:val="lowerRoman"/>
      <w:lvlText w:val="%7."/>
      <w:lvlJc w:val="left"/>
      <w:pPr>
        <w:tabs>
          <w:tab w:val="left" w:pos="3360"/>
        </w:tabs>
        <w:ind w:left="3360" w:hanging="420"/>
      </w:pPr>
      <w:rPr>
        <w:rFonts w:hint="default"/>
      </w:rPr>
    </w:lvl>
    <w:lvl w:ilvl="7" w:tentative="0">
      <w:start w:val="1"/>
      <w:numFmt w:val="lowerRoman"/>
      <w:lvlText w:val="%8)"/>
      <w:lvlJc w:val="left"/>
      <w:pPr>
        <w:tabs>
          <w:tab w:val="left" w:pos="3780"/>
        </w:tabs>
        <w:ind w:left="3780" w:hanging="420"/>
      </w:pPr>
      <w:rPr>
        <w:rFonts w:hint="default"/>
      </w:rPr>
    </w:lvl>
    <w:lvl w:ilvl="8" w:tentative="0">
      <w:start w:val="1"/>
      <w:numFmt w:val="lowerLetter"/>
      <w:lvlText w:val="%9."/>
      <w:lvlJc w:val="left"/>
      <w:pPr>
        <w:tabs>
          <w:tab w:val="left" w:pos="4200"/>
        </w:tabs>
        <w:ind w:left="4200" w:hanging="420"/>
      </w:pPr>
      <w:rPr>
        <w:rFonts w:hint="default"/>
      </w:rPr>
    </w:lvl>
  </w:abstractNum>
  <w:abstractNum w:abstractNumId="3">
    <w:nsid w:val="B0F51AFF"/>
    <w:multiLevelType w:val="multilevel"/>
    <w:tmpl w:val="B0F51AFF"/>
    <w:lvl w:ilvl="0" w:tentative="0">
      <w:start w:val="3"/>
      <w:numFmt w:val="decimal"/>
      <w:lvlText w:val="%1."/>
      <w:lvlJc w:val="left"/>
      <w:pPr>
        <w:tabs>
          <w:tab w:val="left" w:pos="420"/>
        </w:tabs>
        <w:ind w:left="845" w:hanging="425"/>
      </w:pPr>
      <w:rPr>
        <w:rFonts w:hint="default"/>
      </w:rPr>
    </w:lvl>
    <w:lvl w:ilvl="1" w:tentative="0">
      <w:start w:val="1"/>
      <w:numFmt w:val="decimal"/>
      <w:suff w:val="space"/>
      <w:lvlText w:val="%1.%2"/>
      <w:lvlJc w:val="left"/>
      <w:pPr>
        <w:tabs>
          <w:tab w:val="left" w:pos="0"/>
        </w:tabs>
        <w:ind w:left="845" w:hanging="425"/>
      </w:pPr>
      <w:rPr>
        <w:rFonts w:hint="default"/>
      </w:rPr>
    </w:lvl>
    <w:lvl w:ilvl="2" w:tentative="0">
      <w:start w:val="1"/>
      <w:numFmt w:val="decimalEnclosedCircleChinese"/>
      <w:lvlText w:val="%3"/>
      <w:lvlJc w:val="left"/>
      <w:pPr>
        <w:tabs>
          <w:tab w:val="left" w:pos="1680"/>
        </w:tabs>
        <w:ind w:left="1680" w:hanging="420"/>
      </w:pPr>
      <w:rPr>
        <w:rFonts w:hint="eastAsia"/>
      </w:rPr>
    </w:lvl>
    <w:lvl w:ilvl="3" w:tentative="0">
      <w:start w:val="1"/>
      <w:numFmt w:val="decimal"/>
      <w:lvlText w:val="%4)"/>
      <w:lvlJc w:val="left"/>
      <w:pPr>
        <w:tabs>
          <w:tab w:val="left" w:pos="2100"/>
        </w:tabs>
        <w:ind w:left="2100" w:hanging="420"/>
      </w:pPr>
      <w:rPr>
        <w:rFonts w:hint="default"/>
      </w:rPr>
    </w:lvl>
    <w:lvl w:ilvl="4" w:tentative="0">
      <w:start w:val="1"/>
      <w:numFmt w:val="lowerLetter"/>
      <w:lvlText w:val="%5."/>
      <w:lvlJc w:val="left"/>
      <w:pPr>
        <w:tabs>
          <w:tab w:val="left" w:pos="2520"/>
        </w:tabs>
        <w:ind w:left="2520" w:hanging="420"/>
      </w:pPr>
      <w:rPr>
        <w:rFonts w:hint="default"/>
      </w:rPr>
    </w:lvl>
    <w:lvl w:ilvl="5" w:tentative="0">
      <w:start w:val="1"/>
      <w:numFmt w:val="lowerLetter"/>
      <w:lvlText w:val="%6)"/>
      <w:lvlJc w:val="left"/>
      <w:pPr>
        <w:tabs>
          <w:tab w:val="left" w:pos="2940"/>
        </w:tabs>
        <w:ind w:left="2940" w:hanging="420"/>
      </w:pPr>
      <w:rPr>
        <w:rFonts w:hint="default"/>
      </w:rPr>
    </w:lvl>
    <w:lvl w:ilvl="6" w:tentative="0">
      <w:start w:val="1"/>
      <w:numFmt w:val="lowerRoman"/>
      <w:lvlText w:val="%7."/>
      <w:lvlJc w:val="left"/>
      <w:pPr>
        <w:tabs>
          <w:tab w:val="left" w:pos="3360"/>
        </w:tabs>
        <w:ind w:left="3360" w:hanging="420"/>
      </w:pPr>
      <w:rPr>
        <w:rFonts w:hint="default"/>
      </w:rPr>
    </w:lvl>
    <w:lvl w:ilvl="7" w:tentative="0">
      <w:start w:val="1"/>
      <w:numFmt w:val="lowerRoman"/>
      <w:lvlText w:val="%8)"/>
      <w:lvlJc w:val="left"/>
      <w:pPr>
        <w:tabs>
          <w:tab w:val="left" w:pos="3780"/>
        </w:tabs>
        <w:ind w:left="3780" w:hanging="420"/>
      </w:pPr>
      <w:rPr>
        <w:rFonts w:hint="default"/>
      </w:rPr>
    </w:lvl>
    <w:lvl w:ilvl="8" w:tentative="0">
      <w:start w:val="1"/>
      <w:numFmt w:val="lowerLetter"/>
      <w:lvlText w:val="%9."/>
      <w:lvlJc w:val="left"/>
      <w:pPr>
        <w:tabs>
          <w:tab w:val="left" w:pos="4200"/>
        </w:tabs>
        <w:ind w:left="4200" w:hanging="420"/>
      </w:pPr>
      <w:rPr>
        <w:rFonts w:hint="default"/>
      </w:rPr>
    </w:lvl>
  </w:abstractNum>
  <w:abstractNum w:abstractNumId="4">
    <w:nsid w:val="B1E600A9"/>
    <w:multiLevelType w:val="multilevel"/>
    <w:tmpl w:val="B1E600A9"/>
    <w:lvl w:ilvl="0" w:tentative="0">
      <w:start w:val="1"/>
      <w:numFmt w:val="chineseCountingThousand"/>
      <w:suff w:val="nothing"/>
      <w:lvlText w:val="%1、"/>
      <w:lvlJc w:val="left"/>
      <w:pPr>
        <w:ind w:left="547" w:hanging="440"/>
      </w:pPr>
      <w:rPr>
        <w:rFonts w:hint="eastAsia"/>
      </w:rPr>
    </w:lvl>
    <w:lvl w:ilvl="1" w:tentative="0">
      <w:start w:val="1"/>
      <w:numFmt w:val="lowerLetter"/>
      <w:lvlText w:val="%2)"/>
      <w:lvlJc w:val="left"/>
      <w:pPr>
        <w:ind w:left="987" w:hanging="440"/>
      </w:pPr>
      <w:rPr>
        <w:rFonts w:hint="eastAsia"/>
      </w:rPr>
    </w:lvl>
    <w:lvl w:ilvl="2" w:tentative="0">
      <w:start w:val="1"/>
      <w:numFmt w:val="lowerRoman"/>
      <w:lvlText w:val="%3."/>
      <w:lvlJc w:val="right"/>
      <w:pPr>
        <w:ind w:left="1427" w:hanging="440"/>
      </w:pPr>
      <w:rPr>
        <w:rFonts w:hint="eastAsia"/>
      </w:rPr>
    </w:lvl>
    <w:lvl w:ilvl="3" w:tentative="0">
      <w:start w:val="1"/>
      <w:numFmt w:val="decimal"/>
      <w:lvlText w:val="%4."/>
      <w:lvlJc w:val="left"/>
      <w:pPr>
        <w:ind w:left="1867" w:hanging="440"/>
      </w:pPr>
      <w:rPr>
        <w:rFonts w:hint="eastAsia"/>
      </w:rPr>
    </w:lvl>
    <w:lvl w:ilvl="4" w:tentative="0">
      <w:start w:val="1"/>
      <w:numFmt w:val="lowerLetter"/>
      <w:lvlText w:val="%5)"/>
      <w:lvlJc w:val="left"/>
      <w:pPr>
        <w:ind w:left="2307" w:hanging="440"/>
      </w:pPr>
      <w:rPr>
        <w:rFonts w:hint="eastAsia"/>
      </w:rPr>
    </w:lvl>
    <w:lvl w:ilvl="5" w:tentative="0">
      <w:start w:val="1"/>
      <w:numFmt w:val="lowerRoman"/>
      <w:lvlText w:val="%6."/>
      <w:lvlJc w:val="right"/>
      <w:pPr>
        <w:ind w:left="2747" w:hanging="440"/>
      </w:pPr>
      <w:rPr>
        <w:rFonts w:hint="eastAsia"/>
      </w:rPr>
    </w:lvl>
    <w:lvl w:ilvl="6" w:tentative="0">
      <w:start w:val="1"/>
      <w:numFmt w:val="decimal"/>
      <w:lvlText w:val="%7."/>
      <w:lvlJc w:val="left"/>
      <w:pPr>
        <w:ind w:left="3187" w:hanging="440"/>
      </w:pPr>
      <w:rPr>
        <w:rFonts w:hint="eastAsia"/>
      </w:rPr>
    </w:lvl>
    <w:lvl w:ilvl="7" w:tentative="0">
      <w:start w:val="1"/>
      <w:numFmt w:val="lowerLetter"/>
      <w:lvlText w:val="%8)"/>
      <w:lvlJc w:val="left"/>
      <w:pPr>
        <w:ind w:left="3627" w:hanging="440"/>
      </w:pPr>
      <w:rPr>
        <w:rFonts w:hint="eastAsia"/>
      </w:rPr>
    </w:lvl>
    <w:lvl w:ilvl="8" w:tentative="0">
      <w:start w:val="1"/>
      <w:numFmt w:val="lowerRoman"/>
      <w:lvlText w:val="%9."/>
      <w:lvlJc w:val="right"/>
      <w:pPr>
        <w:ind w:left="4067" w:hanging="440"/>
      </w:pPr>
      <w:rPr>
        <w:rFonts w:hint="eastAsia"/>
      </w:rPr>
    </w:lvl>
  </w:abstractNum>
  <w:abstractNum w:abstractNumId="5">
    <w:nsid w:val="C06969E2"/>
    <w:multiLevelType w:val="multilevel"/>
    <w:tmpl w:val="C06969E2"/>
    <w:lvl w:ilvl="0" w:tentative="0">
      <w:start w:val="1"/>
      <w:numFmt w:val="decimal"/>
      <w:lvlText w:val="%1"/>
      <w:lvlJc w:val="left"/>
      <w:pPr>
        <w:tabs>
          <w:tab w:val="left" w:pos="555"/>
        </w:tabs>
        <w:ind w:left="555" w:hanging="555"/>
      </w:pPr>
      <w:rPr>
        <w:rFonts w:hint="default"/>
      </w:rPr>
    </w:lvl>
    <w:lvl w:ilvl="1" w:tentative="0">
      <w:start w:val="1"/>
      <w:numFmt w:val="decimal"/>
      <w:suff w:val="space"/>
      <w:lvlText w:val="(%2)"/>
      <w:lvlJc w:val="left"/>
      <w:pPr>
        <w:ind w:left="1433" w:hanging="440"/>
      </w:pPr>
      <w:rPr>
        <w:rFonts w:hint="eastAsia"/>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6">
    <w:nsid w:val="C274EC1F"/>
    <w:multiLevelType w:val="singleLevel"/>
    <w:tmpl w:val="C274EC1F"/>
    <w:lvl w:ilvl="0" w:tentative="0">
      <w:start w:val="1"/>
      <w:numFmt w:val="decimal"/>
      <w:suff w:val="space"/>
      <w:lvlText w:val="%1."/>
      <w:lvlJc w:val="left"/>
    </w:lvl>
  </w:abstractNum>
  <w:abstractNum w:abstractNumId="7">
    <w:nsid w:val="E6C99AAC"/>
    <w:multiLevelType w:val="multilevel"/>
    <w:tmpl w:val="E6C99AAC"/>
    <w:lvl w:ilvl="0" w:tentative="0">
      <w:start w:val="2"/>
      <w:numFmt w:val="decimal"/>
      <w:lvlText w:val="%1."/>
      <w:lvlJc w:val="left"/>
      <w:pPr>
        <w:tabs>
          <w:tab w:val="left" w:pos="420"/>
        </w:tabs>
        <w:ind w:left="845" w:hanging="425"/>
      </w:pPr>
      <w:rPr>
        <w:rFonts w:hint="default"/>
      </w:rPr>
    </w:lvl>
    <w:lvl w:ilvl="1" w:tentative="0">
      <w:start w:val="1"/>
      <w:numFmt w:val="decimal"/>
      <w:suff w:val="space"/>
      <w:lvlText w:val="%1.%2"/>
      <w:lvlJc w:val="left"/>
      <w:pPr>
        <w:tabs>
          <w:tab w:val="left" w:pos="420"/>
        </w:tabs>
        <w:ind w:left="845" w:hanging="425"/>
      </w:pPr>
      <w:rPr>
        <w:rFonts w:hint="default"/>
      </w:rPr>
    </w:lvl>
    <w:lvl w:ilvl="2" w:tentative="0">
      <w:start w:val="1"/>
      <w:numFmt w:val="decimalEnclosedCircleChinese"/>
      <w:lvlText w:val="%3"/>
      <w:lvlJc w:val="left"/>
      <w:pPr>
        <w:tabs>
          <w:tab w:val="left" w:pos="1680"/>
        </w:tabs>
        <w:ind w:left="1680" w:hanging="420"/>
      </w:pPr>
      <w:rPr>
        <w:rFonts w:hint="eastAsia"/>
      </w:rPr>
    </w:lvl>
    <w:lvl w:ilvl="3" w:tentative="0">
      <w:start w:val="1"/>
      <w:numFmt w:val="decimal"/>
      <w:lvlText w:val="%4)"/>
      <w:lvlJc w:val="left"/>
      <w:pPr>
        <w:tabs>
          <w:tab w:val="left" w:pos="2100"/>
        </w:tabs>
        <w:ind w:left="2100" w:hanging="420"/>
      </w:pPr>
      <w:rPr>
        <w:rFonts w:hint="default"/>
      </w:rPr>
    </w:lvl>
    <w:lvl w:ilvl="4" w:tentative="0">
      <w:start w:val="1"/>
      <w:numFmt w:val="lowerLetter"/>
      <w:lvlText w:val="%5."/>
      <w:lvlJc w:val="left"/>
      <w:pPr>
        <w:tabs>
          <w:tab w:val="left" w:pos="2520"/>
        </w:tabs>
        <w:ind w:left="2520" w:hanging="420"/>
      </w:pPr>
      <w:rPr>
        <w:rFonts w:hint="default"/>
      </w:rPr>
    </w:lvl>
    <w:lvl w:ilvl="5" w:tentative="0">
      <w:start w:val="1"/>
      <w:numFmt w:val="lowerLetter"/>
      <w:lvlText w:val="%6)"/>
      <w:lvlJc w:val="left"/>
      <w:pPr>
        <w:tabs>
          <w:tab w:val="left" w:pos="2940"/>
        </w:tabs>
        <w:ind w:left="2940" w:hanging="420"/>
      </w:pPr>
      <w:rPr>
        <w:rFonts w:hint="default"/>
      </w:rPr>
    </w:lvl>
    <w:lvl w:ilvl="6" w:tentative="0">
      <w:start w:val="1"/>
      <w:numFmt w:val="lowerRoman"/>
      <w:lvlText w:val="%7."/>
      <w:lvlJc w:val="left"/>
      <w:pPr>
        <w:tabs>
          <w:tab w:val="left" w:pos="3360"/>
        </w:tabs>
        <w:ind w:left="3360" w:hanging="420"/>
      </w:pPr>
      <w:rPr>
        <w:rFonts w:hint="default"/>
      </w:rPr>
    </w:lvl>
    <w:lvl w:ilvl="7" w:tentative="0">
      <w:start w:val="1"/>
      <w:numFmt w:val="lowerRoman"/>
      <w:lvlText w:val="%8)"/>
      <w:lvlJc w:val="left"/>
      <w:pPr>
        <w:tabs>
          <w:tab w:val="left" w:pos="3780"/>
        </w:tabs>
        <w:ind w:left="3780" w:hanging="420"/>
      </w:pPr>
      <w:rPr>
        <w:rFonts w:hint="default"/>
      </w:rPr>
    </w:lvl>
    <w:lvl w:ilvl="8" w:tentative="0">
      <w:start w:val="1"/>
      <w:numFmt w:val="lowerLetter"/>
      <w:lvlText w:val="%9."/>
      <w:lvlJc w:val="left"/>
      <w:pPr>
        <w:tabs>
          <w:tab w:val="left" w:pos="4200"/>
        </w:tabs>
        <w:ind w:left="4200" w:hanging="420"/>
      </w:pPr>
      <w:rPr>
        <w:rFonts w:hint="default"/>
      </w:rPr>
    </w:lvl>
  </w:abstractNum>
  <w:abstractNum w:abstractNumId="8">
    <w:nsid w:val="E923A069"/>
    <w:multiLevelType w:val="singleLevel"/>
    <w:tmpl w:val="E923A069"/>
    <w:lvl w:ilvl="0" w:tentative="0">
      <w:start w:val="1"/>
      <w:numFmt w:val="bullet"/>
      <w:suff w:val="space"/>
      <w:lvlText w:val=""/>
      <w:lvlJc w:val="left"/>
      <w:pPr>
        <w:ind w:left="840" w:hanging="420"/>
      </w:pPr>
      <w:rPr>
        <w:rFonts w:hint="default" w:ascii="Wingdings" w:hAnsi="Wingdings"/>
      </w:rPr>
    </w:lvl>
  </w:abstractNum>
  <w:abstractNum w:abstractNumId="9">
    <w:nsid w:val="EEE5DAD4"/>
    <w:multiLevelType w:val="multilevel"/>
    <w:tmpl w:val="EEE5DAD4"/>
    <w:lvl w:ilvl="0" w:tentative="0">
      <w:start w:val="1"/>
      <w:numFmt w:val="decimal"/>
      <w:suff w:val="space"/>
      <w:lvlText w:val="%1."/>
      <w:lvlJc w:val="left"/>
      <w:pPr>
        <w:ind w:left="420" w:firstLine="0"/>
      </w:pPr>
      <w:rPr>
        <w:rFonts w:hint="eastAsia"/>
      </w:rPr>
    </w:lvl>
    <w:lvl w:ilvl="1" w:tentative="0">
      <w:start w:val="1"/>
      <w:numFmt w:val="decimal"/>
      <w:suff w:val="nothing"/>
      <w:lvlText w:val="%1.%2．"/>
      <w:lvlJc w:val="left"/>
      <w:pPr>
        <w:tabs>
          <w:tab w:val="left" w:pos="840"/>
        </w:tabs>
        <w:ind w:left="420" w:firstLine="0"/>
      </w:pPr>
      <w:rPr>
        <w:rFonts w:hint="eastAsia" w:ascii="宋体" w:hAnsi="宋体" w:eastAsia="宋体" w:cs="宋体"/>
      </w:rPr>
    </w:lvl>
    <w:lvl w:ilvl="2" w:tentative="0">
      <w:start w:val="1"/>
      <w:numFmt w:val="decimal"/>
      <w:suff w:val="nothing"/>
      <w:lvlText w:val="%1.%2.%3. "/>
      <w:lvlJc w:val="left"/>
      <w:pPr>
        <w:tabs>
          <w:tab w:val="left" w:pos="840"/>
        </w:tabs>
        <w:ind w:left="420" w:firstLine="0"/>
      </w:pPr>
      <w:rPr>
        <w:rFonts w:hint="eastAsia" w:ascii="宋体" w:hAnsi="宋体" w:eastAsia="宋体" w:cs="宋体"/>
      </w:rPr>
    </w:lvl>
    <w:lvl w:ilvl="3" w:tentative="0">
      <w:start w:val="1"/>
      <w:numFmt w:val="decimal"/>
      <w:suff w:val="nothing"/>
      <w:lvlText w:val="%1.%2.%3.%4 "/>
      <w:lvlJc w:val="left"/>
      <w:pPr>
        <w:tabs>
          <w:tab w:val="left" w:pos="840"/>
        </w:tabs>
        <w:ind w:left="420" w:firstLine="0"/>
      </w:pPr>
      <w:rPr>
        <w:rFonts w:hint="eastAsia" w:ascii="宋体" w:hAnsi="宋体" w:eastAsia="宋体" w:cs="宋体"/>
      </w:rPr>
    </w:lvl>
    <w:lvl w:ilvl="4" w:tentative="0">
      <w:start w:val="1"/>
      <w:numFmt w:val="chineseCountingThousand"/>
      <w:lvlText w:val="%5、"/>
      <w:lvlJc w:val="left"/>
      <w:pPr>
        <w:tabs>
          <w:tab w:val="left" w:pos="-420"/>
        </w:tabs>
        <w:ind w:left="420" w:firstLine="0"/>
      </w:pPr>
      <w:rPr>
        <w:rFonts w:hint="eastAsia"/>
      </w:rPr>
    </w:lvl>
    <w:lvl w:ilvl="5" w:tentative="0">
      <w:start w:val="1"/>
      <w:numFmt w:val="lowerLetter"/>
      <w:suff w:val="nothing"/>
      <w:lvlText w:val="%6．"/>
      <w:lvlJc w:val="left"/>
      <w:pPr>
        <w:ind w:left="420" w:firstLine="0"/>
      </w:pPr>
      <w:rPr>
        <w:rFonts w:hint="eastAsia" w:ascii="宋体" w:hAnsi="宋体" w:eastAsia="宋体" w:cs="宋体"/>
      </w:rPr>
    </w:lvl>
    <w:lvl w:ilvl="6" w:tentative="0">
      <w:start w:val="1"/>
      <w:numFmt w:val="lowerLetter"/>
      <w:suff w:val="nothing"/>
      <w:lvlText w:val="%7）"/>
      <w:lvlJc w:val="left"/>
      <w:pPr>
        <w:ind w:left="420" w:firstLine="402"/>
      </w:pPr>
      <w:rPr>
        <w:rFonts w:hint="eastAsia"/>
      </w:rPr>
    </w:lvl>
    <w:lvl w:ilvl="7" w:tentative="0">
      <w:start w:val="1"/>
      <w:numFmt w:val="lowerRoman"/>
      <w:suff w:val="nothing"/>
      <w:lvlText w:val="%8. "/>
      <w:lvlJc w:val="left"/>
      <w:pPr>
        <w:ind w:left="420" w:firstLine="402"/>
      </w:pPr>
      <w:rPr>
        <w:rFonts w:hint="eastAsia"/>
      </w:rPr>
    </w:lvl>
    <w:lvl w:ilvl="8" w:tentative="0">
      <w:start w:val="1"/>
      <w:numFmt w:val="lowerRoman"/>
      <w:suff w:val="nothing"/>
      <w:lvlText w:val="%9）"/>
      <w:lvlJc w:val="left"/>
      <w:pPr>
        <w:ind w:left="420" w:firstLine="402"/>
      </w:pPr>
      <w:rPr>
        <w:rFonts w:hint="eastAsia"/>
      </w:rPr>
    </w:lvl>
  </w:abstractNum>
  <w:abstractNum w:abstractNumId="10">
    <w:nsid w:val="F8A09CF7"/>
    <w:multiLevelType w:val="multilevel"/>
    <w:tmpl w:val="F8A09CF7"/>
    <w:lvl w:ilvl="0" w:tentative="0">
      <w:start w:val="1"/>
      <w:numFmt w:val="chineseCountingThousand"/>
      <w:suff w:val="nothing"/>
      <w:lvlText w:val="(%1)"/>
      <w:lvlJc w:val="left"/>
      <w:pPr>
        <w:ind w:left="922" w:hanging="440"/>
      </w:pPr>
      <w:rPr>
        <w:rFonts w:hint="eastAsia"/>
      </w:rPr>
    </w:lvl>
    <w:lvl w:ilvl="1" w:tentative="0">
      <w:start w:val="1"/>
      <w:numFmt w:val="lowerLetter"/>
      <w:lvlText w:val="%2)"/>
      <w:lvlJc w:val="left"/>
      <w:pPr>
        <w:ind w:left="1362" w:hanging="440"/>
      </w:pPr>
      <w:rPr>
        <w:rFonts w:hint="eastAsia"/>
      </w:rPr>
    </w:lvl>
    <w:lvl w:ilvl="2" w:tentative="0">
      <w:start w:val="1"/>
      <w:numFmt w:val="lowerRoman"/>
      <w:lvlText w:val="%3."/>
      <w:lvlJc w:val="right"/>
      <w:pPr>
        <w:ind w:left="1802" w:hanging="440"/>
      </w:pPr>
      <w:rPr>
        <w:rFonts w:hint="eastAsia"/>
      </w:rPr>
    </w:lvl>
    <w:lvl w:ilvl="3" w:tentative="0">
      <w:start w:val="1"/>
      <w:numFmt w:val="decimal"/>
      <w:lvlText w:val="%4."/>
      <w:lvlJc w:val="left"/>
      <w:pPr>
        <w:ind w:left="2242" w:hanging="440"/>
      </w:pPr>
      <w:rPr>
        <w:rFonts w:hint="eastAsia"/>
      </w:rPr>
    </w:lvl>
    <w:lvl w:ilvl="4" w:tentative="0">
      <w:start w:val="1"/>
      <w:numFmt w:val="lowerLetter"/>
      <w:lvlText w:val="%5)"/>
      <w:lvlJc w:val="left"/>
      <w:pPr>
        <w:ind w:left="2682" w:hanging="440"/>
      </w:pPr>
      <w:rPr>
        <w:rFonts w:hint="eastAsia"/>
      </w:rPr>
    </w:lvl>
    <w:lvl w:ilvl="5" w:tentative="0">
      <w:start w:val="1"/>
      <w:numFmt w:val="lowerRoman"/>
      <w:lvlText w:val="%6."/>
      <w:lvlJc w:val="right"/>
      <w:pPr>
        <w:ind w:left="3122" w:hanging="440"/>
      </w:pPr>
      <w:rPr>
        <w:rFonts w:hint="eastAsia"/>
      </w:rPr>
    </w:lvl>
    <w:lvl w:ilvl="6" w:tentative="0">
      <w:start w:val="1"/>
      <w:numFmt w:val="decimal"/>
      <w:lvlText w:val="%7."/>
      <w:lvlJc w:val="left"/>
      <w:pPr>
        <w:ind w:left="3562" w:hanging="440"/>
      </w:pPr>
      <w:rPr>
        <w:rFonts w:hint="eastAsia"/>
      </w:rPr>
    </w:lvl>
    <w:lvl w:ilvl="7" w:tentative="0">
      <w:start w:val="1"/>
      <w:numFmt w:val="lowerLetter"/>
      <w:lvlText w:val="%8)"/>
      <w:lvlJc w:val="left"/>
      <w:pPr>
        <w:ind w:left="4002" w:hanging="440"/>
      </w:pPr>
      <w:rPr>
        <w:rFonts w:hint="eastAsia"/>
      </w:rPr>
    </w:lvl>
    <w:lvl w:ilvl="8" w:tentative="0">
      <w:start w:val="1"/>
      <w:numFmt w:val="lowerRoman"/>
      <w:lvlText w:val="%9."/>
      <w:lvlJc w:val="right"/>
      <w:pPr>
        <w:ind w:left="4442" w:hanging="440"/>
      </w:pPr>
      <w:rPr>
        <w:rFonts w:hint="eastAsia"/>
      </w:rPr>
    </w:lvl>
  </w:abstractNum>
  <w:abstractNum w:abstractNumId="11">
    <w:nsid w:val="FAD061CD"/>
    <w:multiLevelType w:val="multilevel"/>
    <w:tmpl w:val="FAD061CD"/>
    <w:lvl w:ilvl="0" w:tentative="0">
      <w:start w:val="1"/>
      <w:numFmt w:val="decimal"/>
      <w:lvlText w:val="%1"/>
      <w:lvlJc w:val="left"/>
      <w:pPr>
        <w:ind w:left="425" w:hanging="425"/>
      </w:pPr>
    </w:lvl>
    <w:lvl w:ilvl="1" w:tentative="0">
      <w:start w:val="1"/>
      <w:numFmt w:val="decimal"/>
      <w:suff w:val="space"/>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2">
    <w:nsid w:val="FD9DB706"/>
    <w:multiLevelType w:val="singleLevel"/>
    <w:tmpl w:val="FD9DB706"/>
    <w:lvl w:ilvl="0" w:tentative="0">
      <w:start w:val="1"/>
      <w:numFmt w:val="decimal"/>
      <w:lvlText w:val="%1."/>
      <w:lvlJc w:val="left"/>
      <w:pPr>
        <w:ind w:left="425" w:hanging="425"/>
      </w:pPr>
      <w:rPr>
        <w:rFonts w:hint="default"/>
      </w:rPr>
    </w:lvl>
  </w:abstractNum>
  <w:abstractNum w:abstractNumId="13">
    <w:nsid w:val="FFA55D64"/>
    <w:multiLevelType w:val="multilevel"/>
    <w:tmpl w:val="FFA55D64"/>
    <w:lvl w:ilvl="0" w:tentative="0">
      <w:start w:val="1"/>
      <w:numFmt w:val="decimal"/>
      <w:suff w:val="nothing"/>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
    <w:nsid w:val="FFCB574D"/>
    <w:multiLevelType w:val="multilevel"/>
    <w:tmpl w:val="FFCB574D"/>
    <w:lvl w:ilvl="0" w:tentative="0">
      <w:start w:val="1"/>
      <w:numFmt w:val="bullet"/>
      <w:lvlText w:val=""/>
      <w:lvlJc w:val="left"/>
      <w:pPr>
        <w:tabs>
          <w:tab w:val="left" w:pos="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5">
    <w:nsid w:val="0495698F"/>
    <w:multiLevelType w:val="multilevel"/>
    <w:tmpl w:val="0495698F"/>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6">
    <w:nsid w:val="0A092B59"/>
    <w:multiLevelType w:val="multilevel"/>
    <w:tmpl w:val="0A092B59"/>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7">
    <w:nsid w:val="0A62032F"/>
    <w:multiLevelType w:val="multilevel"/>
    <w:tmpl w:val="0A62032F"/>
    <w:lvl w:ilvl="0" w:tentative="0">
      <w:start w:val="1"/>
      <w:numFmt w:val="decimal"/>
      <w:lvlText w:val="%1"/>
      <w:lvlJc w:val="left"/>
      <w:pPr>
        <w:tabs>
          <w:tab w:val="left" w:pos="555"/>
        </w:tabs>
        <w:ind w:left="555" w:hanging="555"/>
      </w:pPr>
      <w:rPr>
        <w:rFonts w:hint="default"/>
      </w:rPr>
    </w:lvl>
    <w:lvl w:ilvl="1" w:tentative="0">
      <w:start w:val="1"/>
      <w:numFmt w:val="decimal"/>
      <w:suff w:val="space"/>
      <w:lvlText w:val="%1.%2"/>
      <w:lvlJc w:val="left"/>
      <w:pPr>
        <w:ind w:left="879" w:hanging="595"/>
      </w:pPr>
      <w:rPr>
        <w:rFonts w:hint="eastAsia" w:eastAsia="宋体" w:cs="Times New Roman" w:asciiTheme="minorEastAsia" w:hAnsiTheme="minorEastAsia"/>
        <w:b/>
        <w:bCs w:val="0"/>
      </w:rPr>
    </w:lvl>
    <w:lvl w:ilvl="2" w:tentative="0">
      <w:start w:val="1"/>
      <w:numFmt w:val="decimal"/>
      <w:lvlText w:val="2.2.%3."/>
      <w:lvlJc w:val="left"/>
      <w:pPr>
        <w:ind w:left="879" w:hanging="454"/>
      </w:pPr>
      <w:rPr>
        <w:rFonts w:hint="eastAsia"/>
      </w:rPr>
    </w:lvl>
    <w:lvl w:ilvl="3" w:tentative="0">
      <w:start w:val="1"/>
      <w:numFmt w:val="decimal"/>
      <w:lvlText w:val="%1.%2.%3.%4"/>
      <w:lvlJc w:val="left"/>
      <w:pPr>
        <w:tabs>
          <w:tab w:val="left" w:pos="1080"/>
        </w:tabs>
        <w:ind w:left="879" w:hanging="454"/>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8">
    <w:nsid w:val="0FDB4022"/>
    <w:multiLevelType w:val="multilevel"/>
    <w:tmpl w:val="0FDB4022"/>
    <w:lvl w:ilvl="0" w:tentative="0">
      <w:start w:val="1"/>
      <w:numFmt w:val="chineseCountingThousand"/>
      <w:suff w:val="nothing"/>
      <w:lvlText w:val="%1、"/>
      <w:lvlJc w:val="left"/>
      <w:pPr>
        <w:ind w:left="547" w:hanging="440"/>
      </w:pPr>
      <w:rPr>
        <w:rFonts w:hint="eastAsia"/>
      </w:rPr>
    </w:lvl>
    <w:lvl w:ilvl="1" w:tentative="0">
      <w:start w:val="1"/>
      <w:numFmt w:val="lowerLetter"/>
      <w:lvlText w:val="%2)"/>
      <w:lvlJc w:val="left"/>
      <w:pPr>
        <w:ind w:left="987" w:hanging="440"/>
      </w:pPr>
      <w:rPr>
        <w:rFonts w:hint="eastAsia"/>
      </w:rPr>
    </w:lvl>
    <w:lvl w:ilvl="2" w:tentative="0">
      <w:start w:val="1"/>
      <w:numFmt w:val="lowerRoman"/>
      <w:lvlText w:val="%3."/>
      <w:lvlJc w:val="right"/>
      <w:pPr>
        <w:ind w:left="1427" w:hanging="440"/>
      </w:pPr>
      <w:rPr>
        <w:rFonts w:hint="eastAsia"/>
      </w:rPr>
    </w:lvl>
    <w:lvl w:ilvl="3" w:tentative="0">
      <w:start w:val="1"/>
      <w:numFmt w:val="decimal"/>
      <w:lvlText w:val="%4."/>
      <w:lvlJc w:val="left"/>
      <w:pPr>
        <w:ind w:left="1867" w:hanging="440"/>
      </w:pPr>
      <w:rPr>
        <w:rFonts w:hint="eastAsia"/>
      </w:rPr>
    </w:lvl>
    <w:lvl w:ilvl="4" w:tentative="0">
      <w:start w:val="1"/>
      <w:numFmt w:val="lowerLetter"/>
      <w:lvlText w:val="%5)"/>
      <w:lvlJc w:val="left"/>
      <w:pPr>
        <w:ind w:left="2307" w:hanging="440"/>
      </w:pPr>
      <w:rPr>
        <w:rFonts w:hint="eastAsia"/>
      </w:rPr>
    </w:lvl>
    <w:lvl w:ilvl="5" w:tentative="0">
      <w:start w:val="1"/>
      <w:numFmt w:val="lowerRoman"/>
      <w:lvlText w:val="%6."/>
      <w:lvlJc w:val="right"/>
      <w:pPr>
        <w:ind w:left="2747" w:hanging="440"/>
      </w:pPr>
      <w:rPr>
        <w:rFonts w:hint="eastAsia"/>
      </w:rPr>
    </w:lvl>
    <w:lvl w:ilvl="6" w:tentative="0">
      <w:start w:val="1"/>
      <w:numFmt w:val="decimal"/>
      <w:lvlText w:val="%7."/>
      <w:lvlJc w:val="left"/>
      <w:pPr>
        <w:ind w:left="3187" w:hanging="440"/>
      </w:pPr>
      <w:rPr>
        <w:rFonts w:hint="eastAsia"/>
      </w:rPr>
    </w:lvl>
    <w:lvl w:ilvl="7" w:tentative="0">
      <w:start w:val="1"/>
      <w:numFmt w:val="lowerLetter"/>
      <w:lvlText w:val="%8)"/>
      <w:lvlJc w:val="left"/>
      <w:pPr>
        <w:ind w:left="3627" w:hanging="440"/>
      </w:pPr>
      <w:rPr>
        <w:rFonts w:hint="eastAsia"/>
      </w:rPr>
    </w:lvl>
    <w:lvl w:ilvl="8" w:tentative="0">
      <w:start w:val="1"/>
      <w:numFmt w:val="lowerRoman"/>
      <w:lvlText w:val="%9."/>
      <w:lvlJc w:val="right"/>
      <w:pPr>
        <w:ind w:left="4067" w:hanging="440"/>
      </w:pPr>
      <w:rPr>
        <w:rFonts w:hint="eastAsia"/>
      </w:rPr>
    </w:lvl>
  </w:abstractNum>
  <w:abstractNum w:abstractNumId="19">
    <w:nsid w:val="1700DE44"/>
    <w:multiLevelType w:val="singleLevel"/>
    <w:tmpl w:val="1700DE44"/>
    <w:lvl w:ilvl="0" w:tentative="0">
      <w:start w:val="1"/>
      <w:numFmt w:val="chineseCounting"/>
      <w:suff w:val="nothing"/>
      <w:lvlText w:val="%1、"/>
      <w:lvlJc w:val="left"/>
      <w:pPr>
        <w:ind w:left="0" w:firstLine="420"/>
      </w:pPr>
      <w:rPr>
        <w:rFonts w:hint="eastAsia"/>
      </w:rPr>
    </w:lvl>
  </w:abstractNum>
  <w:abstractNum w:abstractNumId="20">
    <w:nsid w:val="1AD05F92"/>
    <w:multiLevelType w:val="multilevel"/>
    <w:tmpl w:val="1AD05F92"/>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1">
    <w:nsid w:val="1ECB312A"/>
    <w:multiLevelType w:val="multilevel"/>
    <w:tmpl w:val="1ECB312A"/>
    <w:lvl w:ilvl="0" w:tentative="0">
      <w:start w:val="1"/>
      <w:numFmt w:val="chineseCountingThousand"/>
      <w:suff w:val="nothing"/>
      <w:lvlText w:val="%1、"/>
      <w:lvlJc w:val="left"/>
      <w:pPr>
        <w:ind w:left="547" w:hanging="440"/>
      </w:pPr>
      <w:rPr>
        <w:rFonts w:hint="eastAsia"/>
      </w:rPr>
    </w:lvl>
    <w:lvl w:ilvl="1" w:tentative="0">
      <w:start w:val="1"/>
      <w:numFmt w:val="lowerLetter"/>
      <w:lvlText w:val="%2)"/>
      <w:lvlJc w:val="left"/>
      <w:pPr>
        <w:ind w:left="987" w:hanging="440"/>
      </w:pPr>
      <w:rPr>
        <w:rFonts w:hint="eastAsia"/>
      </w:rPr>
    </w:lvl>
    <w:lvl w:ilvl="2" w:tentative="0">
      <w:start w:val="1"/>
      <w:numFmt w:val="lowerRoman"/>
      <w:lvlText w:val="%3."/>
      <w:lvlJc w:val="right"/>
      <w:pPr>
        <w:ind w:left="1427" w:hanging="440"/>
      </w:pPr>
      <w:rPr>
        <w:rFonts w:hint="eastAsia"/>
      </w:rPr>
    </w:lvl>
    <w:lvl w:ilvl="3" w:tentative="0">
      <w:start w:val="1"/>
      <w:numFmt w:val="decimal"/>
      <w:lvlText w:val="%4."/>
      <w:lvlJc w:val="left"/>
      <w:pPr>
        <w:ind w:left="1867" w:hanging="440"/>
      </w:pPr>
      <w:rPr>
        <w:rFonts w:hint="eastAsia"/>
      </w:rPr>
    </w:lvl>
    <w:lvl w:ilvl="4" w:tentative="0">
      <w:start w:val="1"/>
      <w:numFmt w:val="lowerLetter"/>
      <w:lvlText w:val="%5)"/>
      <w:lvlJc w:val="left"/>
      <w:pPr>
        <w:ind w:left="2307" w:hanging="440"/>
      </w:pPr>
      <w:rPr>
        <w:rFonts w:hint="eastAsia"/>
      </w:rPr>
    </w:lvl>
    <w:lvl w:ilvl="5" w:tentative="0">
      <w:start w:val="1"/>
      <w:numFmt w:val="lowerRoman"/>
      <w:lvlText w:val="%6."/>
      <w:lvlJc w:val="right"/>
      <w:pPr>
        <w:ind w:left="2747" w:hanging="440"/>
      </w:pPr>
      <w:rPr>
        <w:rFonts w:hint="eastAsia"/>
      </w:rPr>
    </w:lvl>
    <w:lvl w:ilvl="6" w:tentative="0">
      <w:start w:val="1"/>
      <w:numFmt w:val="decimal"/>
      <w:lvlText w:val="%7."/>
      <w:lvlJc w:val="left"/>
      <w:pPr>
        <w:ind w:left="3187" w:hanging="440"/>
      </w:pPr>
      <w:rPr>
        <w:rFonts w:hint="eastAsia"/>
      </w:rPr>
    </w:lvl>
    <w:lvl w:ilvl="7" w:tentative="0">
      <w:start w:val="1"/>
      <w:numFmt w:val="lowerLetter"/>
      <w:lvlText w:val="%8)"/>
      <w:lvlJc w:val="left"/>
      <w:pPr>
        <w:ind w:left="3627" w:hanging="440"/>
      </w:pPr>
      <w:rPr>
        <w:rFonts w:hint="eastAsia"/>
      </w:rPr>
    </w:lvl>
    <w:lvl w:ilvl="8" w:tentative="0">
      <w:start w:val="1"/>
      <w:numFmt w:val="lowerRoman"/>
      <w:lvlText w:val="%9."/>
      <w:lvlJc w:val="right"/>
      <w:pPr>
        <w:ind w:left="4067" w:hanging="440"/>
      </w:pPr>
      <w:rPr>
        <w:rFonts w:hint="eastAsia"/>
      </w:rPr>
    </w:lvl>
  </w:abstractNum>
  <w:abstractNum w:abstractNumId="22">
    <w:nsid w:val="257E5EB1"/>
    <w:multiLevelType w:val="singleLevel"/>
    <w:tmpl w:val="257E5EB1"/>
    <w:lvl w:ilvl="0" w:tentative="0">
      <w:start w:val="1"/>
      <w:numFmt w:val="bullet"/>
      <w:lvlText w:val=""/>
      <w:lvlJc w:val="left"/>
      <w:pPr>
        <w:ind w:left="420" w:hanging="420"/>
      </w:pPr>
      <w:rPr>
        <w:rFonts w:hint="default" w:ascii="Wingdings" w:hAnsi="Wingdings"/>
      </w:rPr>
    </w:lvl>
  </w:abstractNum>
  <w:abstractNum w:abstractNumId="23">
    <w:nsid w:val="37B67FD7"/>
    <w:multiLevelType w:val="multilevel"/>
    <w:tmpl w:val="37B67FD7"/>
    <w:lvl w:ilvl="0" w:tentative="0">
      <w:start w:val="1"/>
      <w:numFmt w:val="bullet"/>
      <w:lvlText w:val=""/>
      <w:lvlJc w:val="left"/>
      <w:pPr>
        <w:ind w:left="735" w:hanging="420"/>
      </w:pPr>
      <w:rPr>
        <w:rFonts w:hint="default" w:ascii="Wingdings" w:hAnsi="Wingdings"/>
      </w:rPr>
    </w:lvl>
    <w:lvl w:ilvl="1" w:tentative="0">
      <w:start w:val="1"/>
      <w:numFmt w:val="lowerLetter"/>
      <w:lvlText w:val="%2)"/>
      <w:lvlJc w:val="left"/>
      <w:pPr>
        <w:ind w:left="1155" w:hanging="420"/>
      </w:pPr>
    </w:lvl>
    <w:lvl w:ilvl="2" w:tentative="0">
      <w:start w:val="1"/>
      <w:numFmt w:val="lowerRoman"/>
      <w:lvlText w:val="%3."/>
      <w:lvlJc w:val="right"/>
      <w:pPr>
        <w:ind w:left="1575" w:hanging="420"/>
      </w:pPr>
    </w:lvl>
    <w:lvl w:ilvl="3" w:tentative="0">
      <w:start w:val="1"/>
      <w:numFmt w:val="decimal"/>
      <w:lvlText w:val="%4."/>
      <w:lvlJc w:val="left"/>
      <w:pPr>
        <w:ind w:left="1995" w:hanging="420"/>
      </w:pPr>
    </w:lvl>
    <w:lvl w:ilvl="4" w:tentative="0">
      <w:start w:val="1"/>
      <w:numFmt w:val="lowerLetter"/>
      <w:lvlText w:val="%5)"/>
      <w:lvlJc w:val="left"/>
      <w:pPr>
        <w:ind w:left="2415" w:hanging="420"/>
      </w:pPr>
    </w:lvl>
    <w:lvl w:ilvl="5" w:tentative="0">
      <w:start w:val="1"/>
      <w:numFmt w:val="lowerRoman"/>
      <w:lvlText w:val="%6."/>
      <w:lvlJc w:val="right"/>
      <w:pPr>
        <w:ind w:left="2835" w:hanging="420"/>
      </w:pPr>
    </w:lvl>
    <w:lvl w:ilvl="6" w:tentative="0">
      <w:start w:val="1"/>
      <w:numFmt w:val="decimal"/>
      <w:lvlText w:val="%7."/>
      <w:lvlJc w:val="left"/>
      <w:pPr>
        <w:ind w:left="3255" w:hanging="420"/>
      </w:pPr>
    </w:lvl>
    <w:lvl w:ilvl="7" w:tentative="0">
      <w:start w:val="1"/>
      <w:numFmt w:val="lowerLetter"/>
      <w:lvlText w:val="%8)"/>
      <w:lvlJc w:val="left"/>
      <w:pPr>
        <w:ind w:left="3675" w:hanging="420"/>
      </w:pPr>
    </w:lvl>
    <w:lvl w:ilvl="8" w:tentative="0">
      <w:start w:val="1"/>
      <w:numFmt w:val="lowerRoman"/>
      <w:lvlText w:val="%9."/>
      <w:lvlJc w:val="right"/>
      <w:pPr>
        <w:ind w:left="4095" w:hanging="420"/>
      </w:pPr>
    </w:lvl>
  </w:abstractNum>
  <w:abstractNum w:abstractNumId="24">
    <w:nsid w:val="3CE54B46"/>
    <w:multiLevelType w:val="multilevel"/>
    <w:tmpl w:val="3CE54B46"/>
    <w:lvl w:ilvl="0" w:tentative="0">
      <w:start w:val="1"/>
      <w:numFmt w:val="decimal"/>
      <w:lvlText w:val="%1"/>
      <w:lvlJc w:val="left"/>
      <w:pPr>
        <w:tabs>
          <w:tab w:val="left" w:pos="432"/>
        </w:tabs>
        <w:ind w:left="432" w:hanging="432"/>
      </w:pPr>
      <w:rPr>
        <w:rFonts w:hint="default" w:ascii="Times New Roman" w:hAnsi="Times New Roman"/>
        <w:b/>
        <w:i w:val="0"/>
      </w:rPr>
    </w:lvl>
    <w:lvl w:ilvl="1" w:tentative="0">
      <w:start w:val="1"/>
      <w:numFmt w:val="decimal"/>
      <w:pStyle w:val="3"/>
      <w:lvlText w:val="2.%2"/>
      <w:lvlJc w:val="left"/>
      <w:pPr>
        <w:tabs>
          <w:tab w:val="left" w:pos="576"/>
        </w:tabs>
        <w:ind w:left="576" w:hanging="576"/>
      </w:pPr>
      <w:rPr>
        <w:rFonts w:hint="default" w:ascii="Times New Roman" w:hAnsi="Times New Roman"/>
        <w:b/>
        <w:i w:val="0"/>
      </w:rPr>
    </w:lvl>
    <w:lvl w:ilvl="2" w:tentative="0">
      <w:start w:val="1"/>
      <w:numFmt w:val="decimal"/>
      <w:lvlText w:val="2.%2.%3"/>
      <w:lvlJc w:val="left"/>
      <w:pPr>
        <w:tabs>
          <w:tab w:val="left" w:pos="720"/>
        </w:tabs>
        <w:ind w:left="720" w:hanging="720"/>
      </w:pPr>
      <w:rPr>
        <w:rFonts w:hint="default" w:ascii="Times New Roman" w:hAnsi="Times New Roman"/>
        <w:b/>
        <w:i w:val="0"/>
      </w:rPr>
    </w:lvl>
    <w:lvl w:ilvl="3" w:tentative="0">
      <w:start w:val="1"/>
      <w:numFmt w:val="decimal"/>
      <w:lvlText w:val="%1.%2.%3.%4"/>
      <w:lvlJc w:val="left"/>
      <w:pPr>
        <w:tabs>
          <w:tab w:val="left" w:pos="864"/>
        </w:tabs>
        <w:ind w:left="864" w:hanging="864"/>
      </w:pPr>
      <w:rPr>
        <w:rFonts w:hint="default" w:ascii="Times New Roman" w:hAnsi="Times New Roman"/>
        <w:b/>
        <w:i w:val="0"/>
      </w:rPr>
    </w:lvl>
    <w:lvl w:ilvl="4" w:tentative="0">
      <w:start w:val="1"/>
      <w:numFmt w:val="decimal"/>
      <w:lvlText w:val="%1.%2.%3.%4.%5"/>
      <w:lvlJc w:val="left"/>
      <w:pPr>
        <w:tabs>
          <w:tab w:val="left" w:pos="1008"/>
        </w:tabs>
        <w:ind w:left="1008" w:hanging="1008"/>
      </w:pPr>
      <w:rPr>
        <w:rFonts w:hint="default" w:ascii="Times New Roman" w:hAnsi="Times New Roman"/>
        <w:b/>
        <w:i w:val="0"/>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5">
    <w:nsid w:val="40103A3D"/>
    <w:multiLevelType w:val="singleLevel"/>
    <w:tmpl w:val="40103A3D"/>
    <w:lvl w:ilvl="0" w:tentative="0">
      <w:start w:val="1"/>
      <w:numFmt w:val="bullet"/>
      <w:lvlText w:val=""/>
      <w:lvlJc w:val="left"/>
      <w:pPr>
        <w:ind w:left="420" w:hanging="420"/>
      </w:pPr>
      <w:rPr>
        <w:rFonts w:hint="default" w:ascii="Wingdings" w:hAnsi="Wingdings"/>
      </w:rPr>
    </w:lvl>
  </w:abstractNum>
  <w:abstractNum w:abstractNumId="26">
    <w:nsid w:val="6CD2C3F4"/>
    <w:multiLevelType w:val="multilevel"/>
    <w:tmpl w:val="6CD2C3F4"/>
    <w:lvl w:ilvl="0" w:tentative="0">
      <w:start w:val="1"/>
      <w:numFmt w:val="decimal"/>
      <w:suff w:val="space"/>
      <w:lvlText w:val="%1."/>
      <w:lvlJc w:val="left"/>
      <w:pPr>
        <w:ind w:left="420" w:firstLine="0"/>
      </w:pPr>
      <w:rPr>
        <w:rFonts w:hint="eastAsia"/>
      </w:rPr>
    </w:lvl>
    <w:lvl w:ilvl="1" w:tentative="0">
      <w:start w:val="1"/>
      <w:numFmt w:val="decimal"/>
      <w:suff w:val="nothing"/>
      <w:lvlText w:val="%1.%2．"/>
      <w:lvlJc w:val="left"/>
      <w:pPr>
        <w:tabs>
          <w:tab w:val="left" w:pos="840"/>
        </w:tabs>
        <w:ind w:left="420" w:firstLine="0"/>
      </w:pPr>
      <w:rPr>
        <w:rFonts w:hint="eastAsia" w:ascii="宋体" w:hAnsi="宋体" w:eastAsia="宋体" w:cs="宋体"/>
      </w:rPr>
    </w:lvl>
    <w:lvl w:ilvl="2" w:tentative="0">
      <w:start w:val="1"/>
      <w:numFmt w:val="decimal"/>
      <w:suff w:val="nothing"/>
      <w:lvlText w:val="%1.%2.%3. "/>
      <w:lvlJc w:val="left"/>
      <w:pPr>
        <w:tabs>
          <w:tab w:val="left" w:pos="840"/>
        </w:tabs>
        <w:ind w:left="420" w:firstLine="0"/>
      </w:pPr>
      <w:rPr>
        <w:rFonts w:hint="eastAsia" w:ascii="宋体" w:hAnsi="宋体" w:eastAsia="宋体" w:cs="宋体"/>
      </w:rPr>
    </w:lvl>
    <w:lvl w:ilvl="3" w:tentative="0">
      <w:start w:val="1"/>
      <w:numFmt w:val="decimal"/>
      <w:suff w:val="nothing"/>
      <w:lvlText w:val="%1.%2.%3.%4 "/>
      <w:lvlJc w:val="left"/>
      <w:pPr>
        <w:tabs>
          <w:tab w:val="left" w:pos="840"/>
        </w:tabs>
        <w:ind w:left="420" w:firstLine="0"/>
      </w:pPr>
      <w:rPr>
        <w:rFonts w:hint="eastAsia" w:ascii="宋体" w:hAnsi="宋体" w:eastAsia="宋体" w:cs="宋体"/>
      </w:rPr>
    </w:lvl>
    <w:lvl w:ilvl="4" w:tentative="0">
      <w:start w:val="1"/>
      <w:numFmt w:val="chineseCountingThousand"/>
      <w:lvlText w:val="%5、"/>
      <w:lvlJc w:val="left"/>
      <w:pPr>
        <w:tabs>
          <w:tab w:val="left" w:pos="-420"/>
        </w:tabs>
        <w:ind w:left="420" w:firstLine="0"/>
      </w:pPr>
      <w:rPr>
        <w:rFonts w:hint="eastAsia"/>
      </w:rPr>
    </w:lvl>
    <w:lvl w:ilvl="5" w:tentative="0">
      <w:start w:val="1"/>
      <w:numFmt w:val="lowerLetter"/>
      <w:suff w:val="nothing"/>
      <w:lvlText w:val="%6．"/>
      <w:lvlJc w:val="left"/>
      <w:pPr>
        <w:ind w:left="420" w:firstLine="0"/>
      </w:pPr>
      <w:rPr>
        <w:rFonts w:hint="eastAsia" w:ascii="宋体" w:hAnsi="宋体" w:eastAsia="宋体" w:cs="宋体"/>
      </w:rPr>
    </w:lvl>
    <w:lvl w:ilvl="6" w:tentative="0">
      <w:start w:val="1"/>
      <w:numFmt w:val="lowerLetter"/>
      <w:suff w:val="nothing"/>
      <w:lvlText w:val="%7）"/>
      <w:lvlJc w:val="left"/>
      <w:pPr>
        <w:ind w:left="420" w:firstLine="402"/>
      </w:pPr>
      <w:rPr>
        <w:rFonts w:hint="eastAsia"/>
      </w:rPr>
    </w:lvl>
    <w:lvl w:ilvl="7" w:tentative="0">
      <w:start w:val="1"/>
      <w:numFmt w:val="lowerRoman"/>
      <w:suff w:val="nothing"/>
      <w:lvlText w:val="%8. "/>
      <w:lvlJc w:val="left"/>
      <w:pPr>
        <w:ind w:left="420" w:firstLine="402"/>
      </w:pPr>
      <w:rPr>
        <w:rFonts w:hint="eastAsia"/>
      </w:rPr>
    </w:lvl>
    <w:lvl w:ilvl="8" w:tentative="0">
      <w:start w:val="1"/>
      <w:numFmt w:val="lowerRoman"/>
      <w:suff w:val="nothing"/>
      <w:lvlText w:val="%9）"/>
      <w:lvlJc w:val="left"/>
      <w:pPr>
        <w:ind w:left="420" w:firstLine="402"/>
      </w:pPr>
      <w:rPr>
        <w:rFonts w:hint="eastAsia"/>
      </w:rPr>
    </w:lvl>
  </w:abstractNum>
  <w:abstractNum w:abstractNumId="27">
    <w:nsid w:val="6F36392C"/>
    <w:multiLevelType w:val="multilevel"/>
    <w:tmpl w:val="6F36392C"/>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729DD095"/>
    <w:multiLevelType w:val="multilevel"/>
    <w:tmpl w:val="729DD095"/>
    <w:lvl w:ilvl="0" w:tentative="0">
      <w:start w:val="1"/>
      <w:numFmt w:val="decimal"/>
      <w:lvlText w:val="%1"/>
      <w:lvlJc w:val="left"/>
      <w:pPr>
        <w:ind w:left="425" w:hanging="425"/>
      </w:pPr>
    </w:lvl>
    <w:lvl w:ilvl="1" w:tentative="0">
      <w:start w:val="1"/>
      <w:numFmt w:val="decimal"/>
      <w:suff w:val="space"/>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9">
    <w:nsid w:val="747170E0"/>
    <w:multiLevelType w:val="multilevel"/>
    <w:tmpl w:val="747170E0"/>
    <w:lvl w:ilvl="0" w:tentative="0">
      <w:start w:val="1"/>
      <w:numFmt w:val="decimal"/>
      <w:suff w:val="space"/>
      <w:lvlText w:val="%1."/>
      <w:lvlJc w:val="left"/>
      <w:pPr>
        <w:ind w:left="420" w:firstLine="0"/>
      </w:pPr>
      <w:rPr>
        <w:rFonts w:hint="eastAsia"/>
      </w:rPr>
    </w:lvl>
    <w:lvl w:ilvl="1" w:tentative="0">
      <w:start w:val="1"/>
      <w:numFmt w:val="decimal"/>
      <w:suff w:val="nothing"/>
      <w:lvlText w:val="%1.%2．"/>
      <w:lvlJc w:val="left"/>
      <w:pPr>
        <w:tabs>
          <w:tab w:val="left" w:pos="840"/>
        </w:tabs>
        <w:ind w:left="420" w:firstLine="0"/>
      </w:pPr>
      <w:rPr>
        <w:rFonts w:hint="eastAsia" w:ascii="宋体" w:hAnsi="宋体" w:eastAsia="宋体" w:cs="宋体"/>
      </w:rPr>
    </w:lvl>
    <w:lvl w:ilvl="2" w:tentative="0">
      <w:start w:val="1"/>
      <w:numFmt w:val="decimal"/>
      <w:suff w:val="nothing"/>
      <w:lvlText w:val="%1.%2.%3. "/>
      <w:lvlJc w:val="left"/>
      <w:pPr>
        <w:tabs>
          <w:tab w:val="left" w:pos="840"/>
        </w:tabs>
        <w:ind w:left="420" w:firstLine="0"/>
      </w:pPr>
      <w:rPr>
        <w:rFonts w:hint="eastAsia" w:ascii="宋体" w:hAnsi="宋体" w:eastAsia="宋体" w:cs="宋体"/>
      </w:rPr>
    </w:lvl>
    <w:lvl w:ilvl="3" w:tentative="0">
      <w:start w:val="1"/>
      <w:numFmt w:val="decimal"/>
      <w:suff w:val="nothing"/>
      <w:lvlText w:val="%1.%2.%3.%4 "/>
      <w:lvlJc w:val="left"/>
      <w:pPr>
        <w:tabs>
          <w:tab w:val="left" w:pos="840"/>
        </w:tabs>
        <w:ind w:left="420" w:firstLine="0"/>
      </w:pPr>
      <w:rPr>
        <w:rFonts w:hint="eastAsia" w:ascii="宋体" w:hAnsi="宋体" w:eastAsia="宋体" w:cs="宋体"/>
      </w:rPr>
    </w:lvl>
    <w:lvl w:ilvl="4" w:tentative="0">
      <w:start w:val="1"/>
      <w:numFmt w:val="chineseCountingThousand"/>
      <w:lvlText w:val="%5、"/>
      <w:lvlJc w:val="left"/>
      <w:pPr>
        <w:tabs>
          <w:tab w:val="left" w:pos="-420"/>
        </w:tabs>
        <w:ind w:left="420" w:firstLine="0"/>
      </w:pPr>
      <w:rPr>
        <w:rFonts w:hint="eastAsia"/>
      </w:rPr>
    </w:lvl>
    <w:lvl w:ilvl="5" w:tentative="0">
      <w:start w:val="1"/>
      <w:numFmt w:val="lowerLetter"/>
      <w:suff w:val="nothing"/>
      <w:lvlText w:val="%6．"/>
      <w:lvlJc w:val="left"/>
      <w:pPr>
        <w:ind w:left="420" w:firstLine="0"/>
      </w:pPr>
      <w:rPr>
        <w:rFonts w:hint="eastAsia" w:ascii="宋体" w:hAnsi="宋体" w:eastAsia="宋体" w:cs="宋体"/>
      </w:rPr>
    </w:lvl>
    <w:lvl w:ilvl="6" w:tentative="0">
      <w:start w:val="1"/>
      <w:numFmt w:val="lowerLetter"/>
      <w:suff w:val="nothing"/>
      <w:lvlText w:val="%7）"/>
      <w:lvlJc w:val="left"/>
      <w:pPr>
        <w:ind w:left="420" w:firstLine="402"/>
      </w:pPr>
      <w:rPr>
        <w:rFonts w:hint="eastAsia"/>
      </w:rPr>
    </w:lvl>
    <w:lvl w:ilvl="7" w:tentative="0">
      <w:start w:val="1"/>
      <w:numFmt w:val="lowerRoman"/>
      <w:suff w:val="nothing"/>
      <w:lvlText w:val="%8. "/>
      <w:lvlJc w:val="left"/>
      <w:pPr>
        <w:ind w:left="420" w:firstLine="402"/>
      </w:pPr>
      <w:rPr>
        <w:rFonts w:hint="eastAsia"/>
      </w:rPr>
    </w:lvl>
    <w:lvl w:ilvl="8" w:tentative="0">
      <w:start w:val="1"/>
      <w:numFmt w:val="lowerRoman"/>
      <w:suff w:val="nothing"/>
      <w:lvlText w:val="%9）"/>
      <w:lvlJc w:val="left"/>
      <w:pPr>
        <w:ind w:left="420" w:firstLine="402"/>
      </w:pPr>
      <w:rPr>
        <w:rFonts w:hint="eastAsia"/>
      </w:rPr>
    </w:lvl>
  </w:abstractNum>
  <w:num w:numId="1">
    <w:abstractNumId w:val="24"/>
  </w:num>
  <w:num w:numId="2">
    <w:abstractNumId w:val="27"/>
  </w:num>
  <w:num w:numId="3">
    <w:abstractNumId w:val="19"/>
  </w:num>
  <w:num w:numId="4">
    <w:abstractNumId w:val="28"/>
  </w:num>
  <w:num w:numId="5">
    <w:abstractNumId w:val="17"/>
  </w:num>
  <w:num w:numId="6">
    <w:abstractNumId w:val="5"/>
  </w:num>
  <w:num w:numId="7">
    <w:abstractNumId w:val="11"/>
  </w:num>
  <w:num w:numId="8">
    <w:abstractNumId w:val="15"/>
  </w:num>
  <w:num w:numId="9">
    <w:abstractNumId w:val="16"/>
  </w:num>
  <w:num w:numId="10">
    <w:abstractNumId w:val="20"/>
  </w:num>
  <w:num w:numId="11">
    <w:abstractNumId w:val="2"/>
  </w:num>
  <w:num w:numId="12">
    <w:abstractNumId w:val="25"/>
  </w:num>
  <w:num w:numId="13">
    <w:abstractNumId w:val="21"/>
  </w:num>
  <w:num w:numId="14">
    <w:abstractNumId w:val="7"/>
  </w:num>
  <w:num w:numId="15">
    <w:abstractNumId w:val="8"/>
  </w:num>
  <w:num w:numId="16">
    <w:abstractNumId w:val="3"/>
  </w:num>
  <w:num w:numId="17">
    <w:abstractNumId w:val="12"/>
  </w:num>
  <w:num w:numId="18">
    <w:abstractNumId w:val="14"/>
  </w:num>
  <w:num w:numId="19">
    <w:abstractNumId w:val="1"/>
  </w:num>
  <w:num w:numId="20">
    <w:abstractNumId w:val="29"/>
  </w:num>
  <w:num w:numId="21">
    <w:abstractNumId w:val="26"/>
  </w:num>
  <w:num w:numId="22">
    <w:abstractNumId w:val="9"/>
  </w:num>
  <w:num w:numId="23">
    <w:abstractNumId w:val="6"/>
  </w:num>
  <w:num w:numId="24">
    <w:abstractNumId w:val="0"/>
  </w:num>
  <w:num w:numId="25">
    <w:abstractNumId w:val="4"/>
  </w:num>
  <w:num w:numId="26">
    <w:abstractNumId w:val="13"/>
  </w:num>
  <w:num w:numId="27">
    <w:abstractNumId w:val="22"/>
  </w:num>
  <w:num w:numId="28">
    <w:abstractNumId w:val="23"/>
  </w:num>
  <w:num w:numId="29">
    <w:abstractNumId w:val="18"/>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947A1E"/>
    <w:rsid w:val="036455F8"/>
    <w:rsid w:val="03CF5817"/>
    <w:rsid w:val="04332B15"/>
    <w:rsid w:val="04CD030F"/>
    <w:rsid w:val="05FB360A"/>
    <w:rsid w:val="083265D5"/>
    <w:rsid w:val="0A041CB0"/>
    <w:rsid w:val="0A720890"/>
    <w:rsid w:val="0AC27289"/>
    <w:rsid w:val="0B3F1FF3"/>
    <w:rsid w:val="0FC1695C"/>
    <w:rsid w:val="0FF33DC9"/>
    <w:rsid w:val="11F02628"/>
    <w:rsid w:val="13254CB3"/>
    <w:rsid w:val="135C425F"/>
    <w:rsid w:val="15347BD0"/>
    <w:rsid w:val="164704DE"/>
    <w:rsid w:val="17F75F3B"/>
    <w:rsid w:val="1A01691A"/>
    <w:rsid w:val="1AD675BC"/>
    <w:rsid w:val="1AE238A6"/>
    <w:rsid w:val="1B5B7975"/>
    <w:rsid w:val="1B84569C"/>
    <w:rsid w:val="1BB42727"/>
    <w:rsid w:val="1BBA51A6"/>
    <w:rsid w:val="1BE96EEF"/>
    <w:rsid w:val="1C482F28"/>
    <w:rsid w:val="1E3234DF"/>
    <w:rsid w:val="1F404BAB"/>
    <w:rsid w:val="1F7B7257"/>
    <w:rsid w:val="20114A36"/>
    <w:rsid w:val="205E0275"/>
    <w:rsid w:val="20843F5F"/>
    <w:rsid w:val="22562C0C"/>
    <w:rsid w:val="24CC79D7"/>
    <w:rsid w:val="25AD65AD"/>
    <w:rsid w:val="25C33248"/>
    <w:rsid w:val="26D64C39"/>
    <w:rsid w:val="27DA61C4"/>
    <w:rsid w:val="28E96F90"/>
    <w:rsid w:val="2AA124B0"/>
    <w:rsid w:val="2BCA0238"/>
    <w:rsid w:val="2D522E8F"/>
    <w:rsid w:val="2D6D6CC7"/>
    <w:rsid w:val="2DA24B51"/>
    <w:rsid w:val="2E1A01B5"/>
    <w:rsid w:val="2E736FD0"/>
    <w:rsid w:val="2F5D7CC7"/>
    <w:rsid w:val="30AB249C"/>
    <w:rsid w:val="31151359"/>
    <w:rsid w:val="326C4DCF"/>
    <w:rsid w:val="327024CB"/>
    <w:rsid w:val="33011337"/>
    <w:rsid w:val="33C4368A"/>
    <w:rsid w:val="33E34843"/>
    <w:rsid w:val="351540FE"/>
    <w:rsid w:val="359D0C08"/>
    <w:rsid w:val="35A26C34"/>
    <w:rsid w:val="37792D7A"/>
    <w:rsid w:val="37860EB2"/>
    <w:rsid w:val="38AE0C44"/>
    <w:rsid w:val="38DF5E2F"/>
    <w:rsid w:val="3B5E64F1"/>
    <w:rsid w:val="3C16395B"/>
    <w:rsid w:val="3C555FA4"/>
    <w:rsid w:val="3D164E3D"/>
    <w:rsid w:val="3E820DE3"/>
    <w:rsid w:val="40EB11DB"/>
    <w:rsid w:val="41BE44B0"/>
    <w:rsid w:val="42914504"/>
    <w:rsid w:val="42BE0565"/>
    <w:rsid w:val="440C322F"/>
    <w:rsid w:val="46FE4680"/>
    <w:rsid w:val="47B90762"/>
    <w:rsid w:val="489B67B4"/>
    <w:rsid w:val="48E458B4"/>
    <w:rsid w:val="4D64226B"/>
    <w:rsid w:val="4DE80F68"/>
    <w:rsid w:val="52691F60"/>
    <w:rsid w:val="570B6CCC"/>
    <w:rsid w:val="59F82A19"/>
    <w:rsid w:val="5A5D59BD"/>
    <w:rsid w:val="5A947A1E"/>
    <w:rsid w:val="5B2C3E7A"/>
    <w:rsid w:val="5BA073EA"/>
    <w:rsid w:val="5BCB6C2C"/>
    <w:rsid w:val="5C230B8B"/>
    <w:rsid w:val="5C3C41E3"/>
    <w:rsid w:val="5CDC3F9E"/>
    <w:rsid w:val="5D1941F1"/>
    <w:rsid w:val="5D944335"/>
    <w:rsid w:val="5E114180"/>
    <w:rsid w:val="5EBE2A56"/>
    <w:rsid w:val="5F0337AE"/>
    <w:rsid w:val="60926D37"/>
    <w:rsid w:val="611F70B7"/>
    <w:rsid w:val="61A2223E"/>
    <w:rsid w:val="626A1447"/>
    <w:rsid w:val="632C57A1"/>
    <w:rsid w:val="63340DF7"/>
    <w:rsid w:val="64682077"/>
    <w:rsid w:val="65ED61DF"/>
    <w:rsid w:val="6614181C"/>
    <w:rsid w:val="665D0FB1"/>
    <w:rsid w:val="66666A8A"/>
    <w:rsid w:val="67334112"/>
    <w:rsid w:val="695272AE"/>
    <w:rsid w:val="6BEE53EC"/>
    <w:rsid w:val="6C952D27"/>
    <w:rsid w:val="6DEC182D"/>
    <w:rsid w:val="6DFA2DEE"/>
    <w:rsid w:val="6F5C67F5"/>
    <w:rsid w:val="70755925"/>
    <w:rsid w:val="70F27898"/>
    <w:rsid w:val="71BF59A0"/>
    <w:rsid w:val="72124D31"/>
    <w:rsid w:val="73F90F3E"/>
    <w:rsid w:val="754825D6"/>
    <w:rsid w:val="76A62CDA"/>
    <w:rsid w:val="771240EB"/>
    <w:rsid w:val="78370C94"/>
    <w:rsid w:val="78430824"/>
    <w:rsid w:val="7865178C"/>
    <w:rsid w:val="79F346B8"/>
    <w:rsid w:val="79FC676C"/>
    <w:rsid w:val="7A417D78"/>
    <w:rsid w:val="7C054CFB"/>
    <w:rsid w:val="7D6518E7"/>
    <w:rsid w:val="7DAE4B47"/>
    <w:rsid w:val="7F14061B"/>
    <w:rsid w:val="7F4B7E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9"/>
    <w:pPr>
      <w:widowControl/>
      <w:spacing w:beforeLines="100" w:afterLines="100"/>
      <w:outlineLvl w:val="0"/>
    </w:pPr>
    <w:rPr>
      <w:rFonts w:eastAsia="黑体"/>
      <w:bCs/>
      <w:kern w:val="44"/>
      <w:sz w:val="24"/>
    </w:rPr>
  </w:style>
  <w:style w:type="paragraph" w:styleId="3">
    <w:name w:val="heading 2"/>
    <w:basedOn w:val="1"/>
    <w:next w:val="1"/>
    <w:qFormat/>
    <w:uiPriority w:val="9"/>
    <w:pPr>
      <w:widowControl/>
      <w:numPr>
        <w:ilvl w:val="1"/>
        <w:numId w:val="1"/>
      </w:numPr>
      <w:spacing w:beforeLines="50" w:afterLines="50"/>
      <w:jc w:val="left"/>
      <w:outlineLvl w:val="1"/>
    </w:pPr>
    <w:rPr>
      <w:rFonts w:eastAsia="黑体"/>
      <w:bCs/>
      <w:sz w:val="24"/>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Body Text"/>
    <w:basedOn w:val="1"/>
    <w:next w:val="5"/>
    <w:unhideWhenUsed/>
    <w:qFormat/>
    <w:uiPriority w:val="0"/>
    <w:pPr>
      <w:spacing w:after="120"/>
    </w:pPr>
  </w:style>
  <w:style w:type="paragraph" w:styleId="5">
    <w:name w:val="header"/>
    <w:basedOn w:val="1"/>
    <w:next w:val="6"/>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Quote"/>
    <w:basedOn w:val="1"/>
    <w:next w:val="1"/>
    <w:qFormat/>
    <w:uiPriority w:val="99"/>
    <w:pPr>
      <w:wordWrap w:val="0"/>
      <w:spacing w:before="200"/>
      <w:ind w:left="864" w:right="864"/>
      <w:jc w:val="center"/>
    </w:pPr>
    <w:rPr>
      <w:i/>
    </w:rPr>
  </w:style>
  <w:style w:type="paragraph" w:styleId="7">
    <w:name w:val="Date"/>
    <w:basedOn w:val="1"/>
    <w:next w:val="1"/>
    <w:qFormat/>
    <w:uiPriority w:val="0"/>
    <w:pPr>
      <w:ind w:left="100" w:leftChars="2500"/>
    </w:pPr>
    <w:rPr>
      <w:rFonts w:ascii="仿宋_GB2312" w:hAnsi="宋体" w:eastAsia="仿宋_GB2312"/>
      <w:color w:val="000000"/>
      <w:sz w:val="24"/>
    </w:rPr>
  </w:style>
  <w:style w:type="paragraph" w:styleId="8">
    <w:name w:val="footer"/>
    <w:basedOn w:val="1"/>
    <w:unhideWhenUsed/>
    <w:qFormat/>
    <w:uiPriority w:val="0"/>
    <w:pPr>
      <w:tabs>
        <w:tab w:val="center" w:pos="4153"/>
        <w:tab w:val="right" w:pos="8306"/>
      </w:tabs>
      <w:snapToGrid w:val="0"/>
      <w:jc w:val="left"/>
    </w:pPr>
    <w:rPr>
      <w:sz w:val="18"/>
      <w:szCs w:val="18"/>
    </w:rPr>
  </w:style>
  <w:style w:type="table" w:styleId="10">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page number"/>
    <w:basedOn w:val="11"/>
    <w:qFormat/>
    <w:uiPriority w:val="0"/>
  </w:style>
  <w:style w:type="table" w:customStyle="1" w:styleId="13">
    <w:name w:val="Table Normal"/>
    <w:basedOn w:val="9"/>
    <w:qFormat/>
    <w:uiPriority w:val="0"/>
    <w:rPr>
      <w:rFonts w:ascii="Calibri" w:hAnsi="Calibri"/>
    </w:rPr>
    <w:tblPr>
      <w:tblCellMar>
        <w:left w:w="0" w:type="dxa"/>
        <w:right w:w="0" w:type="dxa"/>
      </w:tblCellMar>
    </w:tblPr>
  </w:style>
  <w:style w:type="paragraph" w:customStyle="1" w:styleId="14">
    <w:name w:val="Table Paragraph"/>
    <w:basedOn w:val="1"/>
    <w:qFormat/>
    <w:uiPriority w:val="1"/>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64</Pages>
  <Words>90</Words>
  <Characters>92</Characters>
  <Lines>0</Lines>
  <Paragraphs>0</Paragraphs>
  <TotalTime>29</TotalTime>
  <ScaleCrop>false</ScaleCrop>
  <LinksUpToDate>false</LinksUpToDate>
  <CharactersWithSpaces>92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2025-10-16T06:44:00Z</dcterms:created>
  <dc:creator>xjluo</dc:creator>
  <cp:lastModifiedBy>蒋发明</cp:lastModifiedBy>
  <dcterms:modified xsi:type="dcterms:W3CDTF">2026-09-24T01:10:13Z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B9203D93CDD84B079A24D434AAC00492_13</vt:lpwstr>
  </property>
  <property fmtid="{D5CDD505-2E9C-101B-9397-08002B2CF9AE}" pid="4" name="KSOTemplateDocerSaveRecord">
    <vt:lpwstr>eyJoZGlkIjoiZTlhZWY0NDdkN2ZkZmI4M2EzOWU3NmYxMjI3MjA5MTUiLCJ1c2VySWQiOiIyMzg2MzE0MTMifQ==</vt:lpwstr>
  </property>
</Properties>
</file>