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MOP基础网络代维平台</w:t>
      </w:r>
    </w:p>
    <w:p>
      <w:pPr>
        <w:pStyle w:val="Subtitle"/>
      </w:pPr>
      <w:r>
        <w:t>客户资料与业务规则答复清单</w:t>
      </w:r>
    </w:p>
    <w:p>
      <w:pPr>
        <w:keepNext w:val="0"/>
        <w:spacing w:after="140"/>
      </w:pPr>
      <w:r>
        <w:rPr>
          <w:b w:val="0"/>
          <w:sz w:val="18"/>
        </w:rPr>
        <w:t>更新日期 2026年10月8日</w:t>
      </w:r>
    </w:p>
    <w:p>
      <w:pPr>
        <w:keepNext w:val="0"/>
        <w:spacing w:after="100"/>
      </w:pPr>
      <w:r>
        <w:rPr>
          <w:b w:val="0"/>
          <w:sz w:val="20"/>
        </w:rPr>
        <w:t>请按优先级分批答复。已有材料可填附件名称或链接，暂缺项请注明预计提供时间。密码、密钥及账号凭据请单独安全交接，不填入本表。</w:t>
      </w:r>
    </w:p>
    <w:p>
      <w:pPr>
        <w:keepNext w:val="0"/>
        <w:spacing w:after="180"/>
      </w:pPr>
      <w:r>
        <w:rPr>
          <w:b w:val="0"/>
          <w:sz w:val="20"/>
        </w:rPr>
        <w:t>测试环境和平台账号已用于联调，一期工单按本平台管理推进，统一身份认证为可选接入。下列事项仍需提供或确认。</w:t>
      </w:r>
    </w:p>
    <w:p>
      <w:pPr>
        <w:pStyle w:val="Heading1"/>
      </w:pPr>
      <w:r>
        <w:t>第一优先级  请优先答复</w:t>
      </w:r>
    </w:p>
    <w:p>
      <w:pPr>
        <w:pStyle w:val="Heading2"/>
      </w:pPr>
      <w:r>
        <w:t>01  试点客户与人员权限</w:t>
      </w:r>
    </w:p>
    <w:p>
      <w:pPr>
        <w:keepNext/>
        <w:spacing w:after="100"/>
      </w:pPr>
      <w:r>
        <w:rPr>
          <w:b w:val="0"/>
        </w:rPr>
        <w:t>账号和角色功能已接入，下一步需要确定实际使用人员及其权限。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1）提供首批客户、站点、服务档位、设备配额，以及监控项数量和每秒采集量配额；注明客户管理员、报障人、技术联系人和决策人。每个客户至少指定一名决策人。</w:t>
      </w:r>
    </w:p>
    <w:p>
      <w:pPr>
        <w:keepNext w:val="0"/>
        <w:spacing w:after="100"/>
        <w:ind w:left="272" w:hanging="272"/>
      </w:pPr>
      <w:r>
        <w:rPr>
          <w:b w:val="0"/>
        </w:rPr>
        <w:t>2）列出服务经理、工程师、值班长、审批人和审计人员可访问的客户及设备范围；说明谁能分派工单、确认恢复、审批排除项、发布报告，以及替补和回避要求。</w:t>
      </w:r>
    </w:p>
    <w:p>
      <w:pPr>
        <w:keepNext/>
        <w:spacing w:after="140"/>
      </w:pPr>
      <w:r>
        <w:rPr>
          <w:b w:val="0"/>
          <w:sz w:val="20"/>
        </w:rPr>
        <w:t>可提供的材料：客户清单、联系人表、人员权限表。</w:t>
      </w:r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1_answer"/>
          <w:id w:val="100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1_answer_more"/>
          <w:id w:val="1001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1_attachment"/>
          <w:id w:val="100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1_pending"/>
          <w:id w:val="1003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02  试点设备台账与导入规则</w:t>
      </w:r>
    </w:p>
    <w:p>
      <w:pPr>
        <w:keepNext/>
        <w:spacing w:after="100"/>
      </w:pPr>
      <w:r>
        <w:rPr>
          <w:b w:val="0"/>
        </w:rPr>
        <w:t>标准模板和文件解析已有实现，正式导入仍需设备资料及字典规则。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1）提供首批设备台账，含名称、类型、IP或域名、品牌、型号、序列号、站点、位置、负责人、所属业务、采购日期、维保到期日、超期服役日期、采集方式和备注。固件版本、维保供应商及起始日可另附。</w:t>
      </w:r>
    </w:p>
    <w:p>
      <w:pPr>
        <w:keepNext w:val="0"/>
        <w:spacing w:after="100"/>
        <w:ind w:left="272" w:hanging="272"/>
      </w:pPr>
      <w:r>
        <w:rPr>
          <w:b w:val="0"/>
        </w:rPr>
        <w:t>2）确认设备类型、采集方式和日期格式；说明同一IP按客户、站点还是全平台判重，以及重复私网地址如何区分。另附业务依赖、核心节点、关键端口、对端设备和受影响终端资料。</w:t>
      </w:r>
    </w:p>
    <w:p>
      <w:pPr>
        <w:keepNext/>
        <w:spacing w:after="140"/>
      </w:pPr>
      <w:r>
        <w:rPr>
          <w:b w:val="0"/>
          <w:sz w:val="20"/>
        </w:rPr>
        <w:t>可提供的材料：Excel或CSV台账，已有拓扑图可一并提供。</w:t>
      </w:r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2_answer"/>
          <w:id w:val="100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2_answer_more"/>
          <w:id w:val="1005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2_attachment"/>
          <w:id w:val="100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36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2_pending"/>
          <w:id w:val="1007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第一优先级  请优先答复</w:t>
      </w:r>
    </w:p>
    <w:p>
      <w:pPr>
        <w:pStyle w:val="Heading2"/>
      </w:pPr>
      <w:r>
        <w:t>03  监控接入环境与真实样例</w:t>
      </w:r>
    </w:p>
    <w:p>
      <w:pPr>
        <w:keepNext/>
        <w:spacing w:after="100"/>
      </w:pPr>
      <w:r>
        <w:rPr>
          <w:b w:val="0"/>
        </w:rPr>
        <w:t>监控数据处理已有基础实现，接入真实设备仍需以下资料。</w:t>
      </w:r>
    </w:p>
    <w:p>
      <w:pPr>
        <w:keepNext w:val="0"/>
        <w:spacing w:after="100"/>
        <w:ind w:left="272" w:hanging="272"/>
      </w:pPr>
      <w:r>
        <w:rPr>
          <w:b w:val="0"/>
        </w:rPr>
        <w:t>1）说明现有监控系统、版本、部署位置和接口负责人；提供测试地址、调用权限、来源认证或签名说明、采集端和探针部署条件。尚无监控系统的，请说明可用资源及选型安排。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2）提供监控资源池、主机ID、监控项ID与客户设备的对应表，以及故障、恢复、重复通知的脱敏样例。按首批品牌、型号和固件提供OID、单位、精度及代表设备的测试窗口。</w:t>
      </w:r>
    </w:p>
    <w:p>
      <w:pPr>
        <w:keepNext/>
        <w:spacing w:after="140"/>
      </w:pPr>
      <w:r>
        <w:rPr>
          <w:b w:val="0"/>
          <w:sz w:val="20"/>
        </w:rPr>
        <w:t>可提供的材料：接口文档、对象对应表、脱敏报文、设备采集资料。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3_answer"/>
          <w:id w:val="100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3_answer_more"/>
          <w:id w:val="1009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3_attachment"/>
          <w:id w:val="101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3_pending"/>
          <w:id w:val="1011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04  告警阈值与恢复复核</w:t>
      </w:r>
    </w:p>
    <w:p>
      <w:pPr>
        <w:keepNext/>
        <w:spacing w:after="100"/>
      </w:pPr>
      <w:r>
        <w:rPr>
          <w:b w:val="0"/>
        </w:rPr>
        <w:t>请按设备类型和指标给出适用规则，优先解决现有条款中的数值冲突。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1）确认CPU的70%/85%与80%/90%、温度的50/55℃与55/65℃分别适用于哪些设备；说明丢包20%持续5分钟与2%/10%的适用范围，并澄清“丢包恢复&gt;15%”的判断方向。</w:t>
      </w:r>
    </w:p>
    <w:p>
      <w:pPr>
        <w:keepNext w:val="0"/>
        <w:spacing w:after="100"/>
        <w:ind w:left="272" w:hanging="272"/>
      </w:pPr>
      <w:r>
        <w:rPr>
          <w:b w:val="0"/>
        </w:rPr>
        <w:t>2）补充持续时间、恢复阈值，以及缓存命中率、Web可用率、证书剩余天数的告警方向。确认采样频率和失联检测方式；说明监控恢复后的“待复核”如何显示、由谁复核、再次故障时如何处理。</w:t>
      </w:r>
    </w:p>
    <w:p>
      <w:pPr>
        <w:keepNext/>
        <w:spacing w:after="140"/>
      </w:pPr>
      <w:r>
        <w:rPr>
          <w:b w:val="0"/>
          <w:sz w:val="20"/>
        </w:rPr>
        <w:t>可提供的材料：阈值表，每行写明设备类型、指标、单位、触发和恢复条件。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4_answer"/>
          <w:id w:val="101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4_answer_more"/>
          <w:id w:val="1013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4_attachment"/>
          <w:id w:val="101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4_pending"/>
          <w:id w:val="1015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第一优先级  请优先答复</w:t>
      </w:r>
    </w:p>
    <w:p>
      <w:pPr>
        <w:pStyle w:val="Heading2"/>
      </w:pPr>
      <w:r>
        <w:t>05  服务日历与SLA计时</w:t>
      </w:r>
    </w:p>
    <w:p>
      <w:pPr>
        <w:keepNext/>
        <w:spacing w:after="100"/>
      </w:pPr>
      <w:r>
        <w:rPr>
          <w:b w:val="0"/>
        </w:rPr>
        <w:t>日历草稿和时限对照已有实现，正式时限需要客户的日历及计时口径。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1）提供各客户工作日、服务时段、节假日、补班安排及日历维护人；确认基础档按工作时间计时与服务可用率统计时段的区别。</w:t>
      </w:r>
    </w:p>
    <w:p>
      <w:pPr>
        <w:keepNext w:val="0"/>
        <w:spacing w:after="100"/>
        <w:ind w:left="272" w:hanging="272"/>
      </w:pPr>
      <w:r>
        <w:rPr>
          <w:b w:val="0"/>
        </w:rPr>
        <w:t>2）说明基础档和标准档P3“次日”指下一自然日还是工作日、几点截止；确认等待客户、维护窗口、恢复后再次故障和重开工单是否停钟、何时续计。合同已明确的响应及恢复时限无需重新填写。</w:t>
      </w:r>
    </w:p>
    <w:p>
      <w:pPr>
        <w:keepNext/>
        <w:spacing w:after="140"/>
      </w:pPr>
      <w:r>
        <w:rPr>
          <w:b w:val="0"/>
          <w:sz w:val="20"/>
        </w:rPr>
        <w:t>可提供的材料：工作日历，另附跨夜、节假日或重开工单的计时例子。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5_answer"/>
          <w:id w:val="101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5_answer_more"/>
          <w:id w:val="1017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5_attachment"/>
          <w:id w:val="101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5_pending"/>
          <w:id w:val="1019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06  工单处理与客户确认流程</w:t>
      </w:r>
    </w:p>
    <w:p>
      <w:pPr>
        <w:keepNext/>
        <w:spacing w:after="100"/>
      </w:pPr>
      <w:r>
        <w:rPr>
          <w:b w:val="0"/>
        </w:rPr>
        <w:t>一期按本平台工单管理推进；外部ITSM资料仅在确需对接时补充。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1）确认接单、分派、处理中、解决、待客户确认、关闭和重开的流转条件；注明每一步由谁操作，工程师提交解决后客户如何确认，以及超期未确认的处理方式。</w:t>
      </w:r>
    </w:p>
    <w:p>
      <w:pPr>
        <w:keepNext w:val="0"/>
        <w:spacing w:after="100"/>
        <w:ind w:left="272" w:hanging="272"/>
      </w:pPr>
      <w:r>
        <w:rPr>
          <w:b w:val="0"/>
        </w:rPr>
        <w:t>2）说明客户报障、人工登记与监控事件如何关联；确认事件关闭与工单关闭的校验关系。若需接入外部ITSM，再提供产品、接口及状态映射，并明确哪一方作为最终状态依据。</w:t>
      </w:r>
    </w:p>
    <w:p>
      <w:pPr>
        <w:keepNext/>
        <w:spacing w:after="140"/>
      </w:pPr>
      <w:r>
        <w:rPr>
          <w:b w:val="0"/>
          <w:sz w:val="20"/>
        </w:rPr>
        <w:t>可提供的材料：流程图或现行制度，附典型工单处理记录。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6_answer"/>
          <w:id w:val="102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6_answer_more"/>
          <w:id w:val="1021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6_attachment"/>
          <w:id w:val="102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6_pending"/>
          <w:id w:val="1023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第一优先级  请优先答复</w:t>
      </w:r>
    </w:p>
    <w:p>
      <w:pPr>
        <w:pStyle w:val="Heading2"/>
      </w:pPr>
      <w:r>
        <w:t>07  阿里云OSS与文件安全接入</w:t>
      </w:r>
    </w:p>
    <w:p>
      <w:pPr>
        <w:keepNext/>
        <w:spacing w:after="100"/>
      </w:pPr>
      <w:r>
        <w:rPr>
          <w:b w:val="0"/>
        </w:rPr>
        <w:t>对象存储已按阿里云OSS方向开发，真实接入权限及文件安全策略仍待补齐。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1）提供北京地域OSS的桶、访问地址、本项目目录范围、受限权限和网络访问条件；通过安全渠道交接受控凭据。注明哪些人员负责权限配置和接入配合。</w:t>
      </w:r>
    </w:p>
    <w:p>
      <w:pPr>
        <w:keepNext w:val="0"/>
        <w:spacing w:after="100"/>
        <w:ind w:left="272" w:hanging="272"/>
      </w:pPr>
      <w:r>
        <w:rPr>
          <w:b w:val="0"/>
        </w:rPr>
        <w:t>2）确认报障图片之外允许上传的文件类型、大小和总量，以及扫描服务、异常文件隔离和下载权限。</w:t>
      </w:r>
    </w:p>
    <w:p>
      <w:pPr>
        <w:keepNext/>
        <w:spacing w:after="140"/>
      </w:pPr>
      <w:r>
        <w:rPr>
          <w:b w:val="0"/>
          <w:sz w:val="20"/>
        </w:rPr>
        <w:t>可提供的材料：存储配置说明、权限范围、文件类型及扫描策略表。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7_answer"/>
          <w:id w:val="102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7_answer_more"/>
          <w:id w:val="1025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7_attachment"/>
          <w:id w:val="102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7_pending"/>
          <w:id w:val="1027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08  生产数据库与软件选型</w:t>
      </w:r>
    </w:p>
    <w:p>
      <w:pPr>
        <w:keepNext/>
        <w:spacing w:after="100"/>
      </w:pPr>
      <w:r>
        <w:rPr>
          <w:b w:val="0"/>
        </w:rPr>
        <w:t>当前测试使用PostgreSQL，生产数据库和软件使用范围仍需明确。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1）确认合同中的MySQL要求是业务主库的强制选型，还是兼容要求；明确生产采用的数据库及租户隔离方案，并确定数据库层行级隔离的验收方式。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2）提供已有软件产品、版本、许可和技术限制。开发方据此提交组件及开源许可清单，请确认可用于正式交付的产品、版本、部署方式和交付要求。</w:t>
      </w:r>
    </w:p>
    <w:p>
      <w:pPr>
        <w:keepNext/>
        <w:spacing w:after="140"/>
      </w:pPr>
      <w:r>
        <w:rPr>
          <w:b w:val="0"/>
          <w:sz w:val="20"/>
        </w:rPr>
        <w:t>可提供的材料：技术规范、已有软件清单及数据库方案答复。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8_answer"/>
          <w:id w:val="102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8_answer_more"/>
          <w:id w:val="1029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8_attachment"/>
          <w:id w:val="103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8_pending"/>
          <w:id w:val="1031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第二优先级  对应功能联调前提供</w:t>
      </w:r>
    </w:p>
    <w:p>
      <w:pPr>
        <w:keepNext w:val="0"/>
        <w:spacing w:after="80"/>
      </w:pPr>
      <w:r>
        <w:rPr>
          <w:b w:val="0"/>
          <w:sz w:val="20"/>
        </w:rPr>
        <w:t>可按模块分别答复，其中远程处置路线需在该模块排期前明确。</w:t>
      </w:r>
    </w:p>
    <w:p>
      <w:pPr>
        <w:pStyle w:val="Heading2"/>
      </w:pPr>
      <w:r>
        <w:t>09  远程处置路线与设备授权</w:t>
      </w:r>
    </w:p>
    <w:p>
      <w:pPr>
        <w:keepNext/>
        <w:spacing w:after="100"/>
      </w:pPr>
      <w:r>
        <w:rPr>
          <w:b w:val="0"/>
        </w:rPr>
        <w:t>请先明确交互式远程会话的技术路线，再安排该模块实施。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1）提供堡垒机产品、版本、许可和接口，说明会话创建、只读或读写限制、录屏、命令日志、检索及强制断开的能力；列出可联调设备和授权范围。</w:t>
      </w:r>
    </w:p>
    <w:p>
      <w:pPr>
        <w:keepNext w:val="0"/>
        <w:spacing w:after="100"/>
        <w:ind w:left="272" w:hanging="272"/>
      </w:pPr>
      <w:r>
        <w:rPr>
          <w:b w:val="0"/>
        </w:rPr>
        <w:t>2）确认只读是否免审批、读写双人审批岗位与替补、空闲超时、延期条件及高危命令确认人；说明录屏调阅权限。可选自动化脚本如需纳入本期，请另列范围，供评估报价和排期。</w:t>
      </w:r>
    </w:p>
    <w:p>
      <w:pPr>
        <w:keepNext/>
        <w:spacing w:after="140"/>
      </w:pPr>
      <w:r>
        <w:rPr>
          <w:b w:val="0"/>
          <w:sz w:val="20"/>
        </w:rPr>
        <w:t>可提供的材料：现有远程方案、接口文档、设备授权表和审批流程。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09_answer"/>
          <w:id w:val="103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09_answer_more"/>
          <w:id w:val="1033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09_attachment"/>
          <w:id w:val="103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09_pending"/>
          <w:id w:val="1035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10  CMDB资产同步资料</w:t>
      </w:r>
    </w:p>
    <w:p>
      <w:pPr>
        <w:keepNext/>
        <w:spacing w:after="100"/>
      </w:pPr>
      <w:r>
        <w:rPr>
          <w:b w:val="0"/>
        </w:rPr>
        <w:t>请说明现有CMDB情况；尚未具备接口的，填写当前安排即可。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1）提供产品版本、测试接口、调用权限、资产唯一ID、客户与站点映射，以及设备、业务服务和依赖关系的脱敏响应。</w:t>
      </w:r>
    </w:p>
    <w:p>
      <w:pPr>
        <w:keepNext w:val="0"/>
        <w:spacing w:after="100"/>
        <w:ind w:left="272" w:hanging="272"/>
      </w:pPr>
      <w:r>
        <w:rPr>
          <w:b w:val="0"/>
        </w:rPr>
        <w:t>2）说明分页、增量标记、同步频率和删除或退役标记；确认空值是否覆盖已有资料、人工补录字段如何保留，以及冲突字段的处理方式。</w:t>
      </w:r>
    </w:p>
    <w:p>
      <w:pPr>
        <w:keepNext/>
        <w:spacing w:after="140"/>
      </w:pPr>
      <w:r>
        <w:rPr>
          <w:b w:val="0"/>
          <w:sz w:val="20"/>
        </w:rPr>
        <w:t>可提供的材料：接口文档、字段对应表及一组完整样例。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0_answer"/>
          <w:id w:val="103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0_answer_more"/>
          <w:id w:val="1037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0_attachment"/>
          <w:id w:val="103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0_pending"/>
          <w:id w:val="1039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第二优先级  对应功能联调前提供</w:t>
      </w:r>
    </w:p>
    <w:p>
      <w:pPr>
        <w:pStyle w:val="Heading2"/>
      </w:pPr>
      <w:r>
        <w:t>11  企业微信与通知通道资料</w:t>
      </w:r>
    </w:p>
    <w:p>
      <w:pPr>
        <w:keepNext/>
        <w:spacing w:after="100"/>
      </w:pPr>
      <w:r>
        <w:rPr>
          <w:b w:val="0"/>
        </w:rPr>
        <w:t>请分别说明企业微信、邮件、短信、钉钉机器人、Webhook和电话语音的使用现状。</w:t>
      </w:r>
    </w:p>
    <w:p>
      <w:pPr>
        <w:keepNext w:val="0"/>
        <w:spacing w:after="100"/>
        <w:ind w:left="272" w:hanging="272"/>
      </w:pPr>
      <w:r>
        <w:rPr>
          <w:b w:val="0"/>
        </w:rPr>
        <w:t>1）企业微信提供CorpID、AgentID、应用负责人、可见范围、测试成员及userid对应关系，配合可信域名和回调配置；客户门户按企业微信H5接入。</w:t>
      </w:r>
    </w:p>
    <w:p>
      <w:pPr>
        <w:keepNext w:val="0"/>
        <w:spacing w:after="100"/>
        <w:ind w:left="272" w:hanging="272"/>
      </w:pPr>
      <w:r>
        <w:rPr>
          <w:b w:val="0"/>
        </w:rPr>
        <w:t>2）各通知通道提供供应商、测试接口、接收人、签名模板、回执说明、限流和额度。电话语音需确认并发规格、单价及采购安排；该通道资源费用按合同由客户承担。凭据另行安全交接。</w:t>
      </w:r>
    </w:p>
    <w:p>
      <w:pPr>
        <w:keepNext/>
        <w:spacing w:after="140"/>
      </w:pPr>
      <w:r>
        <w:rPr>
          <w:b w:val="0"/>
          <w:sz w:val="20"/>
        </w:rPr>
        <w:t>可提供的材料：通道清单、接口文档、测试接收人及回执样例。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1_answer"/>
          <w:id w:val="104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1_answer_more"/>
          <w:id w:val="1041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1_attachment"/>
          <w:id w:val="104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1_pending"/>
          <w:id w:val="1043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12  通知规则与值班升级</w:t>
      </w:r>
    </w:p>
    <w:p>
      <w:pPr>
        <w:keepNext/>
        <w:spacing w:after="100"/>
      </w:pPr>
      <w:r>
        <w:rPr>
          <w:b w:val="0"/>
        </w:rPr>
        <w:t>通道可用后，仍需明确哪些事件通知谁、何时通知和如何升级。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1）提供六类事件严重级到工单P1至P4的对应表；确认事件通知规则与工单通知规则同时命中时如何合并，以及未分类事件、个人静音、渠道偏好与决策人通知要求冲突时的处理。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2）提供值班表、二线和服务经理升级顺序、无人值守兜底人员；明确各档位升级时限、电话未接判定和两次呼叫间隔，以及升级通知与SLA提醒同时触发时如何去重。</w:t>
      </w:r>
    </w:p>
    <w:p>
      <w:pPr>
        <w:keepNext/>
        <w:spacing w:after="140"/>
      </w:pPr>
      <w:r>
        <w:rPr>
          <w:b w:val="0"/>
          <w:sz w:val="20"/>
        </w:rPr>
        <w:t>可提供的材料：通知矩阵、值班表和升级规则表。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2_answer"/>
          <w:id w:val="104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2_answer_more"/>
          <w:id w:val="1045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2_attachment"/>
          <w:id w:val="104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2_pending"/>
          <w:id w:val="1047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第二优先级  对应功能联调前提供</w:t>
      </w:r>
    </w:p>
    <w:p>
      <w:pPr>
        <w:pStyle w:val="Heading2"/>
      </w:pPr>
      <w:r>
        <w:t>13  配置备份与变更报备</w:t>
      </w:r>
    </w:p>
    <w:p>
      <w:pPr>
        <w:keepNext/>
        <w:spacing w:after="100"/>
      </w:pPr>
      <w:r>
        <w:rPr>
          <w:b w:val="0"/>
        </w:rPr>
        <w:t>备份计划和报备已有草稿能力，设备实际采集仍需授权与执行规则。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1）提供备份设备、厂商只读命令、SSH或提权授权、配置脱敏及动态噪声过滤规则；确认计划备份与每6小时差异采集是否共用存档。</w:t>
      </w:r>
    </w:p>
    <w:p>
      <w:pPr>
        <w:keepNext w:val="0"/>
        <w:spacing w:after="100"/>
        <w:ind w:left="272" w:hanging="272"/>
      </w:pPr>
      <w:r>
        <w:rPr>
          <w:b w:val="0"/>
        </w:rPr>
        <w:t>2）明确“连续两次失败”按单次尝试还是完整任务计算、成功后如何重置；说明变更审批范围、时间容差、紧急补报、多设备部分失败的处理，以及恢复演练设备、执行人和测试窗口。</w:t>
      </w:r>
    </w:p>
    <w:p>
      <w:pPr>
        <w:keepNext/>
        <w:spacing w:after="140"/>
      </w:pPr>
      <w:r>
        <w:rPr>
          <w:b w:val="0"/>
          <w:sz w:val="20"/>
        </w:rPr>
        <w:t>可提供的材料：备份清单、命令样例、脱敏配置和报备流程。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3_answer"/>
          <w:id w:val="104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3_answer_more"/>
          <w:id w:val="1049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3_attachment"/>
          <w:id w:val="105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3_pending"/>
          <w:id w:val="1051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14  巡检模板与客户报告</w:t>
      </w:r>
    </w:p>
    <w:p>
      <w:pPr>
        <w:keepNext/>
        <w:spacing w:after="100"/>
      </w:pPr>
      <w:r>
        <w:rPr>
          <w:b w:val="0"/>
        </w:rPr>
        <w:t>巡检模板、人工执行单和报告来源记录已有实现，正式报告内容及发布规则需确认。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1）提供巡检项目、检查方法、判断标准、所需附件和异常处理要求；如需体检评分，补充五个维度的权重、扣分项和风险等级。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2）提供月报、季度报告样例和品牌样式；确认客户可见字段、门户文案、审核人、生成时刻及数据截止时间。说明退回重生成、旧版本查看和迟到数据补入的规则。</w:t>
      </w:r>
    </w:p>
    <w:p>
      <w:pPr>
        <w:keepNext/>
        <w:spacing w:after="140"/>
      </w:pPr>
      <w:r>
        <w:rPr>
          <w:b w:val="0"/>
          <w:sz w:val="20"/>
        </w:rPr>
        <w:t>可提供的材料：现有巡检表、报告样例、评分表及文案修改意见。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4_answer"/>
          <w:id w:val="105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4_answer_more"/>
          <w:id w:val="1053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4_attachment"/>
          <w:id w:val="105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4_pending"/>
          <w:id w:val="1055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第二优先级  对应功能联调前提供</w:t>
      </w:r>
    </w:p>
    <w:p>
      <w:pPr>
        <w:pStyle w:val="Heading2"/>
      </w:pPr>
      <w:r>
        <w:t>15  可用率统计与SLA补偿</w:t>
      </w:r>
    </w:p>
    <w:p>
      <w:pPr>
        <w:keepNext/>
        <w:spacing w:after="100"/>
      </w:pPr>
      <w:r>
        <w:rPr>
          <w:b w:val="0"/>
        </w:rPr>
        <w:t>正式统计和补偿金额需要统一口径，缺少数据的区间不能直接算作正常。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1）确认未知区间是否计入统计分母、样本量和覆盖率达到多少才可判定；说明多个探测点结果不一致、服务依赖重叠时如何汇总。分别明确监控恢复时长、工单解决时长及重开时长的统计归属。</w:t>
      </w:r>
    </w:p>
    <w:p>
      <w:pPr>
        <w:keepNext w:val="0"/>
        <w:spacing w:after="100"/>
        <w:ind w:left="272" w:hanging="272"/>
      </w:pPr>
      <w:r>
        <w:rPr>
          <w:b w:val="0"/>
        </w:rPr>
        <w:t>2）确认补偿按“月费×比例”还是“月费×比例×未达成率”计算，补充上限、税费、币种、舍入、跨档变更和无适用工单时的处理；注明维护排除项及对账的审批岗位。</w:t>
      </w:r>
    </w:p>
    <w:p>
      <w:pPr>
        <w:keepNext/>
        <w:spacing w:after="140"/>
      </w:pPr>
      <w:r>
        <w:rPr>
          <w:b w:val="0"/>
          <w:sz w:val="20"/>
        </w:rPr>
        <w:t>可提供的材料：统计口径表，附一份可核对的月度计算例子。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5_answer"/>
          <w:id w:val="105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5_answer_more"/>
          <w:id w:val="1057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5_attachment"/>
          <w:id w:val="105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5_pending"/>
          <w:id w:val="1059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16  经营数据与容量测算</w:t>
      </w:r>
    </w:p>
    <w:p>
      <w:pPr>
        <w:keepNext/>
        <w:spacing w:after="100"/>
      </w:pPr>
      <w:r>
        <w:rPr>
          <w:b w:val="0"/>
        </w:rPr>
        <w:t>工时记录和容量对照已有实现，经营结论及资源建议需要真实基础数据。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1）提供客户月费、计费周期、人力单价、系统分摊、交通成本、缺工时处理办法，以及全职等效人力FTE的折算规则；说明工资参考值和套餐参考价的来源及更新时间。</w:t>
      </w:r>
    </w:p>
    <w:p>
      <w:pPr>
        <w:keepNext w:val="0"/>
        <w:spacing w:after="100"/>
        <w:ind w:left="272" w:hanging="272"/>
      </w:pPr>
      <w:r>
        <w:rPr>
          <w:b w:val="0"/>
        </w:rPr>
        <w:t>2）明确服务覆盖率、活跃客户和租户计量表字段；提供当前及预计增长的设备数、监控项数、采样频率、保留期和实测容量。确认采集端最长断网时长、缓冲余量及资源池评审条件；技术测量项由开发方测算后提交核对。</w:t>
      </w:r>
    </w:p>
    <w:p>
      <w:pPr>
        <w:keepNext/>
        <w:spacing w:after="140"/>
      </w:pPr>
      <w:r>
        <w:rPr>
          <w:b w:val="0"/>
          <w:sz w:val="20"/>
        </w:rPr>
        <w:t>可提供的材料：费用及工时规则表、业务规模数据；缺项请注明。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6_answer"/>
          <w:id w:val="106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6_answer_more"/>
          <w:id w:val="1061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6_attachment"/>
          <w:id w:val="106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6_pending"/>
          <w:id w:val="1063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第三优先级  上线和正式验收前确认</w:t>
      </w:r>
    </w:p>
    <w:p>
      <w:pPr>
        <w:keepNext w:val="0"/>
        <w:spacing w:after="80"/>
      </w:pPr>
      <w:r>
        <w:rPr>
          <w:b w:val="0"/>
          <w:sz w:val="20"/>
        </w:rPr>
        <w:t>可先提供现有规范，具体日期随双方确认的实施计划落实。</w:t>
      </w:r>
    </w:p>
    <w:p>
      <w:pPr>
        <w:pStyle w:val="Heading2"/>
      </w:pPr>
      <w:r>
        <w:t>17  生产资源与网络条件</w:t>
      </w:r>
    </w:p>
    <w:p>
      <w:pPr>
        <w:keepNext/>
        <w:spacing w:after="100"/>
      </w:pPr>
      <w:r>
        <w:rPr>
          <w:b w:val="0"/>
        </w:rPr>
        <w:t>既有测试环境继续复用，此项主要补充生产部署与站点接入条件。</w:t>
      </w:r>
    </w:p>
    <w:p>
      <w:pPr>
        <w:keepNext w:val="0"/>
        <w:spacing w:after="100"/>
        <w:ind w:left="272" w:hanging="272"/>
      </w:pPr>
      <w:r>
        <w:rPr>
          <w:b w:val="0"/>
        </w:rPr>
        <w:t>1）提供生产主机、磁盘、对象存储、备份与灾备资源，注明资源负责人、访问授权、部署审批和变更窗口；资源规格由开发方结合规模测算后提出。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2）提供站点网络拓扑、网段、路由、VPN或堡垒机接入方式、代理限制及按实际链路开放端口的条件；明确域名、DNS、HTTPS证书和回调地址负责人，并安排断网、恢复演练窗口。</w:t>
      </w:r>
    </w:p>
    <w:p>
      <w:pPr>
        <w:keepNext/>
        <w:spacing w:after="140"/>
      </w:pPr>
      <w:r>
        <w:rPr>
          <w:b w:val="0"/>
          <w:sz w:val="20"/>
        </w:rPr>
        <w:t>可提供的材料：生产资源表、网络拓扑和接入说明。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7_answer"/>
          <w:id w:val="106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7_answer_more"/>
          <w:id w:val="1065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7_attachment"/>
          <w:id w:val="106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7_pending"/>
          <w:id w:val="1067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18  安全策略与数据保留</w:t>
      </w:r>
    </w:p>
    <w:p>
      <w:pPr>
        <w:keepNext/>
        <w:spacing w:after="100"/>
      </w:pPr>
      <w:r>
        <w:rPr>
          <w:b w:val="0"/>
        </w:rPr>
        <w:t>开发阶段未启用建议的密码策略数值；生产策略需按客户要求单独确定。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1）确认密码长度、复杂度、有效期、历史、失败锁定、后台会话及多因素认证要求，明确管理员恢复方式。仅在需要统一登录时，补充OIDC平台、用户唯一标识和账号绑定规则。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密钥管理及轮换要求，明确监控明细与趋势、录屏总期、附件和合同结束后的资料保留、导出及清理规则。审计至少3年、设备备份至少12个月、录屏热存6个月等合同已明确下限继续保留，并确定清理审批岗位。</w:t>
      </w:r>
    </w:p>
    <w:p>
      <w:pPr>
        <w:keepNext/>
        <w:spacing w:after="140"/>
      </w:pPr>
      <w:r>
        <w:rPr>
          <w:b w:val="0"/>
          <w:sz w:val="20"/>
        </w:rPr>
        <w:t>可提供的材料：安全规范、各类数据保留表及账号策略答复。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8_answer"/>
          <w:id w:val="106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8_answer_more"/>
          <w:id w:val="1069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8_attachment"/>
          <w:id w:val="1070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8_pending"/>
          <w:id w:val="1071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第三优先级  上线和正式验收前确认</w:t>
      </w:r>
    </w:p>
    <w:p>
      <w:pPr>
        <w:pStyle w:val="Heading2"/>
      </w:pPr>
      <w:r>
        <w:t>19  可靠性指标与验收条件</w:t>
      </w:r>
    </w:p>
    <w:p>
      <w:pPr>
        <w:keepNext/>
        <w:spacing w:after="100"/>
      </w:pPr>
      <w:r>
        <w:rPr>
          <w:b w:val="0"/>
        </w:rPr>
        <w:t>请明确测量对象和测试条件，便于按同一标准组织验收。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1）确认99.99%、99.9%和99.5%各自适用的对象、阶段、统计窗口及维护排除条件；明确“不丢数据”和RPO≤15分钟分别覆盖哪些数据，灾备恢复如何验证。</w:t>
      </w:r>
    </w:p>
    <w:p>
      <w:pPr>
        <w:keepNext w:val="0"/>
        <w:spacing w:after="100"/>
        <w:ind w:left="272" w:hanging="272"/>
      </w:pPr>
      <w:r>
        <w:rPr>
          <w:b w:val="0"/>
        </w:rPr>
        <w:t>2）提供验收客户、设备、数据规模、并发场景、浏览器和移动设备清单及误报判定样例，安排故障演练。合同规定的并发、P99、12,500 NVPS持续24小时及2倍峰值30分钟等指标继续作为测试要求。</w:t>
      </w:r>
    </w:p>
    <w:p>
      <w:pPr>
        <w:keepNext/>
        <w:spacing w:after="140"/>
      </w:pPr>
      <w:r>
        <w:rPr>
          <w:b w:val="0"/>
          <w:sz w:val="20"/>
        </w:rPr>
        <w:t>可提供的材料：验收场景及样例清单、可用测试资源和窗口。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19_answer"/>
          <w:id w:val="1072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19_answer_more"/>
          <w:id w:val="1073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19_attachment"/>
          <w:id w:val="1074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19_pending"/>
          <w:id w:val="1075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p>
      <w:pPr>
        <w:pStyle w:val="Heading2"/>
      </w:pPr>
      <w:r>
        <w:t>20  界面范围与交付安排</w:t>
      </w:r>
    </w:p>
    <w:p>
      <w:pPr>
        <w:keepNext/>
        <w:spacing w:after="100"/>
      </w:pPr>
      <w:r>
        <w:rPr>
          <w:b w:val="0"/>
        </w:rPr>
        <w:t>请集中反馈界面和交付范围意见，避免将演示内容直接当成业务规则。</w:t>
      </w:r>
    </w:p>
    <w:p>
      <w:pPr>
        <w:keepNext w:val="0"/>
        <w:spacing w:after="100"/>
        <w:ind w:left="272" w:hanging="272"/>
      </w:pPr>
      <w:r>
        <w:rPr>
          <w:b w:val="0"/>
        </w:rPr>
        <w:t>1）确认原型中保留的布局、字段和客户文案；说明资产固定列之外的资料如何展示、导入步骤和结果页如何划分、导出列是否需要调整。飞书、独立拓扑编辑器、知识库及知识AI等扩展请单列需求。</w:t>
      </w:r>
    </w:p>
    <w:p>
      <w:pPr>
        <w:keepNext w:val="0"/>
        <w:spacing w:after="100"/>
        <w:ind w:left="272" w:hanging="272"/>
      </w:pPr>
      <w:r>
        <w:rPr>
          <w:b w:val="0"/>
        </w:rPr>
        <w:t>2）明确年度复盘交付阶段、128项需求的验收优先级、上线和30天试运行的起算节点，并安排验收对接人员、培训对象及时间。涉及范围或进度变化的事项另按约定流程处理。</w:t>
      </w:r>
    </w:p>
    <w:p>
      <w:pPr>
        <w:keepNext/>
        <w:spacing w:after="140"/>
      </w:pPr>
      <w:r>
        <w:rPr>
          <w:b w:val="0"/>
          <w:sz w:val="20"/>
        </w:rPr>
        <w:t>可提供的材料：原型批注、范围清单及交付安排答复。</w:t>
      </w:r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客户答复：</w:t>
      </w:r>
      <w:sdt>
        <w:sdtPr>
          <w:alias w:val="客户答复"/>
          <w:tag w:val="20_answer"/>
          <w:id w:val="1076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</w:r>
      <w:sdt>
        <w:sdtPr>
          <w:alias w:val="客户答复续行"/>
          <w:tag w:val="20_answer_more"/>
          <w:id w:val="1077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keepNext/>
        <w:pBdr>
          <w:bottom w:val="single" w:sz="3" w:space="1" w:color="D9D9D9"/>
        </w:pBdr>
      </w:pPr>
      <w:r>
        <w:rPr>
          <w:sz w:val="20"/>
        </w:rPr>
        <w:t>附件名称或链接：</w:t>
      </w:r>
      <w:sdt>
        <w:sdtPr>
          <w:alias w:val="附件名称或链接"/>
          <w:tag w:val="20_attachment"/>
          <w:id w:val="1078"/>
          <w:text w:multiLine="1"/>
        </w:sdtPr>
        <w:sdtContent>
          <w:r>
            <w:rPr>
              <w:rFonts w:eastAsia="宋体"/>
            </w:rPr>
            <w:t xml:space="preserve">　　　　　　　　　　　　　　　　　　　　　　</w:t>
          </w:r>
        </w:sdtContent>
      </w:sdt>
    </w:p>
    <w:p>
      <w:pPr>
        <w:spacing w:before="0" w:after="0" w:line="480" w:lineRule="exact"/>
        <w:snapToGrid w:val="0"/>
        <w:pBdr>
          <w:bottom w:val="single" w:sz="3" w:space="1" w:color="D9D9D9"/>
        </w:pBdr>
      </w:pPr>
      <w:r>
        <w:rPr>
          <w:sz w:val="20"/>
        </w:rPr>
        <w:t>暂缺内容及预计提供时间：</w:t>
      </w:r>
      <w:sdt>
        <w:sdtPr>
          <w:alias w:val="暂缺内容及预计提供时间"/>
          <w:tag w:val="20_pending"/>
          <w:id w:val="1079"/>
          <w:text w:multiLine="1"/>
        </w:sdtPr>
        <w:sdtContent>
          <w:r>
            <w:rPr>
              <w:rFonts w:eastAsia="宋体"/>
            </w:rPr>
            <w:t xml:space="preserve">　　　　　　　　　　　　　　　　　　</w:t>
          </w:r>
        </w:sdtContent>
      </w:sdt>
    </w:p>
    <w:p>
      <w:pPr>
        <w:keepNext w:val="0"/>
        <w:spacing w:after="60" w:line="60" w:lineRule="exact"/>
      </w:pPr>
      <w:r>
        <w:rPr>
          <w:b w:val="0"/>
        </w:rPr>
      </w:r>
    </w:p>
    <w:sectPr w:rsidR="00FC693F" w:rsidRPr="0006063C" w:rsidSect="00034616">
      <w:footerReference w:type="default" r:id="rId9"/>
      <w:pgSz w:w="11906" w:h="16838"/>
      <w:pgMar w:top="1020" w:right="1191" w:bottom="964" w:left="1191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after="100" w:before="0" w:line="288" w:lineRule="auto"/>
    </w:pPr>
    <w:rPr>
      <w:rFonts w:ascii="宋体" w:hAnsi="宋体" w:eastAsia="宋体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88" w:lineRule="auto"/>
      <w:outlineLvl w:val="0"/>
      <w:snapToGrid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8" w:lineRule="auto"/>
      <w:outlineLvl w:val="1"/>
      <w:snapToGrid w:val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8" w:lineRule="auto" w:before="0"/>
      <w:contextualSpacing/>
      <w:snapToGrid w:val="0"/>
    </w:pPr>
    <w:rPr>
      <w:rFonts w:asciiTheme="majorHAnsi" w:eastAsiaTheme="majorEastAsia" w:hAnsiTheme="majorHAnsi" w:cstheme="majorBidi" w:ascii="宋体" w:hAnsi="宋体" w:eastAsia="宋体"/>
      <w:b/>
      <w:i w:val="0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after="100" w:before="0" w:line="288" w:lineRule="auto"/>
    </w:pPr>
    <w:rPr>
      <w:rFonts w:asciiTheme="majorHAnsi" w:eastAsiaTheme="majorEastAsia" w:hAnsiTheme="majorHAnsi" w:cstheme="majorBidi" w:ascii="宋体" w:hAnsi="宋体" w:eastAsia="宋体"/>
      <w:b/>
      <w:i w:val="0"/>
      <w:iCs/>
      <w:color w:val="000000"/>
      <w:spacing w:val="15"/>
      <w:sz w:val="3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MOP基础网络代维平台 客户资料与业务规则答复清单</dc:title>
  <dc:subject>客户资料提供与业务规则答复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