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MOP基础网络代维平台 客户资料与规则答复表</w:t>
      </w:r>
    </w:p>
    <w:p>
      <w:r>
        <w:rPr>
          <w:sz w:val="19"/>
        </w:rPr>
        <w:t>请在右栏按编号答复，可填写附件名称或链接。密码和密钥单独交接。</w:t>
      </w:r>
    </w:p>
    <w:p>
      <w:pPr>
        <w:pStyle w:val="Heading1"/>
        <w:spacing w:after="80"/>
      </w:pPr>
      <w:r>
        <w:t>第一优先级  请优先答复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1"/>
        <w:gridCol w:w="6803"/>
        <w:gridCol w:w="6463"/>
      </w:tblGrid>
      <w:tr>
        <w:trPr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编号及事项</w:t>
            </w:r>
          </w:p>
        </w:tc>
        <w:tc>
          <w:tcPr>
            <w:tcW w:type="dxa" w:w="680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需要提供或确认的内容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客户答复或附件位置</w:t>
            </w:r>
          </w:p>
        </w:tc>
      </w:tr>
      <w:tr>
        <w:trPr>
          <w:trHeight w:val="172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01</w:t>
              <w:br/>
              <w:t>试点客户与权限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1）客户、站点、服务档位及设备、监控项、采集量配额；管理员、报障人、技术联系人和决策人名单，每客户至少一名决策人。</w:t>
              <w:br/>
              <w:t>2）各岗位可访问的客户和设备范围；工单分派、恢复确认、排除项审批、报告发布的权限及替补、回避规则。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  <w:tr>
        <w:trPr>
          <w:trHeight w:val="172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02</w:t>
              <w:br/>
              <w:t>设备台账与导入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1）台账：名称、类型、IP或域名、品牌、型号、序列号、站点、位置、负责人、所属业务、采购/维保到期/超期服役日期、采集方式、备注；补充固件、维保供应商及起始日。</w:t>
              <w:br/>
              <w:t>2）设备类型、采集方式和日期格式；IP判重范围及重复私网地址的区分方式。</w:t>
              <w:br/>
              <w:t>3）业务依赖、核心节点、关键端口、对端设备及受影响终端资料。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172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03</w:t>
              <w:br/>
              <w:t>监控接入资料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1）监控系统、版本、测试地址、接口负责人、调用权限、认证或签名说明；采集端及探针部署条件。尚无系统的，说明选型安排。</w:t>
              <w:br/>
              <w:t>2）资源池、主机ID、监控项ID与客户设备的对应表；故障、恢复、重复通知的脱敏报文。</w:t>
              <w:br/>
              <w:t>3）首批品牌、型号、固件、OID、单位、精度、代表设备及测试窗口。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172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04</w:t>
              <w:br/>
              <w:t>告警与恢复规则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1）CPU 70%/85%与80%/90%、温度50/55℃与55/65℃的适用范围；丢包20%持续5分钟与2%/10%的适用范围；“丢包恢复&gt;15%”的判断方向。</w:t>
              <w:br/>
              <w:t>2）各指标持续时间、恢复阈值、采样频率和失联检测方式；缓存命中率、Web可用率、证书剩余天数的告警方向。</w:t>
              <w:br/>
              <w:t>3）恢复后“待复核”的显示方式、复核岗位及再次故障的处理规则。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第一优先级  请优先答复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1"/>
        <w:gridCol w:w="6803"/>
        <w:gridCol w:w="6463"/>
      </w:tblGrid>
      <w:tr>
        <w:trPr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编号及事项</w:t>
            </w:r>
          </w:p>
        </w:tc>
        <w:tc>
          <w:tcPr>
            <w:tcW w:type="dxa" w:w="680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需要提供或确认的内容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客户答复或附件位置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05</w:t>
              <w:br/>
              <w:t>服务日历与SLA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1）各客户工作日、服务时段、节假日、补班安排和日历维护人；基础档计时与服务可用率统计时段的区别。</w:t>
              <w:br/>
              <w:t>2）基础档、标准档P3“次日”指自然日还是工作日、几点截止。</w:t>
              <w:br/>
              <w:t>3）等待客户、维护窗口、再次故障和重开工单时，何时停钟、何时续计。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06</w:t>
              <w:br/>
              <w:t>工单处理流程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1）接单、分派、处理、解决、待客户确认、关闭、重开的条件和操作岗位；客户确认及超期未确认的处理。</w:t>
              <w:br/>
              <w:t>2）客户报障、人工登记与监控事件的关联方式；事件关闭与工单关闭的校验关系。</w:t>
              <w:br/>
              <w:t>3）一期工单由本平台管理。确需对接外部ITSM时，补充产品、接口、状态映射及最终状态依据。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07</w:t>
              <w:br/>
              <w:t>OSS与文件接入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1）北京地域OSS的桶、访问地址、项目目录、受限权限、网络条件及配置负责人；凭据单独安全交接。</w:t>
              <w:br/>
              <w:t>2）报障图片以外允许的文件类型、大小、总量，以及扫描服务、异常文件隔离和下载权限。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08</w:t>
              <w:br/>
              <w:t>数据库与选型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1）MySQL是业务主库强制选型还是兼容要求；生产数据库、租户隔离方案及数据库层行级隔离验收方式。</w:t>
              <w:br/>
              <w:t>2）已有软件的产品、版本、许可和技术限制；确认开发方提交的组件、开源许可、部署方式及交付要求。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第二优先级  对应功能联调前提供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1"/>
        <w:gridCol w:w="6803"/>
        <w:gridCol w:w="6463"/>
      </w:tblGrid>
      <w:tr>
        <w:trPr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编号及事项</w:t>
            </w:r>
          </w:p>
        </w:tc>
        <w:tc>
          <w:tcPr>
            <w:tcW w:type="dxa" w:w="680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需要提供或确认的内容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客户答复或附件位置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09</w:t>
              <w:br/>
              <w:t>远程处置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1）排期前明确技术路线：堡垒机产品、版本、许可、接口；会话、读写控制、录屏、日志及强制断开能力；测试设备和授权范围。</w:t>
              <w:br/>
              <w:t>2）只读是否免审批；读写双人审批岗位和替补、空闲超时、延期、高危命令确认及录屏调阅规则。</w:t>
              <w:br/>
              <w:t>3）如需可选自动化脚本，单列本期范围，供评估报价和排期。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10</w:t>
              <w:br/>
              <w:t>CMDB同步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1）产品版本、测试接口、权限、资产唯一ID、客户与站点映射；设备、业务服务和依赖关系的脱敏响应。</w:t>
              <w:br/>
              <w:t>2）分页、增量标记、同步频率、删除及退役标记；空值覆盖、人工补录和冲突字段的处理规则。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11</w:t>
              <w:br/>
              <w:t>企业微信与通知通道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1）企业微信CorpID、AgentID、应用负责人、可见范围、测试成员及userid对应表；可信域名、回调配置。</w:t>
              <w:br/>
              <w:t>2）邮件、短信、钉钉机器人、企业微信、Webhook、电话语音的使用现状；供应商、接口、测试接收人、模板、回执、限流和额度。</w:t>
              <w:br/>
              <w:t>3）电话语音并发、单价及采购安排，通道资源费按合同由客户承担。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12</w:t>
              <w:br/>
              <w:t>通知与值班升级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1）六类事件严重级与P1至P4的对应表；事件和工单通知的合并规则；未分类事件、静音、渠道偏好及决策人通知冲突的处理。</w:t>
              <w:br/>
              <w:t>2）值班表、二线和服务经理升级顺序、无人值守兜底；各档升级时限、电话未接判定、呼叫间隔，以及与SLA提醒同时触发时的去重规则。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第二优先级  对应功能联调前提供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1"/>
        <w:gridCol w:w="6803"/>
        <w:gridCol w:w="6463"/>
      </w:tblGrid>
      <w:tr>
        <w:trPr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编号及事项</w:t>
            </w:r>
          </w:p>
        </w:tc>
        <w:tc>
          <w:tcPr>
            <w:tcW w:type="dxa" w:w="680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需要提供或确认的内容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客户答复或附件位置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13</w:t>
              <w:br/>
              <w:t>备份与变更报备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1）备份设备、厂商只读命令、SSH及提权授权、脱敏和噪声过滤规则；计划备份与每6小时差异采集是否共用存档。</w:t>
              <w:br/>
              <w:t>2）“连续两次失败”按尝试还是完整任务计算，成功后如何重置。</w:t>
              <w:br/>
              <w:t>3）变更审批范围、时间容差、紧急补报、多设备部分失败的处理；恢复演练设备、执行人和窗口。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14</w:t>
              <w:br/>
              <w:t>巡检与报告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1）巡检项目、检查方法、判断标准、附件及异常处理；体检评分的五维权重、扣分项和风险等级。</w:t>
              <w:br/>
              <w:t>2）月报、季度报告样例、品牌样式、客户可见字段及门户文案。</w:t>
              <w:br/>
              <w:t>3）审核人、生成时刻、数据截止时间；退回重生成、旧版查看及迟到数据补入规则。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15</w:t>
              <w:br/>
              <w:t>统计与SLA补偿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1）未知区间是否计入分母，最低样本量和覆盖率；多探测点不一致、依赖重叠的汇总规则；监控恢复、工单解决及重开时长的统计归属。</w:t>
              <w:br/>
              <w:t>2）补偿按“月费×比例”还是“月费×比例×未达成率”；上限、税费、币种、舍入、跨档变更及无适用工单的处理；排除项和对账审批岗位。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16</w:t>
              <w:br/>
              <w:t>经营与容量数据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1）月费、计费周期、人力单价、系统分摊、交通成本、缺工时处理和FTE折算；工资、套餐参考价的来源及更新时间。</w:t>
              <w:br/>
              <w:t>2）服务覆盖率、活跃客户定义和计量表字段；当前及预计设备数、监控项数、采样频率、保留期。</w:t>
              <w:br/>
              <w:t>3）采集端最长断网时间、缓冲余量和资源池评审条件；已有实测容量资料。技术测量项由开发方测算。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第三优先级  上线和正式验收前确认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71"/>
        <w:gridCol w:w="6803"/>
        <w:gridCol w:w="6463"/>
      </w:tblGrid>
      <w:tr>
        <w:trPr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编号及事项</w:t>
            </w:r>
          </w:p>
        </w:tc>
        <w:tc>
          <w:tcPr>
            <w:tcW w:type="dxa" w:w="680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需要提供或确认的内容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客户答复或附件位置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17</w:t>
              <w:br/>
              <w:t>生产资源与网络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1）生产主机、磁盘、对象存储、备份和灾备资源；资源负责人、授权、部署审批和变更窗口。规格由开发方测算后提出。</w:t>
              <w:br/>
              <w:t>2）站点拓扑、网段、路由、VPN或堡垒机、代理及端口开放条件；域名、DNS、证书和回调负责人；断网、恢复演练窗口。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18</w:t>
              <w:br/>
              <w:t>安全与数据保留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1）密码长度、复杂度、有效期、历史、失败锁定、会话、多因素认证及管理员恢复策略。需统一登录时补充OIDC平台、用户唯一标识及绑定规则。</w:t>
              <w:br/>
              <w:t>2）密钥管理与轮换；监控明细、趋势、录屏、附件及合同结束后的资料保留、导出、清理规则和审批岗位。</w:t>
              <w:br/>
              <w:t>3）合同下限继续保留：审计至少3年、设备备份至少12个月、录屏热存6个月。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19</w:t>
              <w:br/>
              <w:t>可靠性与验收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1）99.99%、99.9%、99.5%的适用对象、阶段、统计窗口及维护排除；“不丢数据”与RPO≤15分钟覆盖的数据和灾备验证方式。</w:t>
              <w:br/>
              <w:t>2）验收客户、设备、数据规模、并发场景、浏览器、移动设备、误报样例和演练窗口。</w:t>
              <w:br/>
              <w:t>3）合同性能指标继续保留，包括12,500 NVPS持续24小时及2倍峰值30分钟。</w:t>
            </w:r>
          </w:p>
        </w:tc>
        <w:tc>
          <w:tcPr>
            <w:tcW w:type="dxa" w:w="6463"/>
            <w:vAlign w:val="center"/>
          </w:tcPr>
          <w:p>
            <w:pPr>
              <w:spacing w:after="260"/>
            </w:pPr>
            <w:r/>
            <w:r>
              <w:t>1）</w:t>
            </w:r>
          </w:p>
          <w:p>
            <w:pPr>
              <w:spacing w:after="260"/>
            </w:pPr>
            <w:r>
              <w:t>2）</w:t>
            </w:r>
          </w:p>
          <w:p>
            <w:pPr>
              <w:spacing w:after="260"/>
            </w:pPr>
            <w:r>
              <w:t>3）</w:t>
            </w:r>
          </w:p>
        </w:tc>
      </w:tr>
      <w:tr>
        <w:trPr>
          <w:trHeight w:val="2069" w:hRule="atLeast"/>
          <w:cantSplit/>
        </w:trPr>
        <w:tc>
          <w:tcPr>
            <w:tcW w:type="dxa" w:w="1871"/>
            <w:vAlign w:val="center"/>
          </w:tcPr>
          <w:p>
            <w:pPr>
              <w:spacing w:after="40" w:line="260" w:lineRule="exact"/>
              <w:jc w:val="center"/>
            </w:pPr>
            <w:r>
              <w:rPr>
                <w:b/>
              </w:rPr>
              <w:t>20</w:t>
              <w:br/>
              <w:t>界面与交付安排</w:t>
            </w:r>
          </w:p>
        </w:tc>
        <w:tc>
          <w:tcPr>
            <w:tcW w:type="dxa" w:w="6803"/>
            <w:vAlign w:val="center"/>
          </w:tcPr>
          <w:p>
            <w:pPr>
              <w:spacing w:after="40" w:line="260" w:lineRule="exact"/>
            </w:pPr>
            <w:r>
              <w:rPr>
                <w:b w:val="0"/>
              </w:rPr>
              <w:t>1）保留的布局、字段和客户文案；资产附加字段、导入步骤、结果页及导出列的调整意见。飞书、独立拓扑编辑器、知识库、知识AI等扩展单列。</w:t>
              <w:br/>
              <w:t>2）年度复盘交付阶段、128项需求验收优先级、上线及30天试运行起算节点；验收对接人员、培训对象和时间。</w:t>
            </w:r>
          </w:p>
        </w:tc>
        <w:tc>
          <w:tcPr>
            <w:tcW w:type="dxa" w:w="6463"/>
            <w:vAlign w:val="center"/>
          </w:tcPr>
          <w:p>
            <w:pPr>
              <w:spacing w:after="480"/>
            </w:pPr>
            <w:r/>
            <w:r>
              <w:t>1）</w:t>
            </w:r>
          </w:p>
          <w:p>
            <w:pPr>
              <w:spacing w:after="480"/>
            </w:pPr>
            <w:r>
              <w:t>2）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2026年10月8日    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  <w:snapToGrid w:val="0"/>
    </w:pPr>
    <w:rPr>
      <w:rFonts w:ascii="宋体" w:hAnsi="宋体" w:eastAsia="宋体"/>
      <w:b w:val="0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259" w:lineRule="auto"/>
      <w:outlineLvl w:val="0"/>
      <w:snapToGrid w:val="0"/>
    </w:pPr>
    <w:rPr>
      <w:rFonts w:cstheme="majorBidi" w:ascii="宋体" w:hAnsi="宋体" w:eastAsia="宋体"/>
      <w:b/>
      <w:bCs/>
      <w:i w:val="0"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 w:before="0"/>
      <w:contextualSpacing/>
      <w:snapToGrid w:val="0"/>
    </w:pPr>
    <w:rPr>
      <w:rFonts w:cstheme="majorBidi" w:ascii="宋体" w:hAnsi="宋体" w:eastAsia="宋体"/>
      <w:b/>
      <w:i w:val="0"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MOP基础网络代维平台 客户资料与规则答复表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