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MOP近期开发问题及处理情况</w:t>
      </w:r>
    </w:p>
    <w:p>
      <w:r>
        <w:rPr>
          <w:sz w:val="20"/>
        </w:rPr>
        <w:t>记录范围为2026年10月5日至7日，状态依据对应代码、部署和测试记录。资源需求继续参照《客户资料与规则答复表》。</w:t>
      </w:r>
    </w:p>
    <w:p>
      <w:pPr>
        <w:pStyle w:val="Heading1"/>
      </w:pPr>
      <w:r>
        <w:t>仍需处理或验证的问题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25" w:type="dxa"/>
          <w:bottom w:w="125" w:type="dxa"/>
          <w:left w:w="90" w:type="dxa"/>
          <w:right w:w="90" w:type="dxa"/>
        </w:tblCellMar>
      </w:tblPr>
      <w:tblGrid>
        <w:gridCol w:w="1871"/>
        <w:gridCol w:w="6520"/>
        <w:gridCol w:w="1701"/>
      </w:tblGrid>
      <w:tr>
        <w:trPr>
          <w:cantSplit/>
          <w:tblHeader/>
        </w:trPr>
        <w:tc>
          <w:tcPr>
            <w:tcW w:type="dxa" w:w="1871"/>
            <w:vAlign w:val="center"/>
            <w:shd w:fill="DCE6F1"/>
          </w:tcPr>
          <w:p>
            <w:pPr>
              <w:spacing w:line="280" w:lineRule="exact" w:after="0"/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type="dxa" w:w="6520"/>
            <w:vAlign w:val="center"/>
            <w:shd w:fill="DCE6F1"/>
          </w:tcPr>
          <w:p>
            <w:pPr>
              <w:spacing w:line="280" w:lineRule="exact" w:after="0"/>
              <w:jc w:val="center"/>
            </w:pPr>
            <w:r>
              <w:rPr>
                <w:b/>
              </w:rPr>
              <w:t>处理情况及影响</w:t>
            </w:r>
          </w:p>
        </w:tc>
        <w:tc>
          <w:tcPr>
            <w:tcW w:type="dxa" w:w="1701"/>
            <w:vAlign w:val="center"/>
            <w:shd w:fill="DCE6F1"/>
          </w:tcPr>
          <w:p>
            <w:pPr>
              <w:spacing w:line="280" w:lineRule="exact" w:after="0"/>
              <w:jc w:val="center"/>
            </w:pPr>
            <w:r>
              <w:rPr>
                <w:b/>
              </w:rPr>
              <w:t>状态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OSS真实接入</w:t>
            </w:r>
          </w:p>
        </w:tc>
        <w:tc>
          <w:tcPr>
            <w:tcW w:type="dxa" w:w="6520"/>
            <w:vAlign w:val="center"/>
          </w:tcPr>
          <w:p>
            <w:pPr>
              <w:spacing w:line="280" w:lineRule="exact" w:after="0"/>
            </w:pPr>
            <w:r>
              <w:rPr>
                <w:b w:val="0"/>
              </w:rPr>
              <w:t>测试存储已通过验证，阿里云OSS认证、权限、上传及下载仍未完成实测。所需资料已列在原答复表第07项。</w:t>
            </w:r>
          </w:p>
        </w:tc>
        <w:tc>
          <w:tcPr>
            <w:tcW w:type="dxa" w:w="170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待接入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外部系统联调</w:t>
            </w:r>
          </w:p>
        </w:tc>
        <w:tc>
          <w:tcPr>
            <w:tcW w:type="dxa" w:w="6520"/>
            <w:vAlign w:val="center"/>
          </w:tcPr>
          <w:p>
            <w:pPr>
              <w:spacing w:line="280" w:lineRule="exact" w:after="0"/>
            </w:pPr>
            <w:r>
              <w:rPr>
                <w:b w:val="0"/>
              </w:rPr>
              <w:t>真实监控、CMDB、通知通道、堡垒机和录屏仍缺完整可验证链路。所需资料沿用原表第03、09至11项，不重复提交清单。</w:t>
            </w:r>
          </w:p>
        </w:tc>
        <w:tc>
          <w:tcPr>
            <w:tcW w:type="dxa" w:w="170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待联调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业务规则未确认</w:t>
            </w:r>
          </w:p>
        </w:tc>
        <w:tc>
          <w:tcPr>
            <w:tcW w:type="dxa" w:w="6520"/>
            <w:vAlign w:val="center"/>
          </w:tcPr>
          <w:p>
            <w:pPr>
              <w:spacing w:line="280" w:lineRule="exact" w:after="0"/>
            </w:pPr>
            <w:r>
              <w:rPr>
                <w:b w:val="0"/>
              </w:rPr>
              <w:t>SLA日历、权限、告警和通知规则、补偿口径等尚未全部确定；相关正式发布和自动执行继续保留限制。按原答复表对应事项确认。</w:t>
            </w:r>
          </w:p>
        </w:tc>
        <w:tc>
          <w:tcPr>
            <w:tcW w:type="dxa" w:w="170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待确认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监控处理尚未闭环</w:t>
            </w:r>
          </w:p>
        </w:tc>
        <w:tc>
          <w:tcPr>
            <w:tcW w:type="dxa" w:w="6520"/>
            <w:vAlign w:val="center"/>
          </w:tcPr>
          <w:p>
            <w:pPr>
              <w:spacing w:line="280" w:lineRule="exact" w:after="0"/>
            </w:pPr>
            <w:r>
              <w:rPr>
                <w:b w:val="0"/>
              </w:rPr>
              <w:t>原始事件保存、冲突隔离和映射输入校验已有实现；公开接收、来源认证、实际对象映射、告警归并及后续工单通知仍需开发和验证。</w:t>
            </w:r>
          </w:p>
        </w:tc>
        <w:tc>
          <w:tcPr>
            <w:tcW w:type="dxa" w:w="170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开发中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完整验收不足</w:t>
            </w:r>
          </w:p>
        </w:tc>
        <w:tc>
          <w:tcPr>
            <w:tcW w:type="dxa" w:w="6520"/>
            <w:vAlign w:val="center"/>
          </w:tcPr>
          <w:p>
            <w:pPr>
              <w:spacing w:line="280" w:lineRule="exact" w:after="0"/>
            </w:pPr>
            <w:r>
              <w:rPr>
                <w:b w:val="0"/>
              </w:rPr>
              <w:t>已验证部分接口和桌面、手机尺寸页面；物理手机、企业微信、性能及灾备场景仍需实测。局部测试通过不代表128项合同需求已验收。</w:t>
            </w:r>
          </w:p>
        </w:tc>
        <w:tc>
          <w:tcPr>
            <w:tcW w:type="dxa" w:w="170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待验证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代码与部署版本不同</w:t>
            </w:r>
          </w:p>
        </w:tc>
        <w:tc>
          <w:tcPr>
            <w:tcW w:type="dxa" w:w="6520"/>
            <w:vAlign w:val="center"/>
          </w:tcPr>
          <w:p>
            <w:pPr>
              <w:spacing w:line="280" w:lineRule="exact" w:after="0"/>
            </w:pPr>
            <w:r>
              <w:rPr>
                <w:b w:val="0"/>
              </w:rPr>
              <w:t>截至10月7日记录，指定服务器仍运行既有API 0.45及原前端。新身份页面在本地连接该API验证，后续监控改动也未据此完成服务器部署验收。</w:t>
            </w:r>
          </w:p>
        </w:tc>
        <w:tc>
          <w:tcPr>
            <w:tcW w:type="dxa" w:w="170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待发布验证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持续集成工具版本变化</w:t>
            </w:r>
          </w:p>
        </w:tc>
        <w:tc>
          <w:tcPr>
            <w:tcW w:type="dxa" w:w="6520"/>
            <w:vAlign w:val="center"/>
          </w:tcPr>
          <w:p>
            <w:pPr>
              <w:spacing w:line="280" w:lineRule="exact" w:after="0"/>
            </w:pPr>
            <w:r>
              <w:rPr>
                <w:b w:val="0"/>
              </w:rPr>
              <w:t>运行器预装Maven升级后，后端在版本检查处中断，测试未启动。已提交固定Maven 3.9.9及校验修复；该修复提交的CI结果仍需核实。</w:t>
            </w:r>
          </w:p>
        </w:tc>
        <w:tc>
          <w:tcPr>
            <w:tcW w:type="dxa" w:w="170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修复待复验</w:t>
            </w:r>
          </w:p>
        </w:tc>
      </w:tr>
    </w:tbl>
    <w:p>
      <w:r>
        <w:br w:type="page"/>
      </w:r>
    </w:p>
    <w:p>
      <w:pPr>
        <w:pStyle w:val="Heading1"/>
      </w:pPr>
      <w:r>
        <w:t>近期已处理的问题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25" w:type="dxa"/>
          <w:bottom w:w="125" w:type="dxa"/>
          <w:left w:w="90" w:type="dxa"/>
          <w:right w:w="90" w:type="dxa"/>
        </w:tblCellMar>
      </w:tblPr>
      <w:tblGrid>
        <w:gridCol w:w="1871"/>
        <w:gridCol w:w="6520"/>
        <w:gridCol w:w="1701"/>
      </w:tblGrid>
      <w:tr>
        <w:trPr>
          <w:cantSplit/>
          <w:tblHeader/>
        </w:trPr>
        <w:tc>
          <w:tcPr>
            <w:tcW w:type="dxa" w:w="1871"/>
            <w:vAlign w:val="center"/>
            <w:shd w:fill="DCE6F1"/>
          </w:tcPr>
          <w:p>
            <w:pPr>
              <w:spacing w:line="280" w:lineRule="exact" w:after="0"/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type="dxa" w:w="6520"/>
            <w:vAlign w:val="center"/>
            <w:shd w:fill="DCE6F1"/>
          </w:tcPr>
          <w:p>
            <w:pPr>
              <w:spacing w:line="280" w:lineRule="exact" w:after="0"/>
              <w:jc w:val="center"/>
            </w:pPr>
            <w:r>
              <w:rPr>
                <w:b/>
              </w:rPr>
              <w:t>处理情况及影响</w:t>
            </w:r>
          </w:p>
        </w:tc>
        <w:tc>
          <w:tcPr>
            <w:tcW w:type="dxa" w:w="1701"/>
            <w:vAlign w:val="center"/>
            <w:shd w:fill="DCE6F1"/>
          </w:tcPr>
          <w:p>
            <w:pPr>
              <w:spacing w:line="280" w:lineRule="exact" w:after="0"/>
              <w:jc w:val="center"/>
            </w:pPr>
            <w:r>
              <w:rPr>
                <w:b/>
              </w:rPr>
              <w:t>状态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本机连接中断</w:t>
            </w:r>
          </w:p>
        </w:tc>
        <w:tc>
          <w:tcPr>
            <w:tcW w:type="dxa" w:w="6520"/>
            <w:vAlign w:val="center"/>
          </w:tcPr>
          <w:p>
            <w:pPr>
              <w:spacing w:line="280" w:lineRule="exact" w:after="0"/>
            </w:pPr>
            <w:r>
              <w:rPr>
                <w:b w:val="0"/>
              </w:rPr>
              <w:t>10月7日回归遇到Windows套接字资源错误，SSH隧道退出并引发数据库连接失败。受影响测试分批补跑通过，项目任务进程已恢复。</w:t>
            </w:r>
          </w:p>
        </w:tc>
        <w:tc>
          <w:tcPr>
            <w:tcW w:type="dxa" w:w="170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已复验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账号页面残留旧数据</w:t>
            </w:r>
          </w:p>
        </w:tc>
        <w:tc>
          <w:tcPr>
            <w:tcW w:type="dxa" w:w="6520"/>
            <w:vAlign w:val="center"/>
          </w:tcPr>
          <w:p>
            <w:pPr>
              <w:spacing w:line="280" w:lineRule="exact" w:after="0"/>
            </w:pPr>
            <w:r>
              <w:rPr>
                <w:b w:val="0"/>
              </w:rPr>
              <w:t>切换账号、角色或租户时，旧详情可能回填；保存成功后读取失败也可能误报。已修正状态清理和提示，本地真实浏览器20个场景通过；新版尚未部署。</w:t>
            </w:r>
          </w:p>
        </w:tc>
        <w:tc>
          <w:tcPr>
            <w:tcW w:type="dxa" w:w="170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本地已复验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部署后页面和任务异常</w:t>
            </w:r>
          </w:p>
        </w:tc>
        <w:tc>
          <w:tcPr>
            <w:tcW w:type="dxa" w:w="6520"/>
            <w:vAlign w:val="center"/>
          </w:tcPr>
          <w:p>
            <w:pPr>
              <w:spacing w:line="280" w:lineRule="exact" w:after="0"/>
            </w:pPr>
            <w:r>
              <w:rPr>
                <w:b w:val="0"/>
              </w:rPr>
              <w:t>登录后资产页404、HTTP入口缺少部分浏览器加密接口、导入任务工作目录不一致等已修复，指定服务器对应页面和任务链路复验通过。</w:t>
            </w:r>
          </w:p>
        </w:tc>
        <w:tc>
          <w:tcPr>
            <w:tcW w:type="dxa" w:w="170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已复验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集成测试初始化失败</w:t>
            </w:r>
          </w:p>
        </w:tc>
        <w:tc>
          <w:tcPr>
            <w:tcW w:type="dxa" w:w="6520"/>
            <w:vAlign w:val="center"/>
          </w:tcPr>
          <w:p>
            <w:pPr>
              <w:spacing w:line="280" w:lineRule="exact" w:after="0"/>
            </w:pPr>
            <w:r>
              <w:rPr>
                <w:b w:val="0"/>
              </w:rPr>
              <w:t>运行器漏传测试初始化配置，部分旧测试还会隐式执行迁移。已修正测试配置并改为只读核对既有结构，相关真实数据库用例复验通过。</w:t>
            </w:r>
          </w:p>
        </w:tc>
        <w:tc>
          <w:tcPr>
            <w:tcW w:type="dxa" w:w="170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已复验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监控表结构核对失败</w:t>
            </w:r>
          </w:p>
        </w:tc>
        <w:tc>
          <w:tcPr>
            <w:tcW w:type="dxa" w:w="6520"/>
            <w:vAlign w:val="center"/>
          </w:tcPr>
          <w:p>
            <w:pPr>
              <w:spacing w:line="280" w:lineRule="exact" w:after="0"/>
            </w:pPr>
            <w:r>
              <w:rPr>
                <w:b w:val="0"/>
              </w:rPr>
              <w:t>独立测试库迁移已提交，但校验器对数据库表达式的表示判断有误。修正校验器后，只读检查及重复执行检查通过，未重写或重跑已应用迁移。</w:t>
            </w:r>
          </w:p>
        </w:tc>
        <w:tc>
          <w:tcPr>
            <w:tcW w:type="dxa" w:w="170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已复验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Windows工具用例不兼容</w:t>
            </w:r>
          </w:p>
        </w:tc>
        <w:tc>
          <w:tcPr>
            <w:tcW w:type="dxa" w:w="6520"/>
            <w:vAlign w:val="center"/>
          </w:tcPr>
          <w:p>
            <w:pPr>
              <w:spacing w:line="280" w:lineRule="exact" w:after="0"/>
            </w:pPr>
            <w:r>
              <w:rPr>
                <w:b w:val="0"/>
              </w:rPr>
              <w:t>部分用例依赖Linux权限、进程目录或符号链接能力。已按平台分开验证，Linux CI与Windows本地检查覆盖对应用例；未为通过测试修改系统安全权限。</w:t>
            </w:r>
          </w:p>
        </w:tc>
        <w:tc>
          <w:tcPr>
            <w:tcW w:type="dxa" w:w="170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分平台已验证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云端临时工作区丢失</w:t>
            </w:r>
          </w:p>
        </w:tc>
        <w:tc>
          <w:tcPr>
            <w:tcW w:type="dxa" w:w="6520"/>
            <w:vAlign w:val="center"/>
          </w:tcPr>
          <w:p>
            <w:pPr>
              <w:spacing w:line="280" w:lineRule="exact" w:after="0"/>
            </w:pPr>
            <w:r>
              <w:rPr>
                <w:b w:val="0"/>
              </w:rPr>
              <w:t>执行环境切换导致源码和工具链不可用，已从固定提交恢复并核对文件。历史私有配置未随源码恢复，旧临时数据库也未按备份恢复；当前本地指定服务器联调不受此项阻断。</w:t>
            </w:r>
          </w:p>
        </w:tc>
        <w:tc>
          <w:tcPr>
            <w:tcW w:type="dxa" w:w="170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源码已恢复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Java测试代理启动失败</w:t>
            </w:r>
          </w:p>
        </w:tc>
        <w:tc>
          <w:tcPr>
            <w:tcW w:type="dxa" w:w="6520"/>
            <w:vAlign w:val="center"/>
          </w:tcPr>
          <w:p>
            <w:pPr>
              <w:spacing w:line="280" w:lineRule="exact" w:after="0"/>
            </w:pPr>
            <w:r>
              <w:rPr>
                <w:b w:val="0"/>
              </w:rPr>
              <w:t>部分回归因Mockito动态加载测试代理失败而中断。改用同版本现有测试代理显式启动后重跑，未调整操作系统安全设置或放宽断言。</w:t>
            </w:r>
          </w:p>
        </w:tc>
        <w:tc>
          <w:tcPr>
            <w:tcW w:type="dxa" w:w="1701"/>
            <w:vAlign w:val="center"/>
          </w:tcPr>
          <w:p>
            <w:pPr>
              <w:spacing w:line="280" w:lineRule="exact" w:after="0"/>
              <w:jc w:val="center"/>
            </w:pPr>
            <w:r>
              <w:rPr>
                <w:b w:val="0"/>
              </w:rPr>
              <w:t>已重跑验证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907" w:bottom="794" w:left="907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整理日期 2026年10月8日    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宋体" w:hAnsi="宋体" w:eastAsia="宋体"/>
      <w:b w:val="0"/>
      <w:i w:val="0"/>
      <w:color w:val="000000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 w:line="264" w:lineRule="auto"/>
      <w:outlineLvl w:val="0"/>
    </w:pPr>
    <w:rPr>
      <w:rFonts w:cstheme="majorBidi" w:ascii="宋体" w:hAnsi="宋体" w:eastAsia="宋体"/>
      <w:b/>
      <w:bCs/>
      <w:i w:val="0"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 w:before="0"/>
      <w:contextualSpacing/>
    </w:pPr>
    <w:rPr>
      <w:rFonts w:cstheme="majorBidi" w:ascii="宋体" w:hAnsi="宋体" w:eastAsia="宋体"/>
      <w:b/>
      <w:i w:val="0"/>
      <w:color w:val="000000"/>
      <w:spacing w:val="5"/>
      <w:kern w:val="28"/>
      <w:sz w:val="3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MOP近期开发问题及处理情况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