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4"/>
        </w:rPr>
        <w:t>TC_PVBG Potential Vorticity Budget Equations</w:t>
      </w:r>
    </w:p>
    <w:p>
      <w:pPr>
        <w:spacing w:after="280"/>
      </w:pPr>
      <w:r>
        <w:rPr>
          <w:rFonts w:ascii="Calibri" w:hAnsi="Calibri" w:eastAsia="Calibri"/>
          <w:color w:val="555555"/>
          <w:sz w:val="21"/>
        </w:rPr>
        <w:t>English reference document for the TC_PVBG MATLAB toolbox</w:t>
      </w:r>
    </w:p>
    <w:p>
      <w:r>
        <w:t>This document describes the Ertel potential-vorticity (PV) definitions, budget equation, output variables, sign convention, and residual interpretation used by the TC_PVBG toolbox. The notation follows the current MATLAB implementation in TC_PVBG_mvct.m and TC_PVBG_calculate.m; the PV definition and nonconservative source form follow References 1 and 2.</w:t>
      </w:r>
    </w:p>
    <w:p>
      <w:pPr>
        <w:pStyle w:val="Heading1"/>
        <w:keepNext/>
      </w:pPr>
      <w:r>
        <w:rPr>
          <w:rFonts w:ascii="Calibri" w:hAnsi="Calibri" w:eastAsia="Calibri"/>
        </w:rPr>
        <w:t>1. Coordinate System and Prognostic Variable</w:t>
      </w:r>
    </w:p>
    <w:p>
      <w:r>
        <w:rPr>
          <w:rFonts w:ascii="Calibri" w:hAnsi="Calibri" w:eastAsia="Calibri"/>
        </w:rPr>
        <w:t>TC_PVBG uses a storm-following cylindrical coordinate system:</w:t>
      </w:r>
    </w:p>
    <w:p>
      <w:pPr>
        <w:pStyle w:val="Equation"/>
        <w:shd w:fill="F4F6F9"/>
      </w:pPr>
      <w:r>
        <w:rPr>
          <w:rFonts w:ascii="Calibri" w:hAnsi="Calibri" w:eastAsia="Calibri"/>
        </w:rPr>
        <w:t>(r, phi, z)</w:t>
      </w:r>
    </w:p>
    <w:p>
      <w:r>
        <w:rPr>
          <w:rFonts w:ascii="Calibri" w:hAnsi="Calibri" w:eastAsia="Calibri"/>
        </w:rPr>
        <w:t>Here r is radius, phi is azimuth angle, and z is height. The velocity components u, v, and w are storm-relative radial, tangential, and vertical velocities after subtracting TC translation speed and rotating from Cartesian winds.</w:t>
      </w:r>
    </w:p>
    <w:p>
      <w:pPr>
        <w:pStyle w:val="Heading1"/>
        <w:keepNext/>
      </w:pPr>
      <w:r>
        <w:rPr>
          <w:rFonts w:ascii="Calibri" w:hAnsi="Calibri" w:eastAsia="Calibri"/>
        </w:rPr>
        <w:t>2. Ertel PV Definition</w:t>
      </w:r>
    </w:p>
    <w:p>
      <w:r>
        <w:rPr>
          <w:rFonts w:ascii="Calibri" w:hAnsi="Calibri" w:eastAsia="Calibri"/>
        </w:rPr>
        <w:t>For any thermodynamic scalar b, the Ertel PV used by the toolbox is:</w:t>
      </w:r>
    </w:p>
    <w:p>
      <w:pPr>
        <w:pStyle w:val="Equation"/>
        <w:shd w:fill="F4F6F9"/>
      </w:pPr>
      <w:r>
        <w:rPr>
          <w:rFonts w:ascii="Calibri" w:hAnsi="Calibri" w:eastAsia="Calibri"/>
        </w:rPr>
        <w:t>PV_b = eta_a dot grad(b) / rho</w:t>
      </w:r>
    </w:p>
    <w:p>
      <w:r>
        <w:rPr>
          <w:rFonts w:ascii="Calibri" w:hAnsi="Calibri" w:eastAsia="Calibri"/>
        </w:rPr>
        <w:t>The scalar b can be either dry potential temperature theta or equivalent potential temperature thetaE. The saved diagnostics are:</w:t>
      </w:r>
    </w:p>
    <w:p>
      <w:pPr>
        <w:pStyle w:val="Equation"/>
        <w:shd w:fill="F4F6F9"/>
      </w:pPr>
      <w:r>
        <w:rPr>
          <w:rFonts w:ascii="Calibri" w:hAnsi="Calibri" w:eastAsia="Calibri"/>
        </w:rPr>
        <w:t>pv_theta  = eta_a dot grad(theta)  / rho</w:t>
      </w:r>
    </w:p>
    <w:p>
      <w:pPr>
        <w:pStyle w:val="Equation"/>
        <w:shd w:fill="F4F6F9"/>
      </w:pPr>
      <w:r>
        <w:rPr>
          <w:rFonts w:ascii="Calibri" w:hAnsi="Calibri" w:eastAsia="Calibri"/>
        </w:rPr>
        <w:t>pv_thetaE = eta_a dot grad(thetaE) / rho</w:t>
      </w:r>
    </w:p>
    <w:p>
      <w:pPr>
        <w:pStyle w:val="Equation"/>
        <w:shd w:fill="F4F6F9"/>
      </w:pPr>
      <w:r>
        <w:rPr>
          <w:rFonts w:ascii="Calibri" w:hAnsi="Calibri" w:eastAsia="Calibri"/>
        </w:rPr>
        <w:t>pv_diff   = pv_thetaE - pv_theta</w:t>
      </w:r>
    </w:p>
    <w:p>
      <w:r>
        <w:rPr>
          <w:rFonts w:ascii="Calibri" w:hAnsi="Calibri" w:eastAsia="Calibri"/>
        </w:rPr>
        <w:t>The SI unit is K m^2 kg^-1 s^-1. PVU-scale variables are saved by multiplying by 1e6.</w:t>
      </w:r>
    </w:p>
    <w:p>
      <w:pPr>
        <w:pStyle w:val="Heading1"/>
        <w:keepNext/>
      </w:pPr>
      <w:r>
        <w:rPr>
          <w:rFonts w:ascii="Calibri" w:hAnsi="Calibri" w:eastAsia="Calibri"/>
        </w:rPr>
        <w:t>3. Cylindrical Gradients and Absolute Vorticity</w:t>
      </w:r>
    </w:p>
    <w:p>
      <w:r>
        <w:rPr>
          <w:rFonts w:ascii="Calibri" w:hAnsi="Calibri" w:eastAsia="Calibri"/>
        </w:rPr>
        <w:t>The cylindrical gradient operator is evaluated as:</w:t>
      </w:r>
    </w:p>
    <w:p>
      <w:pPr>
        <w:pStyle w:val="Equation"/>
        <w:shd w:fill="F4F6F9"/>
      </w:pPr>
      <w:r>
        <w:rPr>
          <w:rFonts w:ascii="Calibri" w:hAnsi="Calibri" w:eastAsia="Calibri"/>
        </w:rPr>
        <w:t>grad(A) = e_r dA/dr + e_phi (1/r)dA/dphi + e_z dA/dz</w:t>
      </w:r>
    </w:p>
    <w:p>
      <w:r>
        <w:rPr>
          <w:rFonts w:ascii="Calibri" w:hAnsi="Calibri" w:eastAsia="Calibri"/>
        </w:rPr>
        <w:t>The code stores these components as A_r, A_phi, and A_z. Terms involving 1/r are masked at r = 0 to avoid a singular center column.</w:t>
      </w:r>
    </w:p>
    <w:p>
      <w:r>
        <w:t>The full absolute-vorticity vector eta_a = zeta + 2 Omega is used. In the local east-north-up cylindrical basis, with phi = 0 eastward and positive phi counter-clockwise:</w:t>
      </w:r>
    </w:p>
    <w:p>
      <w:pPr>
        <w:pStyle w:val="Equation"/>
        <w:shd w:fill="F4F6F9"/>
      </w:pPr>
      <w:r>
        <w:t>eta_r   = (1/r)dw/dphi - dv/dz + 2 Omega cos(latitude) sin(phi)</w:t>
      </w:r>
    </w:p>
    <w:p>
      <w:pPr>
        <w:pStyle w:val="Equation"/>
        <w:shd w:fill="F4F6F9"/>
      </w:pPr>
      <w:r>
        <w:t>eta_phi = du/dz - dw/dr + 2 Omega cos(latitude) cos(phi)</w:t>
      </w:r>
    </w:p>
    <w:p>
      <w:pPr>
        <w:pStyle w:val="Equation"/>
        <w:shd w:fill="F4F6F9"/>
      </w:pPr>
      <w:r>
        <w:t>eta_z   = avo = zeta_z + 2 Omega sin(latitude)</w:t>
      </w:r>
    </w:p>
    <w:p>
      <w:r>
        <w:t>Here zeta denotes relative vorticity, Omega is the Earth rotation rate, and avo is WRF's preprocessed vertical absolute vorticity. The horizontal planetary components are diagnosed from the local latitude and azimuth; no extra planetary correction must be applied to avo. Therefore:</w:t>
      </w:r>
    </w:p>
    <w:p>
      <w:pPr>
        <w:pStyle w:val="Equation"/>
        <w:shd w:fill="F4F6F9"/>
      </w:pPr>
      <w:r>
        <w:t>PV_b = (eta_r*b_r + eta_phi*b_phi + eta_z*b_z) / rho</w:t>
      </w:r>
    </w:p>
    <w:p>
      <w:pPr>
        <w:pStyle w:val="Heading1"/>
        <w:keepNext/>
      </w:pPr>
      <w:r>
        <w:rPr>
          <w:rFonts w:ascii="Calibri" w:hAnsi="Calibri" w:eastAsia="Calibri"/>
        </w:rPr>
        <w:t>4. Budget Equation</w:t>
      </w:r>
    </w:p>
    <w:p>
      <w:r>
        <w:rPr>
          <w:rFonts w:ascii="Calibri" w:hAnsi="Calibri" w:eastAsia="Calibri"/>
        </w:rPr>
        <w:t>The saved PV budget is written as:</w:t>
      </w:r>
    </w:p>
    <w:p>
      <w:pPr>
        <w:pStyle w:val="Equation"/>
        <w:shd w:fill="F4F6F9"/>
      </w:pPr>
      <w:r>
        <w:rPr>
          <w:rFonts w:ascii="Calibri" w:hAnsi="Calibri" w:eastAsia="Calibri"/>
        </w:rPr>
        <w:t>PV_tendency = PV_radial_adv + PV_azimuth_adv + PV_vertical_adv</w:t>
      </w:r>
    </w:p>
    <w:p>
      <w:pPr>
        <w:pStyle w:val="Equation"/>
        <w:shd w:fill="F4F6F9"/>
      </w:pPr>
      <w:r>
        <w:rPr>
          <w:rFonts w:ascii="Calibri" w:hAnsi="Calibri" w:eastAsia="Calibri"/>
        </w:rPr>
        <w:t xml:space="preserve">              + PV_solenoidal + PV_therm + PV_friction + PV_residual</w:t>
      </w:r>
    </w:p>
    <w:p>
      <w:r>
        <w:rPr>
          <w:rFonts w:ascii="Calibri" w:hAnsi="Calibri" w:eastAsia="Calibri"/>
        </w:rPr>
        <w:t>The explicitly diagnosed right-hand side is:</w:t>
      </w:r>
    </w:p>
    <w:p>
      <w:pPr>
        <w:pStyle w:val="Equation"/>
        <w:shd w:fill="F4F6F9"/>
      </w:pPr>
      <w:r>
        <w:rPr>
          <w:rFonts w:ascii="Calibri" w:hAnsi="Calibri" w:eastAsia="Calibri"/>
        </w:rPr>
        <w:t>PV_sum = PV_radial_adv + PV_azimuth_adv + PV_vertical_adv</w:t>
      </w:r>
    </w:p>
    <w:p>
      <w:pPr>
        <w:pStyle w:val="Equation"/>
        <w:shd w:fill="F4F6F9"/>
      </w:pPr>
      <w:r>
        <w:rPr>
          <w:rFonts w:ascii="Calibri" w:hAnsi="Calibri" w:eastAsia="Calibri"/>
        </w:rPr>
        <w:t xml:space="preserve">       + PV_solenoidal + PV_therm + PV_friction</w:t>
      </w:r>
    </w:p>
    <w:p>
      <w:r>
        <w:rPr>
          <w:rFonts w:ascii="Calibri" w:hAnsi="Calibri" w:eastAsia="Calibri"/>
        </w:rPr>
        <w:t>The residual is defined by closure:</w:t>
      </w:r>
    </w:p>
    <w:p>
      <w:pPr>
        <w:pStyle w:val="Equation"/>
        <w:shd w:fill="F4F6F9"/>
      </w:pPr>
      <w:r>
        <w:rPr>
          <w:rFonts w:ascii="Calibri" w:hAnsi="Calibri" w:eastAsia="Calibri"/>
        </w:rPr>
        <w:t>PV_residual = PV_tendency - PV_sum</w:t>
      </w:r>
    </w:p>
    <w:p>
      <w:pPr>
        <w:pStyle w:val="Heading1"/>
        <w:keepNext/>
      </w:pPr>
      <w:r>
        <w:rPr>
          <w:rFonts w:ascii="Calibri" w:hAnsi="Calibri" w:eastAsia="Calibri"/>
        </w:rPr>
        <w:t>5. Budget Terms</w:t>
      </w:r>
    </w:p>
    <w:p>
      <w:pPr>
        <w:pStyle w:val="Heading2"/>
        <w:keepNext/>
      </w:pPr>
      <w:r>
        <w:rPr>
          <w:rFonts w:ascii="Calibri" w:hAnsi="Calibri" w:eastAsia="Calibri"/>
        </w:rPr>
        <w:t>5.1 Local tendency</w:t>
      </w:r>
    </w:p>
    <w:p>
      <w:r>
        <w:rPr>
          <w:rFonts w:ascii="Calibri" w:hAnsi="Calibri" w:eastAsia="Calibri"/>
        </w:rPr>
        <w:t>PV_tendency is d(PV)/dt. The code first attempts fourth-order centered differencing:</w:t>
      </w:r>
    </w:p>
    <w:p>
      <w:pPr>
        <w:pStyle w:val="Equation"/>
        <w:shd w:fill="F4F6F9"/>
      </w:pPr>
      <w:r>
        <w:rPr>
          <w:rFonts w:ascii="Calibri" w:hAnsi="Calibri" w:eastAsia="Calibri"/>
        </w:rPr>
        <w:t>dPV/dt = (-PV(t+2dt) + 8PV(t+dt) - 8PV(t-dt) + PV(t-2dt)) / (12dt)</w:t>
      </w:r>
    </w:p>
    <w:p>
      <w:r>
        <w:rPr>
          <w:rFonts w:ascii="Calibri" w:hAnsi="Calibri" w:eastAsia="Calibri"/>
        </w:rPr>
        <w:t>If neighboring files are unavailable, the method falls back to second-order centered, second-order one-sided, or first-order one-sided differencing. The neighboring-file interval is controlled by Tendency_frq in minutes.</w:t>
      </w:r>
    </w:p>
    <w:p>
      <w:pPr>
        <w:pStyle w:val="Heading2"/>
        <w:keepNext/>
      </w:pPr>
      <w:r>
        <w:rPr>
          <w:rFonts w:ascii="Calibri" w:hAnsi="Calibri" w:eastAsia="Calibri"/>
        </w:rPr>
        <w:t>5.2 Advection</w:t>
      </w:r>
    </w:p>
    <w:p>
      <w:pPr>
        <w:pStyle w:val="Equation"/>
        <w:shd w:fill="F4F6F9"/>
      </w:pPr>
      <w:r>
        <w:rPr>
          <w:rFonts w:ascii="Calibri" w:hAnsi="Calibri" w:eastAsia="Calibri"/>
        </w:rPr>
        <w:t>PV_radial_adv   = -u * dPV/dr</w:t>
      </w:r>
    </w:p>
    <w:p>
      <w:pPr>
        <w:pStyle w:val="Equation"/>
        <w:shd w:fill="F4F6F9"/>
      </w:pPr>
      <w:r>
        <w:rPr>
          <w:rFonts w:ascii="Calibri" w:hAnsi="Calibri" w:eastAsia="Calibri"/>
        </w:rPr>
        <w:t>PV_azimuth_adv  = -v * (1/r)dPV/dphi</w:t>
      </w:r>
    </w:p>
    <w:p>
      <w:pPr>
        <w:pStyle w:val="Equation"/>
        <w:shd w:fill="F4F6F9"/>
      </w:pPr>
      <w:r>
        <w:rPr>
          <w:rFonts w:ascii="Calibri" w:hAnsi="Calibri" w:eastAsia="Calibri"/>
        </w:rPr>
        <w:t>PV_vertical_adv = -w * dPV/dz</w:t>
      </w:r>
    </w:p>
    <w:p>
      <w:r>
        <w:rPr>
          <w:rFonts w:ascii="Calibri" w:hAnsi="Calibri" w:eastAsia="Calibri"/>
        </w:rPr>
        <w:t>Positive advection terms mean the corresponding resolved transport increases local PV.</w:t>
      </w:r>
    </w:p>
    <w:p>
      <w:pPr>
        <w:pStyle w:val="Heading2"/>
        <w:keepNext/>
      </w:pPr>
      <w:r>
        <w:rPr>
          <w:rFonts w:ascii="Calibri" w:hAnsi="Calibri" w:eastAsia="Calibri"/>
        </w:rPr>
        <w:t>5.3 Solenoidal / composition term</w:t>
      </w:r>
    </w:p>
    <w:p>
      <w:pPr>
        <w:pStyle w:val="Equation"/>
        <w:shd w:fill="F4F6F9"/>
      </w:pPr>
      <w:r>
        <w:rPr>
          <w:rFonts w:ascii="Calibri" w:hAnsi="Calibri" w:eastAsia="Calibri"/>
        </w:rPr>
        <w:t>PV_solenoidal = [(grad(rho) x grad(p)) dot grad(b)] / rho^3</w:t>
      </w:r>
    </w:p>
    <w:p>
      <w:r>
        <w:rPr>
          <w:rFonts w:ascii="Calibri" w:hAnsi="Calibri" w:eastAsia="Calibri"/>
        </w:rPr>
        <w:t>Pre/BGT stores pressure P in hPa. TC_PVBG_calculate.m converts pressure to Pa before computing this term:</w:t>
      </w:r>
    </w:p>
    <w:p>
      <w:pPr>
        <w:pStyle w:val="Equation"/>
        <w:shd w:fill="F4F6F9"/>
      </w:pPr>
      <w:r>
        <w:rPr>
          <w:rFonts w:ascii="Calibri" w:hAnsi="Calibri" w:eastAsia="Calibri"/>
        </w:rPr>
        <w:t>P_pa = P * 100</w:t>
      </w:r>
    </w:p>
    <w:p>
      <w:r>
        <w:rPr>
          <w:rFonts w:ascii="Calibri" w:hAnsi="Calibri" w:eastAsia="Calibri"/>
        </w:rPr>
        <w:t>This term may be small for dry theta under ideal dry-air assumptions, but it should not be removed by default for thetaE in moist TC flow.</w:t>
      </w:r>
    </w:p>
    <w:p>
      <w:pPr>
        <w:pStyle w:val="Heading2"/>
        <w:keepNext/>
      </w:pPr>
      <w:r>
        <w:rPr>
          <w:rFonts w:ascii="Calibri" w:hAnsi="Calibri" w:eastAsia="Calibri"/>
        </w:rPr>
        <w:t>5.4 Thermodynamic nonconservation</w:t>
      </w:r>
    </w:p>
    <w:p>
      <w:pPr>
        <w:pStyle w:val="Equation"/>
        <w:shd w:fill="F4F6F9"/>
      </w:pPr>
      <w:r>
        <w:rPr>
          <w:rFonts w:ascii="Calibri" w:hAnsi="Calibri" w:eastAsia="Calibri"/>
        </w:rPr>
        <w:t>PV_therm = eta_a dot grad(Db/Dt) / rho</w:t>
      </w:r>
    </w:p>
    <w:p>
      <w:r>
        <w:rPr>
          <w:rFonts w:ascii="Calibri" w:hAnsi="Calibri" w:eastAsia="Calibri"/>
        </w:rPr>
        <w:t>For Use_thetaE = 1, the code diagnoses the material tendency of thetaE on the moving cylindrical grid:</w:t>
      </w:r>
    </w:p>
    <w:p>
      <w:pPr>
        <w:pStyle w:val="Equation"/>
        <w:shd w:fill="F4F6F9"/>
      </w:pPr>
      <w:r>
        <w:rPr>
          <w:rFonts w:ascii="Calibri" w:hAnsi="Calibri" w:eastAsia="Calibri"/>
        </w:rPr>
        <w:t>b = thetaE</w:t>
      </w:r>
    </w:p>
    <w:p>
      <w:pPr>
        <w:pStyle w:val="Equation"/>
        <w:shd w:fill="F4F6F9"/>
      </w:pPr>
      <w:r>
        <w:rPr>
          <w:rFonts w:ascii="Calibri" w:hAnsi="Calibri" w:eastAsia="Calibri"/>
        </w:rPr>
        <w:t>b_dot = db/dt + u*db/dr + v*(1/r)db/dphi + w*db/dz</w:t>
      </w:r>
    </w:p>
    <w:p>
      <w:r>
        <w:rPr>
          <w:rFonts w:ascii="Calibri" w:hAnsi="Calibri" w:eastAsia="Calibri"/>
        </w:rPr>
        <w:t>For Use_thetaE = 0, the code uses the preprocessed total theta tendency:</w:t>
      </w:r>
    </w:p>
    <w:p>
      <w:pPr>
        <w:pStyle w:val="Equation"/>
        <w:shd w:fill="F4F6F9"/>
      </w:pPr>
      <w:r>
        <w:rPr>
          <w:rFonts w:ascii="Calibri" w:hAnsi="Calibri" w:eastAsia="Calibri"/>
        </w:rPr>
        <w:t>b = theta</w:t>
      </w:r>
    </w:p>
    <w:p>
      <w:pPr>
        <w:pStyle w:val="Equation"/>
        <w:shd w:fill="F4F6F9"/>
      </w:pPr>
      <w:r>
        <w:rPr>
          <w:rFonts w:ascii="Calibri" w:hAnsi="Calibri" w:eastAsia="Calibri"/>
        </w:rPr>
        <w:t>b_dot = H_DIABATIC</w:t>
      </w:r>
    </w:p>
    <w:p>
      <w:pPr>
        <w:pStyle w:val="Heading2"/>
        <w:keepNext/>
      </w:pPr>
      <w:r>
        <w:rPr>
          <w:rFonts w:ascii="Calibri" w:hAnsi="Calibri" w:eastAsia="Calibri"/>
        </w:rPr>
        <w:t>5.5 Frictional / nonconservative momentum term</w:t>
      </w:r>
    </w:p>
    <w:p>
      <w:pPr>
        <w:pStyle w:val="Equation"/>
        <w:shd w:fill="F4F6F9"/>
      </w:pPr>
      <w:r>
        <w:rPr>
          <w:rFonts w:ascii="Calibri" w:hAnsi="Calibri" w:eastAsia="Calibri"/>
        </w:rPr>
        <w:t>PV_friction = curl(F) dot grad(b) / rho</w:t>
      </w:r>
    </w:p>
    <w:p>
      <w:r>
        <w:rPr>
          <w:rFonts w:ascii="Calibri" w:hAnsi="Calibri" w:eastAsia="Calibri"/>
        </w:rPr>
        <w:t>By default, F is the WRF PBL momentum tendency from RUBLTEN and RVBLTEN. These tendencies are remapped and rotated into cylindrical components Upbl and Vpbl. Since no vertical momentum forcing is provided, the current implementation uses F_z = 0.</w:t>
      </w:r>
    </w:p>
    <w:p>
      <w:pPr>
        <w:pStyle w:val="Equation"/>
        <w:shd w:fill="F4F6F9"/>
      </w:pPr>
      <w:r>
        <w:rPr>
          <w:rFonts w:ascii="Calibri" w:hAnsi="Calibri" w:eastAsia="Calibri"/>
        </w:rPr>
        <w:t>PV_friction_pbl = curl(F_PBL) dot grad(b) / rho</w:t>
      </w:r>
    </w:p>
    <w:p>
      <w:r>
        <w:rPr>
          <w:rFonts w:ascii="Calibri" w:hAnsi="Calibri" w:eastAsia="Calibri"/>
        </w:rPr>
        <w:t>The toolbox also saves a stress-tensor diagnostic estimated from kh and kv:</w:t>
      </w:r>
    </w:p>
    <w:p>
      <w:pPr>
        <w:pStyle w:val="Equation"/>
        <w:shd w:fill="F4F6F9"/>
      </w:pPr>
      <w:r>
        <w:rPr>
          <w:rFonts w:ascii="Calibri" w:hAnsi="Calibri" w:eastAsia="Calibri"/>
        </w:rPr>
        <w:t>PV_friction_khkv = curl(F_khkv) dot grad(b) / rho</w:t>
      </w:r>
    </w:p>
    <w:p>
      <w:r>
        <w:rPr>
          <w:rFonts w:ascii="Calibri" w:hAnsi="Calibri" w:eastAsia="Calibri"/>
        </w:rPr>
        <w:t>By default:</w:t>
      </w:r>
    </w:p>
    <w:p>
      <w:pPr>
        <w:pStyle w:val="Equation"/>
        <w:shd w:fill="F4F6F9"/>
      </w:pPr>
      <w:r>
        <w:rPr>
          <w:rFonts w:ascii="Calibri" w:hAnsi="Calibri" w:eastAsia="Calibri"/>
        </w:rPr>
        <w:t>Use_khkv_friction = 0</w:t>
      </w:r>
    </w:p>
    <w:p>
      <w:pPr>
        <w:pStyle w:val="Equation"/>
        <w:shd w:fill="F4F6F9"/>
      </w:pPr>
      <w:r>
        <w:rPr>
          <w:rFonts w:ascii="Calibri" w:hAnsi="Calibri" w:eastAsia="Calibri"/>
        </w:rPr>
        <w:t>PV_friction = PV_friction_pbl</w:t>
      </w:r>
    </w:p>
    <w:p>
      <w:r>
        <w:rPr>
          <w:rFonts w:ascii="Calibri" w:hAnsi="Calibri" w:eastAsia="Calibri"/>
        </w:rPr>
        <w:t>If Use_khkv_friction = 1, the saved total friction term becomes:</w:t>
      </w:r>
    </w:p>
    <w:p>
      <w:pPr>
        <w:pStyle w:val="Equation"/>
        <w:shd w:fill="F4F6F9"/>
      </w:pPr>
      <w:r>
        <w:rPr>
          <w:rFonts w:ascii="Calibri" w:hAnsi="Calibri" w:eastAsia="Calibri"/>
        </w:rPr>
        <w:t>PV_friction = PV_friction_pbl + PV_friction_khkv</w:t>
      </w:r>
    </w:p>
    <w:p>
      <w:r>
        <w:rPr>
          <w:rFonts w:ascii="Calibri" w:hAnsi="Calibri" w:eastAsia="Calibri"/>
        </w:rPr>
        <w:t>This option should be used carefully, because RUBLTEN/RVBLTEN already represent WRF PBL momentum tendencies and adding the kh/kv diagnostic may double count PBL mixing.</w:t>
      </w:r>
    </w:p>
    <w:p>
      <w:pPr>
        <w:pStyle w:val="Heading1"/>
        <w:keepNext/>
      </w:pPr>
      <w:r>
        <w:rPr>
          <w:rFonts w:ascii="Calibri" w:hAnsi="Calibri" w:eastAsia="Calibri"/>
        </w:rPr>
        <w:t>6. Residual Interpretation</w:t>
      </w:r>
    </w:p>
    <w:p>
      <w:r>
        <w:rPr>
          <w:rFonts w:ascii="Calibri" w:hAnsi="Calibri" w:eastAsia="Calibri"/>
        </w:rPr>
        <w:t>PV_residual is not an additional physical source term. It is the remaining unclosed tendency after explicit terms are removed.</w:t>
      </w:r>
    </w:p>
    <w:p>
      <w:pPr>
        <w:pStyle w:val="ListBullet"/>
        <w:spacing w:after="80" w:line="300" w:lineRule="auto"/>
      </w:pPr>
      <w:r>
        <w:rPr>
          <w:rFonts w:ascii="Calibri" w:hAnsi="Calibri" w:eastAsia="Calibri"/>
        </w:rPr>
        <w:t>Momentum forcing not exported to Pre/BGT/DATA</w:t>
      </w:r>
    </w:p>
    <w:p>
      <w:pPr>
        <w:pStyle w:val="ListBullet"/>
        <w:spacing w:after="80" w:line="300" w:lineRule="auto"/>
      </w:pPr>
      <w:r>
        <w:rPr>
          <w:rFonts w:ascii="Calibri" w:hAnsi="Calibri" w:eastAsia="Calibri"/>
        </w:rPr>
        <w:t>Missing vertical nonconservative momentum forcing</w:t>
      </w:r>
    </w:p>
    <w:p>
      <w:pPr>
        <w:pStyle w:val="ListBullet"/>
        <w:spacing w:after="80" w:line="300" w:lineRule="auto"/>
      </w:pPr>
      <w:r>
        <w:rPr>
          <w:rFonts w:ascii="Calibri" w:hAnsi="Calibri" w:eastAsia="Calibri"/>
        </w:rPr>
        <w:t>Numerical diffusion and unresolved model physics</w:t>
      </w:r>
    </w:p>
    <w:p>
      <w:pPr>
        <w:pStyle w:val="ListBullet"/>
        <w:spacing w:after="80" w:line="300" w:lineRule="auto"/>
      </w:pPr>
      <w:r>
        <w:rPr>
          <w:rFonts w:ascii="Calibri" w:hAnsi="Calibri" w:eastAsia="Calibri"/>
        </w:rPr>
        <w:t>Interpolation and cylindrical remapping errors</w:t>
      </w:r>
    </w:p>
    <w:p>
      <w:pPr>
        <w:pStyle w:val="ListBullet"/>
        <w:spacing w:after="80" w:line="300" w:lineRule="auto"/>
      </w:pPr>
      <w:r>
        <w:rPr>
          <w:rFonts w:ascii="Calibri" w:hAnsi="Calibri" w:eastAsia="Calibri"/>
        </w:rPr>
        <w:t>Finite-difference time-discretization error</w:t>
      </w:r>
    </w:p>
    <w:p>
      <w:pPr>
        <w:pStyle w:val="ListBullet"/>
        <w:spacing w:after="80" w:line="300" w:lineRule="auto"/>
      </w:pPr>
      <w:r>
        <w:rPr>
          <w:rFonts w:ascii="Calibri" w:hAnsi="Calibri" w:eastAsia="Calibri"/>
        </w:rPr>
        <w:t>Mismatch between diagnosed b_dot and the model true material tendency</w:t>
      </w:r>
    </w:p>
    <w:p>
      <w:pPr>
        <w:pStyle w:val="Heading1"/>
        <w:keepNext/>
      </w:pPr>
      <w:r>
        <w:rPr>
          <w:rFonts w:ascii="Calibri" w:hAnsi="Calibri" w:eastAsia="Calibri"/>
        </w:rPr>
        <w:t>7. Output Variables and Dimensions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shd w:fill="E8EEF5"/>
          </w:tcPr>
          <w:p>
            <w:pPr>
              <w:spacing w:after="0" w:line="276" w:lineRule="auto"/>
            </w:pPr>
            <w:r/>
            <w:r>
              <w:rPr>
                <w:b/>
                <w:sz w:val="19"/>
              </w:rPr>
              <w:t>Variable group</w:t>
            </w:r>
          </w:p>
        </w:tc>
        <w:tc>
          <w:tcPr>
            <w:tcW w:type="dxa" w:w="5040"/>
            <w:vAlign w:val="center"/>
            <w:shd w:fill="E8EEF5"/>
          </w:tcPr>
          <w:p>
            <w:pPr>
              <w:spacing w:after="0" w:line="276" w:lineRule="auto"/>
            </w:pPr>
            <w:r/>
            <w:r>
              <w:rPr>
                <w:b/>
                <w:sz w:val="19"/>
              </w:rPr>
              <w:t>Saved variables</w:t>
            </w:r>
          </w:p>
        </w:tc>
        <w:tc>
          <w:tcPr>
            <w:tcW w:type="dxa" w:w="2376"/>
            <w:vAlign w:val="center"/>
            <w:shd w:fill="E8EEF5"/>
          </w:tcPr>
          <w:p>
            <w:pPr>
              <w:spacing w:after="0" w:line="276" w:lineRule="auto"/>
            </w:pPr>
            <w:r/>
            <w:r>
              <w:rPr>
                <w:b/>
                <w:sz w:val="19"/>
              </w:rPr>
              <w:t>Dimension / note</w:t>
            </w:r>
          </w:p>
        </w:tc>
      </w:tr>
      <w:tr>
        <w:tc>
          <w:tcPr>
            <w:tcW w:type="dxa" w:w="3120"/>
            <w:vAlign w:val="center"/>
          </w:tcPr>
          <w:p>
            <w:pPr>
              <w:spacing w:after="0" w:line="276" w:lineRule="auto"/>
            </w:pPr>
            <w:r/>
            <w:r>
              <w:rPr>
                <w:b w:val="0"/>
                <w:sz w:val="19"/>
              </w:rPr>
              <w:t>Coordinates</w:t>
            </w:r>
          </w:p>
        </w:tc>
        <w:tc>
          <w:tcPr>
            <w:tcW w:type="dxa" w:w="3120"/>
            <w:vAlign w:val="center"/>
          </w:tcPr>
          <w:p>
            <w:pPr>
              <w:spacing w:after="0" w:line="276" w:lineRule="auto"/>
            </w:pPr>
            <w:r/>
            <w:r>
              <w:rPr>
                <w:b w:val="0"/>
                <w:sz w:val="19"/>
              </w:rPr>
              <w:t>R, PHI, dR, dPhi, dr, dt</w:t>
            </w:r>
          </w:p>
        </w:tc>
        <w:tc>
          <w:tcPr>
            <w:tcW w:type="dxa" w:w="3120"/>
            <w:vAlign w:val="center"/>
          </w:tcPr>
          <w:p>
            <w:pPr>
              <w:spacing w:after="0" w:line="276" w:lineRule="auto"/>
            </w:pPr>
            <w:r/>
            <w:r>
              <w:rPr>
                <w:b w:val="0"/>
                <w:sz w:val="19"/>
              </w:rPr>
              <w:t>1D or scalar</w:t>
            </w:r>
          </w:p>
        </w:tc>
      </w:tr>
      <w:tr>
        <w:tc>
          <w:tcPr>
            <w:tcW w:type="dxa" w:w="3120"/>
            <w:vAlign w:val="center"/>
          </w:tcPr>
          <w:p>
            <w:pPr>
              <w:spacing w:after="0" w:line="276" w:lineRule="auto"/>
            </w:pPr>
            <w:r/>
            <w:r>
              <w:rPr>
                <w:b w:val="0"/>
                <w:sz w:val="19"/>
              </w:rPr>
              <w:t>Mean structure</w:t>
            </w:r>
          </w:p>
        </w:tc>
        <w:tc>
          <w:tcPr>
            <w:tcW w:type="dxa" w:w="3120"/>
            <w:vAlign w:val="center"/>
          </w:tcPr>
          <w:p>
            <w:pPr>
              <w:spacing w:after="0" w:line="276" w:lineRule="auto"/>
            </w:pPr>
            <w:r/>
            <w:r>
              <w:rPr>
                <w:b w:val="0"/>
                <w:sz w:val="19"/>
              </w:rPr>
              <w:t>z, r, P, P_pa, rho</w:t>
            </w:r>
          </w:p>
        </w:tc>
        <w:tc>
          <w:tcPr>
            <w:tcW w:type="dxa" w:w="3120"/>
            <w:vAlign w:val="center"/>
          </w:tcPr>
          <w:p>
            <w:pPr>
              <w:spacing w:after="0" w:line="276" w:lineRule="auto"/>
            </w:pPr>
            <w:r/>
            <w:r>
              <w:rPr>
                <w:b w:val="0"/>
                <w:sz w:val="19"/>
              </w:rPr>
              <w:t>[nZ x nR]</w:t>
            </w:r>
          </w:p>
        </w:tc>
      </w:tr>
      <w:tr>
        <w:tc>
          <w:tcPr>
            <w:tcW w:type="dxa" w:w="3120"/>
            <w:vAlign w:val="center"/>
          </w:tcPr>
          <w:p>
            <w:pPr>
              <w:spacing w:after="0" w:line="276" w:lineRule="auto"/>
            </w:pPr>
            <w:r/>
            <w:r>
              <w:rPr>
                <w:b w:val="0"/>
                <w:sz w:val="19"/>
              </w:rPr>
              <w:t>PV diagnostics</w:t>
            </w:r>
          </w:p>
        </w:tc>
        <w:tc>
          <w:tcPr>
            <w:tcW w:type="dxa" w:w="3120"/>
            <w:vAlign w:val="center"/>
          </w:tcPr>
          <w:p>
            <w:pPr>
              <w:spacing w:after="0" w:line="276" w:lineRule="auto"/>
            </w:pPr>
            <w:r/>
            <w:r>
              <w:rPr>
                <w:b w:val="0"/>
                <w:sz w:val="19"/>
              </w:rPr>
              <w:t>pv_theta, pv_thetaE, pv_diff</w:t>
            </w:r>
          </w:p>
        </w:tc>
        <w:tc>
          <w:tcPr>
            <w:tcW w:type="dxa" w:w="3120"/>
            <w:vAlign w:val="center"/>
          </w:tcPr>
          <w:p>
            <w:pPr>
              <w:spacing w:after="0" w:line="276" w:lineRule="auto"/>
            </w:pPr>
            <w:r/>
            <w:r>
              <w:rPr>
                <w:b w:val="0"/>
                <w:sz w:val="19"/>
              </w:rPr>
              <w:t>[nZ x nR]</w:t>
            </w:r>
          </w:p>
        </w:tc>
      </w:tr>
      <w:tr>
        <w:tc>
          <w:tcPr>
            <w:tcW w:type="dxa" w:w="3120"/>
            <w:vAlign w:val="center"/>
          </w:tcPr>
          <w:p>
            <w:pPr>
              <w:spacing w:after="0" w:line="276" w:lineRule="auto"/>
            </w:pPr>
            <w:r/>
            <w:r>
              <w:rPr>
                <w:b w:val="0"/>
                <w:sz w:val="19"/>
              </w:rPr>
              <w:t>Budget terms</w:t>
            </w:r>
          </w:p>
        </w:tc>
        <w:tc>
          <w:tcPr>
            <w:tcW w:type="dxa" w:w="3120"/>
            <w:vAlign w:val="center"/>
          </w:tcPr>
          <w:p>
            <w:pPr>
              <w:spacing w:after="0" w:line="276" w:lineRule="auto"/>
            </w:pPr>
            <w:r/>
            <w:r>
              <w:rPr>
                <w:b w:val="0"/>
                <w:sz w:val="19"/>
              </w:rPr>
              <w:t>PV_tendency, PV_radial_adv, PV_azimuth_adv, PV_vertical_adv, PV_solenoidal, PV_therm, PV_friction, PV_residual</w:t>
            </w:r>
          </w:p>
        </w:tc>
        <w:tc>
          <w:tcPr>
            <w:tcW w:type="dxa" w:w="3120"/>
            <w:vAlign w:val="center"/>
          </w:tcPr>
          <w:p>
            <w:pPr>
              <w:spacing w:after="0" w:line="276" w:lineRule="auto"/>
            </w:pPr>
            <w:r/>
            <w:r>
              <w:rPr>
                <w:b w:val="0"/>
                <w:sz w:val="19"/>
              </w:rPr>
              <w:t>[nZ x nR]</w:t>
            </w:r>
          </w:p>
        </w:tc>
      </w:tr>
      <w:tr>
        <w:tc>
          <w:tcPr>
            <w:tcW w:type="dxa" w:w="3120"/>
            <w:vAlign w:val="center"/>
          </w:tcPr>
          <w:p>
            <w:pPr>
              <w:spacing w:after="0" w:line="276" w:lineRule="auto"/>
            </w:pPr>
            <w:r/>
            <w:r>
              <w:rPr>
                <w:b w:val="0"/>
                <w:sz w:val="19"/>
              </w:rPr>
              <w:t>Friction diagnostics</w:t>
            </w:r>
          </w:p>
        </w:tc>
        <w:tc>
          <w:tcPr>
            <w:tcW w:type="dxa" w:w="3120"/>
            <w:vAlign w:val="center"/>
          </w:tcPr>
          <w:p>
            <w:pPr>
              <w:spacing w:after="0" w:line="276" w:lineRule="auto"/>
            </w:pPr>
            <w:r/>
            <w:r>
              <w:rPr>
                <w:b w:val="0"/>
                <w:sz w:val="19"/>
              </w:rPr>
              <w:t>PV_friction_pbl, PV_friction_khkv</w:t>
            </w:r>
          </w:p>
        </w:tc>
        <w:tc>
          <w:tcPr>
            <w:tcW w:type="dxa" w:w="3120"/>
            <w:vAlign w:val="center"/>
          </w:tcPr>
          <w:p>
            <w:pPr>
              <w:spacing w:after="0" w:line="276" w:lineRule="auto"/>
            </w:pPr>
            <w:r/>
            <w:r>
              <w:rPr>
                <w:b w:val="0"/>
                <w:sz w:val="19"/>
              </w:rPr>
              <w:t>[nZ x nR]</w:t>
            </w:r>
          </w:p>
        </w:tc>
      </w:tr>
    </w:tbl>
    <w:p/>
    <w:p>
      <w:r>
        <w:rPr>
          <w:rFonts w:ascii="Calibri" w:hAnsi="Calibri" w:eastAsia="Calibri"/>
        </w:rPr>
        <w:t>PVBG does not collapse the budget into a 0-100 km radial integral by default. The intended diagnostic view is the azimuthal-mean two-dimensional height-radius structure.</w:t>
      </w:r>
    </w:p>
    <w:p>
      <w:pPr>
        <w:pStyle w:val="Heading1"/>
        <w:keepNext/>
      </w:pPr>
      <w:r>
        <w:rPr>
          <w:rFonts w:ascii="Calibri" w:hAnsi="Calibri" w:eastAsia="Calibri"/>
        </w:rPr>
        <w:t>8. Sign Convention</w:t>
      </w:r>
    </w:p>
    <w:p>
      <w:pPr>
        <w:pStyle w:val="ListBullet"/>
        <w:spacing w:after="80" w:line="300" w:lineRule="auto"/>
      </w:pPr>
      <w:r>
        <w:rPr>
          <w:rFonts w:ascii="Calibri" w:hAnsi="Calibri" w:eastAsia="Calibri"/>
        </w:rPr>
        <w:t>Positive PV_radial_adv means radial advection increases local PV.</w:t>
      </w:r>
    </w:p>
    <w:p>
      <w:pPr>
        <w:pStyle w:val="ListBullet"/>
        <w:spacing w:after="80" w:line="300" w:lineRule="auto"/>
      </w:pPr>
      <w:r>
        <w:rPr>
          <w:rFonts w:ascii="Calibri" w:hAnsi="Calibri" w:eastAsia="Calibri"/>
        </w:rPr>
        <w:t>Positive PV_azimuth_adv means azimuthal advection increases local PV.</w:t>
      </w:r>
    </w:p>
    <w:p>
      <w:pPr>
        <w:pStyle w:val="ListBullet"/>
        <w:spacing w:after="80" w:line="300" w:lineRule="auto"/>
      </w:pPr>
      <w:r>
        <w:rPr>
          <w:rFonts w:ascii="Calibri" w:hAnsi="Calibri" w:eastAsia="Calibri"/>
        </w:rPr>
        <w:t>Positive PV_vertical_adv means vertical advection increases local PV.</w:t>
      </w:r>
    </w:p>
    <w:p>
      <w:pPr>
        <w:pStyle w:val="ListBullet"/>
        <w:spacing w:after="80" w:line="300" w:lineRule="auto"/>
      </w:pPr>
      <w:r>
        <w:rPr>
          <w:rFonts w:ascii="Calibri" w:hAnsi="Calibri" w:eastAsia="Calibri"/>
        </w:rPr>
        <w:t>Positive PV_therm means thermodynamic nonconservation generates PV.</w:t>
      </w:r>
    </w:p>
    <w:p>
      <w:pPr>
        <w:pStyle w:val="ListBullet"/>
        <w:spacing w:after="80" w:line="300" w:lineRule="auto"/>
      </w:pPr>
      <w:r>
        <w:rPr>
          <w:rFonts w:ascii="Calibri" w:hAnsi="Calibri" w:eastAsia="Calibri"/>
        </w:rPr>
        <w:t>Positive PV_friction means nonconservative momentum forcing generates PV.</w:t>
      </w:r>
    </w:p>
    <w:p>
      <w:pPr>
        <w:pStyle w:val="ListBullet"/>
        <w:spacing w:after="80" w:line="300" w:lineRule="auto"/>
      </w:pPr>
      <w:r>
        <w:rPr>
          <w:rFonts w:ascii="Calibri" w:hAnsi="Calibri" w:eastAsia="Calibri"/>
        </w:rPr>
        <w:t>Positive PV_residual means the explicit RHS terms are smaller than the diagnosed local tendency.</w:t>
      </w:r>
    </w:p>
    <w:p>
      <w:pPr>
        <w:pStyle w:val="Heading1"/>
        <w:keepNext/>
      </w:pPr>
      <w:r>
        <w:rPr>
          <w:rFonts w:ascii="Calibri" w:hAnsi="Calibri" w:eastAsia="Calibri"/>
        </w:rPr>
        <w:t>9. Current Default Settings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shd w:fill="E8EEF5"/>
          </w:tcPr>
          <w:p>
            <w:pPr>
              <w:spacing w:after="0" w:line="276" w:lineRule="auto"/>
            </w:pPr>
            <w:r/>
            <w:r>
              <w:rPr>
                <w:b/>
                <w:sz w:val="19"/>
              </w:rPr>
              <w:t>Setting</w:t>
            </w:r>
          </w:p>
        </w:tc>
        <w:tc>
          <w:tcPr>
            <w:tcW w:type="dxa" w:w="1728"/>
            <w:vAlign w:val="center"/>
            <w:shd w:fill="E8EEF5"/>
          </w:tcPr>
          <w:p>
            <w:pPr>
              <w:spacing w:after="0" w:line="276" w:lineRule="auto"/>
            </w:pPr>
            <w:r/>
            <w:r>
              <w:rPr>
                <w:b/>
                <w:sz w:val="19"/>
              </w:rPr>
              <w:t>Default</w:t>
            </w:r>
          </w:p>
        </w:tc>
        <w:tc>
          <w:tcPr>
            <w:tcW w:type="dxa" w:w="5184"/>
            <w:vAlign w:val="center"/>
            <w:shd w:fill="E8EEF5"/>
          </w:tcPr>
          <w:p>
            <w:pPr>
              <w:spacing w:after="0" w:line="276" w:lineRule="auto"/>
            </w:pPr>
            <w:r/>
            <w:r>
              <w:rPr>
                <w:b/>
                <w:sz w:val="19"/>
              </w:rPr>
              <w:t>Meaning</w:t>
            </w:r>
          </w:p>
        </w:tc>
      </w:tr>
      <w:tr>
        <w:tc>
          <w:tcPr>
            <w:tcW w:type="dxa" w:w="3120"/>
            <w:vAlign w:val="center"/>
          </w:tcPr>
          <w:p>
            <w:pPr>
              <w:spacing w:after="0" w:line="276" w:lineRule="auto"/>
            </w:pPr>
            <w:r/>
            <w:r>
              <w:rPr>
                <w:b w:val="0"/>
                <w:sz w:val="19"/>
              </w:rPr>
              <w:t>Use_thetaE</w:t>
            </w:r>
          </w:p>
        </w:tc>
        <w:tc>
          <w:tcPr>
            <w:tcW w:type="dxa" w:w="3120"/>
            <w:vAlign w:val="center"/>
          </w:tcPr>
          <w:p>
            <w:pPr>
              <w:spacing w:after="0" w:line="276" w:lineRule="auto"/>
            </w:pPr>
            <w:r/>
            <w:r>
              <w:rPr>
                <w:b w:val="0"/>
                <w:sz w:val="19"/>
              </w:rPr>
              <w:t>1</w:t>
            </w:r>
          </w:p>
        </w:tc>
        <w:tc>
          <w:tcPr>
            <w:tcW w:type="dxa" w:w="3120"/>
            <w:vAlign w:val="center"/>
          </w:tcPr>
          <w:p>
            <w:pPr>
              <w:spacing w:after="0" w:line="276" w:lineRule="auto"/>
            </w:pPr>
            <w:r/>
            <w:r>
              <w:rPr>
                <w:b w:val="0"/>
                <w:sz w:val="19"/>
              </w:rPr>
              <w:t>Use equivalent potential temperature for the primary PV budget.</w:t>
            </w:r>
          </w:p>
        </w:tc>
      </w:tr>
      <w:tr>
        <w:tc>
          <w:tcPr>
            <w:tcW w:type="dxa" w:w="3120"/>
            <w:vAlign w:val="center"/>
          </w:tcPr>
          <w:p>
            <w:pPr>
              <w:spacing w:after="0" w:line="276" w:lineRule="auto"/>
            </w:pPr>
            <w:r/>
            <w:r>
              <w:rPr>
                <w:b w:val="0"/>
                <w:sz w:val="19"/>
              </w:rPr>
              <w:t>IF_Zfix</w:t>
            </w:r>
          </w:p>
        </w:tc>
        <w:tc>
          <w:tcPr>
            <w:tcW w:type="dxa" w:w="3120"/>
            <w:vAlign w:val="center"/>
          </w:tcPr>
          <w:p>
            <w:pPr>
              <w:spacing w:after="0" w:line="276" w:lineRule="auto"/>
            </w:pPr>
            <w:r/>
            <w:r>
              <w:rPr>
                <w:b w:val="0"/>
                <w:sz w:val="19"/>
              </w:rPr>
              <w:t>1</w:t>
            </w:r>
          </w:p>
        </w:tc>
        <w:tc>
          <w:tcPr>
            <w:tcW w:type="dxa" w:w="3120"/>
            <w:vAlign w:val="center"/>
          </w:tcPr>
          <w:p>
            <w:pPr>
              <w:spacing w:after="0" w:line="276" w:lineRule="auto"/>
            </w:pPr>
            <w:r/>
            <w:r>
              <w:rPr>
                <w:b w:val="0"/>
                <w:sz w:val="19"/>
              </w:rPr>
              <w:t>Interpolate to fixed-height levels before PV gradients.</w:t>
            </w:r>
          </w:p>
        </w:tc>
      </w:tr>
      <w:tr>
        <w:tc>
          <w:tcPr>
            <w:tcW w:type="dxa" w:w="3120"/>
            <w:vAlign w:val="center"/>
          </w:tcPr>
          <w:p>
            <w:pPr>
              <w:spacing w:after="0" w:line="276" w:lineRule="auto"/>
            </w:pPr>
            <w:r/>
            <w:r>
              <w:rPr>
                <w:b w:val="0"/>
                <w:sz w:val="19"/>
              </w:rPr>
              <w:t>Time_frq</w:t>
            </w:r>
          </w:p>
        </w:tc>
        <w:tc>
          <w:tcPr>
            <w:tcW w:type="dxa" w:w="3120"/>
            <w:vAlign w:val="center"/>
          </w:tcPr>
          <w:p>
            <w:pPr>
              <w:spacing w:after="0" w:line="276" w:lineRule="auto"/>
            </w:pPr>
            <w:r/>
            <w:r>
              <w:rPr>
                <w:b w:val="0"/>
                <w:sz w:val="19"/>
              </w:rPr>
              <w:t>15 min</w:t>
            </w:r>
          </w:p>
        </w:tc>
        <w:tc>
          <w:tcPr>
            <w:tcW w:type="dxa" w:w="3120"/>
            <w:vAlign w:val="center"/>
          </w:tcPr>
          <w:p>
            <w:pPr>
              <w:spacing w:after="0" w:line="276" w:lineRule="auto"/>
            </w:pPr>
            <w:r/>
            <w:r>
              <w:rPr>
                <w:b w:val="0"/>
                <w:sz w:val="19"/>
              </w:rPr>
              <w:t>Analysis/output interval.</w:t>
            </w:r>
          </w:p>
        </w:tc>
      </w:tr>
      <w:tr>
        <w:tc>
          <w:tcPr>
            <w:tcW w:type="dxa" w:w="3120"/>
            <w:vAlign w:val="center"/>
          </w:tcPr>
          <w:p>
            <w:pPr>
              <w:spacing w:after="0" w:line="276" w:lineRule="auto"/>
            </w:pPr>
            <w:r/>
            <w:r>
              <w:rPr>
                <w:b w:val="0"/>
                <w:sz w:val="19"/>
              </w:rPr>
              <w:t>Tendency_frq</w:t>
            </w:r>
          </w:p>
        </w:tc>
        <w:tc>
          <w:tcPr>
            <w:tcW w:type="dxa" w:w="3120"/>
            <w:vAlign w:val="center"/>
          </w:tcPr>
          <w:p>
            <w:pPr>
              <w:spacing w:after="0" w:line="276" w:lineRule="auto"/>
            </w:pPr>
            <w:r/>
            <w:r>
              <w:rPr>
                <w:b w:val="0"/>
                <w:sz w:val="19"/>
              </w:rPr>
              <w:t>15 min</w:t>
            </w:r>
          </w:p>
        </w:tc>
        <w:tc>
          <w:tcPr>
            <w:tcW w:type="dxa" w:w="3120"/>
            <w:vAlign w:val="center"/>
          </w:tcPr>
          <w:p>
            <w:pPr>
              <w:spacing w:after="0" w:line="276" w:lineRule="auto"/>
            </w:pPr>
            <w:r/>
            <w:r>
              <w:rPr>
                <w:b w:val="0"/>
                <w:sz w:val="19"/>
              </w:rPr>
              <w:t>Neighboring-file interval for tendency terms.</w:t>
            </w:r>
          </w:p>
        </w:tc>
      </w:tr>
      <w:tr>
        <w:tc>
          <w:tcPr>
            <w:tcW w:type="dxa" w:w="3120"/>
            <w:vAlign w:val="center"/>
          </w:tcPr>
          <w:p>
            <w:pPr>
              <w:spacing w:after="0" w:line="276" w:lineRule="auto"/>
            </w:pPr>
            <w:r/>
            <w:r>
              <w:rPr>
                <w:b w:val="0"/>
                <w:sz w:val="19"/>
              </w:rPr>
              <w:t>Use_khkv_friction</w:t>
            </w:r>
          </w:p>
        </w:tc>
        <w:tc>
          <w:tcPr>
            <w:tcW w:type="dxa" w:w="3120"/>
            <w:vAlign w:val="center"/>
          </w:tcPr>
          <w:p>
            <w:pPr>
              <w:spacing w:after="0" w:line="276" w:lineRule="auto"/>
            </w:pPr>
            <w:r/>
            <w:r>
              <w:rPr>
                <w:b w:val="0"/>
                <w:sz w:val="19"/>
              </w:rPr>
              <w:t>0</w:t>
            </w:r>
          </w:p>
        </w:tc>
        <w:tc>
          <w:tcPr>
            <w:tcW w:type="dxa" w:w="3120"/>
            <w:vAlign w:val="center"/>
          </w:tcPr>
          <w:p>
            <w:pPr>
              <w:spacing w:after="0" w:line="276" w:lineRule="auto"/>
            </w:pPr>
            <w:r/>
            <w:r>
              <w:rPr>
                <w:b w:val="0"/>
                <w:sz w:val="19"/>
              </w:rPr>
              <w:t>Save kh/kv diagnostic separately; do not add it to default PV_friction.</w:t>
            </w:r>
          </w:p>
        </w:tc>
      </w:tr>
    </w:tbl>
    <w:p/>
    <w:p>
      <w:pPr>
        <w:pStyle w:val="Heading1"/>
        <w:keepNext/>
      </w:pPr>
      <w:r>
        <w:rPr>
          <w:rFonts w:ascii="Calibri" w:hAnsi="Calibri" w:eastAsia="Calibri"/>
        </w:rPr>
        <w:t>10. Code Alignment</w:t>
      </w:r>
    </w:p>
    <w:p>
      <w:r>
        <w:rPr>
          <w:rFonts w:ascii="Calibri" w:hAnsi="Calibri" w:eastAsia="Calibri"/>
        </w:rPr>
        <w:t>This document is aligned with the current TC_PVBG MATLAB outputs: PV_tendency, PV_radial_adv, PV_azimuth_adv, PV_vertical_adv, PV_solenoidal, PV_therm, PV_friction_pbl, PV_friction_khkv, PV_friction, PV_sum, and PV_residual.</w:t>
      </w:r>
    </w:p>
    <w:p>
      <w:r>
        <w:t>11. References</w:t>
      </w:r>
    </w:p>
    <w:p>
      <w:r>
        <w:t>1. Ertel, H., 1942: Ein neuer hydrodynamischer Wirbelsatz. Meteorologische Zeitschrift, 59, 271-281.</w:t>
      </w:r>
    </w:p>
    <w:p>
      <w:r>
        <w:t>2. Haynes, P. H., and M. E. McIntyre, 1987: On the evolution of vorticity and potential vorticity in the presence of diabatic heating and frictional or other forces. Journal of the Atmospheric Sciences, 44, 828-841. https://doi.org/10.1175/1520-0469(1987)044&lt;0828:OTEOVA&gt;2.0.CO;2.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TC_PVBG reference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55555"/>
        <w:sz w:val="18"/>
      </w:rPr>
      <w:t>TC_PVBG Potential Vorticity Budget Equations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64" w:lineRule="auto"/>
      <w:ind w:left="259"/>
    </w:pPr>
    <w:rPr>
      <w:rFonts w:ascii="Consolas" w:hAnsi="Consolas" w:eastAsia="Consolas"/>
      <w:sz w:val="19"/>
    </w:rPr>
  </w:style>
  <w:style w:type="paragraph" w:customStyle="1" w:styleId="Equation">
    <w:name w:val="Equation"/>
    <w:pPr>
      <w:spacing w:before="80" w:after="120" w:line="276" w:lineRule="auto"/>
      <w:ind w:left="288"/>
    </w:pPr>
    <w:rPr>
      <w:rFonts w:ascii="Consolas" w:hAnsi="Consolas" w:eastAsia="Consolas"/>
      <w:color w:val="1F4D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TC_PVBG Potential Vorticity Budget Equations</dc:title>
  <dc:subject>English reference guide for PV budget diagnostics</dc:subject>
  <dc:creator>python-docx</dc:creator>
  <cp:keywords>TC_PVBG, Ertel PV, potential vorticity, budget equation, MATLAB</cp:keywords>
  <dc:description>generated by python-docx</dc:description>
  <cp:lastModifiedBy/>
  <cp:revision>1</cp:revision>
  <dcterms:created xsi:type="dcterms:W3CDTF">2013-12-23T23:15:00Z</dcterms:created>
  <dcterms:modified xsi:type="dcterms:W3CDTF">2013-12-23T23:15:00Z</dcterms:modified>
  <cp:category/>
</cp:coreProperties>
</file>