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후 정답 복원과 동일 원천값 짝비교에 기초한 가드레일 감사</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A Post-Mutation Gold Reconstruction and Matched Guardrail Audit</w:t>
      </w:r>
    </w:p>
    <w:p>
      <w:pPr>
        <w:spacing w:after="40"/>
        <w:jc w:val="right"/>
      </w:pPr>
      <w:r>
        <w:rPr>
          <w:rFonts w:ascii="HY신명조" w:hAnsi="HY신명조" w:eastAsia="HY신명조"/>
          <w:b/>
          <w:color w:val="000000"/>
          <w:sz w:val="22"/>
        </w:rPr>
        <w:t>민우</w:t>
      </w:r>
    </w:p>
    <w:p>
      <w:pPr>
        <w:spacing w:after="40"/>
        <w:jc w:val="right"/>
      </w:pPr>
      <w:r>
        <w:rPr>
          <w:rFonts w:ascii="HY신명조" w:hAnsi="HY신명조" w:eastAsia="HY신명조"/>
          <w:color w:val="5A5A5A"/>
          <w:sz w:val="17"/>
        </w:rPr>
        <w:t>정보보안학과·CCIT 융합전공</w:t>
      </w:r>
    </w:p>
    <w:p>
      <w:pPr>
        <w:spacing w:after="40"/>
        <w:jc w:val="right"/>
      </w:pPr>
      <w:r>
        <w:rPr>
          <w:rFonts w:ascii="HY신명조" w:hAnsi="HY신명조" w:eastAsia="HY신명조"/>
          <w:color w:val="5A5A5A"/>
          <w:sz w:val="17"/>
        </w:rPr>
        <w:t>원고 작성·최종 자동검증 기준일: 2026년 7월 27일</w:t>
      </w:r>
    </w:p>
    <w:p>
      <w:pPr>
        <w:spacing w:after="40"/>
        <w:jc w:val="right"/>
      </w:pPr>
      <w:r>
        <w:rPr>
          <w:rFonts w:ascii="HY신명조" w:hAnsi="HY신명조" w:eastAsia="HY신명조"/>
          <w:color w:val="5A5A5A"/>
          <w:sz w:val="17"/>
        </w:rPr>
        <w:t xml:space="preserve">검증 대상 코드: </w:t>
      </w:r>
      <w:r>
        <w:rPr>
          <w:rFonts w:ascii="Consolas" w:hAnsi="Consolas" w:eastAsia="Consolas"/>
          <w:color w:val="5A5A5A"/>
          <w:sz w:val="16"/>
        </w:rPr>
        <w:t>KPIIGD/My-AI-Security-Project</w:t>
      </w:r>
      <w:r>
        <w:rPr>
          <w:rFonts w:ascii="HY신명조" w:hAnsi="HY신명조" w:eastAsia="HY신명조"/>
          <w:color w:val="5A5A5A"/>
          <w:sz w:val="17"/>
        </w:rPr>
        <w:t xml:space="preserve">, commit </w:t>
      </w:r>
      <w:r>
        <w:rPr>
          <w:rFonts w:ascii="Consolas" w:hAnsi="Consolas" w:eastAsia="Consolas"/>
          <w:color w:val="5A5A5A"/>
          <w:sz w:val="16"/>
        </w:rPr>
        <w:t>694ca717dd47e3d8f229bfa4da84c1fad607576b</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관련 4개 저장소와 110개 원격 참조, 10,000건의 합성 페이로드 및 네 방어구성의 저장 결과를 감사하였다.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증가는 보호대상 값이 변한 쌍에 집중되었고, 표면형을 보존한 문맥 변형에서는 증가가 입증되지 않았다.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5111"/>
        <w:gridCol w:w="4859"/>
      </w:tblGrid>
      <w:tr>
        <w:trPr>
          <w:tblHeader w:val="true"/>
          <w:cantSplit/>
        </w:trPr>
        <w:tc>
          <w:tcPr>
            <w:tcW w:type="dxa" w:w="51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I. 서론</w:t>
            </w:r>
          </w:p>
        </w:tc>
        <w:tc>
          <w:tcPr>
            <w:tcW w:type="dxa" w:w="485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V. 논의</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 이론적·법적 배경</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 형사정책적 제언</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III. 연구방법</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 한계</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IV. 분석결과</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VIII. 결론</w:t>
            </w:r>
          </w:p>
        </w:tc>
      </w:tr>
    </w:tbl>
    <w:p>
      <w:pPr>
        <w:spacing w:after="20"/>
      </w:pPr>
    </w:p>
    <w:p>
      <w:pPr>
        <w:pStyle w:val="Heading1"/>
        <w:keepNext/>
        <w:keepLines/>
      </w:pPr>
      <w:r>
        <w:rPr>
          <w:rFonts w:ascii="HY견고딕" w:hAnsi="HY견고딕" w:eastAsia="HY견고딕"/>
          <w:b/>
          <w:color w:val="000000"/>
          <w:sz w:val="28"/>
        </w:rPr>
        <w:t>I.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HY견고딕" w:hAnsi="HY견고딕" w:eastAsia="HY견고딕"/>
          <w:b/>
          <w:color w:val="000000"/>
          <w:sz w:val="28"/>
        </w:rPr>
        <w:t>II.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III. 연구방법</w:t>
      </w:r>
    </w:p>
    <w:p>
      <w:pPr>
        <w:pStyle w:val="Heading2"/>
        <w:keepNext/>
        <w:keepLines/>
      </w:pPr>
      <w:r>
        <w:rPr>
          <w:rFonts w:ascii="HY견고딕" w:hAnsi="HY견고딕" w:eastAsia="HY견고딕"/>
          <w:b/>
          <w:color w:val="000000"/>
          <w:sz w:val="24"/>
        </w:rPr>
        <w:t>1. 감사 대상과 기준 ref</w:t>
      </w:r>
    </w:p>
    <w:p>
      <w:pPr>
        <w:widowControl/>
        <w:spacing w:before="0" w:after="60" w:line="331" w:lineRule="auto"/>
        <w:ind w:firstLine="397"/>
        <w:jc w:val="both"/>
      </w:pPr>
      <w:r>
        <w:rPr>
          <w:rFonts w:ascii="HY신명조" w:hAnsi="HY신명조" w:eastAsia="HY신명조"/>
          <w:color w:val="000000"/>
          <w:sz w:val="20"/>
        </w:rPr>
        <w:t>본 연구는 KPIIGD 조직의 네 저장소와 로컬 개인 포크를 검토하였다.</w:t>
      </w:r>
    </w:p>
    <w:p>
      <w:pPr>
        <w:spacing w:before="100" w:after="60"/>
        <w:jc w:val="center"/>
      </w:pPr>
      <w:r>
        <w:rPr>
          <w:rFonts w:ascii="HY견고딕" w:hAnsi="HY견고딕" w:eastAsia="HY견고딕"/>
          <w:b/>
          <w:color w:val="000000"/>
          <w:sz w:val="20"/>
        </w:rPr>
        <w:t>&lt;표 1&gt; 저장소별 감사 기준과 역할</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815"/>
        <w:gridCol w:w="2472"/>
        <w:gridCol w:w="3683"/>
      </w:tblGrid>
      <w:tr>
        <w:trPr>
          <w:tblHeader w:val="true"/>
          <w:cantSplit/>
        </w:trPr>
        <w:tc>
          <w:tcPr>
            <w:tcW w:type="dxa" w:w="381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저장소</w:t>
            </w:r>
          </w:p>
        </w:tc>
        <w:tc>
          <w:tcPr>
            <w:tcW w:type="dxa" w:w="247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검증 기준</w:t>
            </w:r>
          </w:p>
        </w:tc>
        <w:tc>
          <w:tcPr>
            <w:tcW w:type="dxa" w:w="368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역할</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694ca717dd47</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코드·10,000건 데이터·저장 실험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6e9c6beef29d</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논문 목차·내부 검증문서</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cc6288d0d868</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약한 라벨 큐레이션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72f8eb17a38c</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지식베이스·과거 실험 기록</w:t>
            </w:r>
          </w:p>
        </w:tc>
      </w:tr>
    </w:tbl>
    <w:p>
      <w:pPr>
        <w:spacing w:after="20"/>
      </w:pPr>
    </w:p>
    <w:p>
      <w:pPr>
        <w:widowControl/>
        <w:spacing w:before="0" w:after="60" w:line="331" w:lineRule="auto"/>
        <w:jc w:val="left"/>
      </w:pPr>
      <w:r>
        <w:rPr>
          <w:rFonts w:ascii="HY신명조" w:hAnsi="HY신명조" w:eastAsia="HY신명조"/>
          <w:color w:val="000000"/>
          <w:sz w:val="17"/>
        </w:rPr>
        <w:t>자료: 본 연구의 Git 원격 참조 및 파일 대조 결과.</w:t>
      </w:r>
    </w:p>
    <w:p>
      <w:pPr>
        <w:widowControl/>
        <w:spacing w:before="0" w:after="60" w:line="331" w:lineRule="auto"/>
        <w:ind w:firstLine="397"/>
        <w:jc w:val="both"/>
      </w:pPr>
      <w:r>
        <w:rPr>
          <w:rFonts w:ascii="Consolas" w:hAnsi="Consolas" w:eastAsia="Consolas"/>
          <w:color w:val="000000"/>
          <w:sz w:val="19"/>
        </w:rPr>
        <w:t>kpiigd*</w:t>
      </w:r>
      <w:r>
        <w:rPr>
          <w:rFonts w:ascii="HY신명조" w:hAnsi="HY신명조" w:eastAsia="HY신명조"/>
          <w:color w:val="000000"/>
          <w:sz w:val="20"/>
        </w:rPr>
        <w:t xml:space="preserve"> 원격의 110개 ref(활성 브랜치 42개, 보존 PR head 68개)를 파일명과 핵심 증거를 기준으로 검색하였다. 두 참조 유형에는 같은 커밋이 중복될 수 있다. 공개 저장소에서는 39개 원격 브랜치를 별도로 확인하였다. 최신 논문 설계는 내부 저장소의 v2였고, 저장된 실험 결과의 기준은 공개 저장소 main이었다. 2026년 7월 26일 추가된 PR #88은 GitHub Actions의 </w:t>
      </w:r>
      <w:r>
        <w:rPr>
          <w:rFonts w:ascii="Consolas" w:hAnsi="Consolas" w:eastAsia="Consolas"/>
          <w:color w:val="000000"/>
          <w:sz w:val="19"/>
        </w:rPr>
        <w:t>setup-python</w:t>
      </w:r>
      <w:r>
        <w:rPr>
          <w:rFonts w:ascii="HY신명조" w:hAnsi="HY신명조" w:eastAsia="HY신명조"/>
          <w:color w:val="000000"/>
          <w:sz w:val="20"/>
        </w:rPr>
        <w:t xml:space="preserve"> 버전 한 줄만 바꾸므로 논문 데이터·코드·주장 기준선에는 영향을 주지 않았다.</w:t>
      </w:r>
    </w:p>
    <w:p>
      <w:pPr>
        <w:pStyle w:val="Heading2"/>
        <w:keepNext/>
        <w:keepLines/>
      </w:pPr>
      <w:r>
        <w:rPr>
          <w:rFonts w:ascii="HY견고딕" w:hAnsi="HY견고딕" w:eastAsia="HY견고딕"/>
          <w:b/>
          <w:color w:val="000000"/>
          <w:sz w:val="24"/>
        </w:rPr>
        <w:t>2. 분석 자료</w:t>
      </w:r>
    </w:p>
    <w:p>
      <w:pPr>
        <w:widowControl/>
        <w:spacing w:before="0" w:after="60" w:line="331" w:lineRule="auto"/>
        <w:ind w:firstLine="397"/>
        <w:jc w:val="both"/>
      </w:pPr>
      <w:r>
        <w:rPr>
          <w:rFonts w:ascii="HY신명조" w:hAnsi="HY신명조" w:eastAsia="HY신명조"/>
          <w:color w:val="000000"/>
          <w:sz w:val="20"/>
        </w:rPr>
        <w:t xml:space="preserve">핵심 데이터는 </w:t>
      </w:r>
      <w:r>
        <w:rPr>
          <w:rFonts w:ascii="Consolas" w:hAnsi="Consolas" w:eastAsia="Consolas"/>
          <w:color w:val="000000"/>
          <w:sz w:val="19"/>
        </w:rPr>
        <w:t>PII/results/data/payloads_10k.json</w:t>
      </w:r>
      <w:r>
        <w:rPr>
          <w:rFonts w:ascii="HY신명조" w:hAnsi="HY신명조" w:eastAsia="HY신명조"/>
          <w:color w:val="000000"/>
          <w:sz w:val="20"/>
        </w:rPr>
        <w:t>의 합성 페이로드 10,000건이다. 메타데이터와 전수 집계 결과는 다음과 같다.</w:t>
      </w:r>
    </w:p>
    <w:p>
      <w:pPr>
        <w:spacing w:before="100" w:after="60"/>
        <w:jc w:val="center"/>
      </w:pPr>
      <w:r>
        <w:rPr>
          <w:rFonts w:ascii="HY견고딕" w:hAnsi="HY견고딕" w:eastAsia="HY견고딕"/>
          <w:b/>
          <w:color w:val="000000"/>
          <w:sz w:val="20"/>
        </w:rPr>
        <w:t>&lt;표 2&gt;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PII/results/data/payloads_10k.json</w:t>
      </w:r>
      <w:r>
        <w:rPr>
          <w:rFonts w:ascii="HY신명조" w:hAnsi="HY신명조" w:eastAsia="HY신명조"/>
          <w:color w:val="000000"/>
          <w:sz w:val="17"/>
        </w:rPr>
        <w:t xml:space="preserve">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3. 변이 후 보호대상 복원과 미차단 판정</w:t>
      </w:r>
    </w:p>
    <w:p>
      <w:pPr>
        <w:widowControl/>
        <w:spacing w:before="0" w:after="60" w:line="331" w:lineRule="auto"/>
        <w:ind w:firstLine="397"/>
        <w:jc w:val="both"/>
      </w:pPr>
      <w:r>
        <w:rPr>
          <w:rFonts w:ascii="HY신명조" w:hAnsi="HY신명조" w:eastAsia="HY신명조"/>
          <w:color w:val="000000"/>
          <w:sz w:val="20"/>
        </w:rPr>
        <w:t xml:space="preserve">기존 평가기는 변이 전 </w:t>
      </w:r>
      <w:r>
        <w:rPr>
          <w:rFonts w:ascii="Consolas" w:hAnsi="Consolas" w:eastAsia="Consolas"/>
          <w:color w:val="000000"/>
          <w:sz w:val="19"/>
        </w:rPr>
        <w:t>pii_value</w:t>
      </w:r>
      <w:r>
        <w:rPr>
          <w:rFonts w:ascii="HY신명조" w:hAnsi="HY신명조" w:eastAsia="HY신명조"/>
          <w:color w:val="000000"/>
          <w:sz w:val="20"/>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9"/>
        </w:rPr>
        <w:t>paper/analyze_postmutation_gold.py</w:t>
      </w:r>
      <w:r>
        <w:rPr>
          <w:rFonts w:ascii="HY신명조" w:hAnsi="HY신명조" w:eastAsia="HY신명조"/>
          <w:color w:val="000000"/>
          <w:sz w:val="20"/>
        </w:rPr>
        <w:t>에 감사용 평가기를 별도로 구현하였다. 복원 순서는 다음과 같다.</w:t>
      </w:r>
    </w:p>
    <w:p>
      <w:pPr>
        <w:pStyle w:val="ListNumber"/>
        <w:widowControl/>
        <w:spacing w:before="0" w:after="60" w:line="331" w:lineRule="auto"/>
        <w:jc w:val="both"/>
      </w:pPr>
      <w:r>
        <w:rPr>
          <w:rFonts w:ascii="HY신명조" w:hAnsi="HY신명조" w:eastAsia="HY신명조"/>
          <w:color w:val="000000"/>
          <w:sz w:val="20"/>
        </w:rPr>
        <w:t>원래 값이 변이 입력에 그대로 있으면 그 문자열을 사용한다.</w:t>
      </w:r>
    </w:p>
    <w:p>
      <w:pPr>
        <w:pStyle w:val="ListNumber"/>
        <w:widowControl/>
        <w:spacing w:before="0" w:after="60" w:line="331" w:lineRule="auto"/>
        <w:jc w:val="both"/>
      </w:pPr>
      <w:r>
        <w:rPr>
          <w:rFonts w:ascii="HY신명조" w:hAnsi="HY신명조" w:eastAsia="HY신명조"/>
          <w:color w:val="000000"/>
          <w:sz w:val="20"/>
        </w:rPr>
        <w:t>fuzzer 코드에 정의된 결정론적 변이이면 동일 함수를 원래 값에 적용한다.</w:t>
      </w:r>
    </w:p>
    <w:p>
      <w:pPr>
        <w:pStyle w:val="ListNumber"/>
        <w:widowControl/>
        <w:spacing w:before="0" w:after="60" w:line="331" w:lineRule="auto"/>
        <w:jc w:val="both"/>
      </w:pPr>
      <w:r>
        <w:rPr>
          <w:rFonts w:ascii="HY신명조" w:hAnsi="HY신명조" w:eastAsia="HY신명조"/>
          <w:color w:val="000000"/>
          <w:sz w:val="20"/>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HY신명조" w:hAnsi="HY신명조" w:eastAsia="HY신명조"/>
          <w:color w:val="000000"/>
          <w:sz w:val="20"/>
        </w:rPr>
        <w:t>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4. 동일 원천값 짝비교와 불확실성 추정</w:t>
      </w:r>
    </w:p>
    <w:p>
      <w:pPr>
        <w:widowControl/>
        <w:spacing w:before="0" w:after="60" w:line="331" w:lineRule="auto"/>
        <w:ind w:firstLine="397"/>
        <w:jc w:val="both"/>
      </w:pPr>
      <w:r>
        <w:rPr>
          <w:rFonts w:ascii="HY신명조" w:hAnsi="HY신명조" w:eastAsia="HY신명조"/>
          <w:color w:val="000000"/>
          <w:sz w:val="20"/>
        </w:rPr>
        <w:t xml:space="preserve">변이 효과를 추정하기 위해 PII 유형과 원천 </w:t>
      </w:r>
      <w:r>
        <w:rPr>
          <w:rFonts w:ascii="Consolas" w:hAnsi="Consolas" w:eastAsia="Consolas"/>
          <w:color w:val="000000"/>
          <w:sz w:val="19"/>
        </w:rPr>
        <w:t>pii_value</w:t>
      </w:r>
      <w:r>
        <w:rPr>
          <w:rFonts w:ascii="HY신명조" w:hAnsi="HY신명조" w:eastAsia="HY신명조"/>
          <w:color w:val="000000"/>
          <w:sz w:val="20"/>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인지 별도로 검사하였다.</w:t>
      </w:r>
    </w:p>
    <w:p>
      <w:pPr>
        <w:widowControl/>
        <w:spacing w:before="0" w:after="60" w:line="331" w:lineRule="auto"/>
        <w:ind w:firstLine="397"/>
        <w:jc w:val="both"/>
      </w:pPr>
      <w:r>
        <w:rPr>
          <w:rFonts w:ascii="HY신명조" w:hAnsi="HY신명조" w:eastAsia="HY신명조"/>
          <w:color w:val="000000"/>
          <w:sz w:val="20"/>
        </w:rPr>
        <w:t xml:space="preserve">오탐에 대한 보조검사는 네 단계로 수행하였다. 첫째, 저장소의 </w:t>
      </w:r>
      <w:r>
        <w:rPr>
          <w:rFonts w:ascii="Consolas" w:hAnsi="Consolas" w:eastAsia="Consolas"/>
          <w:color w:val="000000"/>
          <w:sz w:val="19"/>
        </w:rPr>
        <w:t>normal_kr_10k.json</w:t>
      </w:r>
      <w:r>
        <w:rPr>
          <w:rFonts w:ascii="HY신명조" w:hAnsi="HY신명조" w:eastAsia="HY신명조"/>
          <w:color w:val="000000"/>
          <w:sz w:val="20"/>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9"/>
        </w:rPr>
        <w:t>조문내용</w:t>
      </w:r>
      <w:r>
        <w:rPr>
          <w:rFonts w:ascii="HY신명조" w:hAnsi="HY신명조" w:eastAsia="HY신명조"/>
          <w:color w:val="000000"/>
          <w:sz w:val="20"/>
        </w:rPr>
        <w:t>·</w:t>
      </w:r>
      <w:r>
        <w:rPr>
          <w:rFonts w:ascii="Consolas" w:hAnsi="Consolas" w:eastAsia="Consolas"/>
          <w:color w:val="000000"/>
          <w:sz w:val="19"/>
        </w:rPr>
        <w:t>항내용</w:t>
      </w:r>
      <w:r>
        <w:rPr>
          <w:rFonts w:ascii="HY신명조" w:hAnsi="HY신명조" w:eastAsia="HY신명조"/>
          <w:color w:val="000000"/>
          <w:sz w:val="20"/>
        </w:rPr>
        <w:t>·</w:t>
      </w:r>
      <w:r>
        <w:rPr>
          <w:rFonts w:ascii="Consolas" w:hAnsi="Consolas" w:eastAsia="Consolas"/>
          <w:color w:val="000000"/>
          <w:sz w:val="19"/>
        </w:rPr>
        <w:t>호내용</w:t>
      </w:r>
      <w:r>
        <w:rPr>
          <w:rFonts w:ascii="HY신명조" w:hAnsi="HY신명조" w:eastAsia="HY신명조"/>
          <w:color w:val="000000"/>
          <w:sz w:val="20"/>
        </w:rPr>
        <w:t>·</w:t>
      </w:r>
      <w:r>
        <w:rPr>
          <w:rFonts w:ascii="Consolas" w:hAnsi="Consolas" w:eastAsia="Consolas"/>
          <w:color w:val="000000"/>
          <w:sz w:val="19"/>
        </w:rPr>
        <w:t>목내용</w:t>
      </w:r>
      <w:r>
        <w:rPr>
          <w:rFonts w:ascii="HY신명조" w:hAnsi="HY신명조" w:eastAsia="HY신명조"/>
          <w:color w:val="000000"/>
          <w:sz w:val="20"/>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9"/>
        </w:rPr>
        <w:t>paper/audit_public_law_hard_negatives.py</w:t>
      </w:r>
      <w:r>
        <w:rPr>
          <w:rFonts w:ascii="HY신명조" w:hAnsi="HY신명조" w:eastAsia="HY신명조"/>
          <w:color w:val="000000"/>
          <w:sz w:val="20"/>
        </w:rPr>
        <w:t>는 원문을 출력하지 않고 법령 XML·코드·평가자료의 SHA-256과 집계만 출력한다.</w:t>
      </w:r>
    </w:p>
    <w:p>
      <w:pPr>
        <w:widowControl/>
        <w:spacing w:before="0" w:after="60" w:line="331" w:lineRule="auto"/>
        <w:ind w:firstLine="397"/>
        <w:jc w:val="both"/>
      </w:pPr>
      <w:r>
        <w:rPr>
          <w:rFonts w:ascii="HY신명조" w:hAnsi="HY신명조" w:eastAsia="HY신명조"/>
          <w:color w:val="000000"/>
          <w:sz w:val="20"/>
        </w:rPr>
        <w:t xml:space="preserve">넷째, </w:t>
      </w:r>
      <w:r>
        <w:rPr>
          <w:rFonts w:ascii="Consolas" w:hAnsi="Consolas" w:eastAsia="Consolas"/>
          <w:color w:val="000000"/>
          <w:sz w:val="19"/>
        </w:rPr>
        <w:t>paper/audit_public_service_hard_negatives.py</w:t>
      </w:r>
      <w:r>
        <w:rPr>
          <w:rFonts w:ascii="HY신명조" w:hAnsi="HY신명조" w:eastAsia="HY신명조"/>
          <w:color w:val="000000"/>
          <w:sz w:val="20"/>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9"/>
        </w:rPr>
        <w:t>paper/public_service_hard_negative_audit.json</w:t>
      </w:r>
      <w:r>
        <w:rPr>
          <w:rFonts w:ascii="HY신명조" w:hAnsi="HY신명조" w:eastAsia="HY신명조"/>
          <w:color w:val="000000"/>
          <w:sz w:val="20"/>
        </w:rPr>
        <w:t xml:space="preserve">에 고정하였다. 탐지된 48건의 원문·위치·해시는 </w:t>
      </w:r>
      <w:r>
        <w:rPr>
          <w:rFonts w:ascii="Consolas" w:hAnsi="Consolas" w:eastAsia="Consolas"/>
          <w:color w:val="000000"/>
          <w:sz w:val="19"/>
        </w:rPr>
        <w:t>--review</w:t>
      </w:r>
      <w:r>
        <w:rPr>
          <w:rFonts w:ascii="HY신명조" w:hAnsi="HY신명조" w:eastAsia="HY신명조"/>
          <w:color w:val="000000"/>
          <w:sz w:val="20"/>
        </w:rPr>
        <w:t xml:space="preserve">로 재현되며 </w:t>
      </w:r>
      <w:r>
        <w:rPr>
          <w:rFonts w:ascii="Consolas" w:hAnsi="Consolas" w:eastAsia="Consolas"/>
          <w:color w:val="000000"/>
          <w:sz w:val="19"/>
        </w:rPr>
        <w:t>paper/서비스도메인_오탐_2인독립검토표.md</w:t>
      </w:r>
      <w:r>
        <w:rPr>
          <w:rFonts w:ascii="HY신명조" w:hAnsi="HY신명조" w:eastAsia="HY신명조"/>
          <w:color w:val="000000"/>
          <w:sz w:val="20"/>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 xml:space="preserve">기존 </w:t>
      </w:r>
      <w:r>
        <w:rPr>
          <w:rFonts w:ascii="Consolas" w:hAnsi="Consolas" w:eastAsia="Consolas"/>
          <w:color w:val="000000"/>
          <w:sz w:val="19"/>
        </w:rPr>
        <w:t>run_e_final_4way.py</w:t>
      </w:r>
      <w:r>
        <w:rPr>
          <w:rFonts w:ascii="HY신명조" w:hAnsi="HY신명조" w:eastAsia="HY신명조"/>
          <w:color w:val="000000"/>
          <w:sz w:val="20"/>
        </w:rPr>
        <w:t xml:space="preserve">와 </w:t>
      </w:r>
      <w:r>
        <w:rPr>
          <w:rFonts w:ascii="Consolas" w:hAnsi="Consolas" w:eastAsia="Consolas"/>
          <w:color w:val="000000"/>
          <w:sz w:val="19"/>
        </w:rPr>
        <w:t>analyze_true_detection.py</w:t>
      </w:r>
      <w:r>
        <w:rPr>
          <w:rFonts w:ascii="HY신명조" w:hAnsi="HY신명조" w:eastAsia="HY신명조"/>
          <w:color w:val="000000"/>
          <w:sz w:val="20"/>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HY견고딕" w:hAnsi="HY견고딕" w:eastAsia="HY견고딕"/>
          <w:b/>
          <w:color w:val="000000"/>
          <w:sz w:val="24"/>
        </w:rPr>
        <w:t>5.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pStyle w:val="ListNumber"/>
        <w:widowControl/>
        <w:spacing w:before="0" w:after="60" w:line="331" w:lineRule="auto"/>
        <w:jc w:val="both"/>
      </w:pPr>
      <w:r>
        <w:rPr>
          <w:rFonts w:ascii="Consolas" w:hAnsi="Consolas" w:eastAsia="Consolas"/>
          <w:color w:val="000000"/>
          <w:sz w:val="19"/>
        </w:rPr>
        <w:t>payloads_10k.json</w:t>
      </w:r>
      <w:r>
        <w:rPr>
          <w:rFonts w:ascii="HY신명조" w:hAnsi="HY신명조" w:eastAsia="HY신명조"/>
          <w:color w:val="000000"/>
          <w:sz w:val="20"/>
        </w:rPr>
        <w:t>이라는 이름을 가진 파일들의 실제 payload 수와 메타데이터</w:t>
      </w:r>
    </w:p>
    <w:p>
      <w:pPr>
        <w:pStyle w:val="ListNumber"/>
        <w:widowControl/>
        <w:spacing w:before="0" w:after="60" w:line="331" w:lineRule="auto"/>
        <w:jc w:val="both"/>
      </w:pPr>
      <w:r>
        <w:rPr>
          <w:rFonts w:ascii="HY신명조" w:hAnsi="HY신명조" w:eastAsia="HY신명조"/>
          <w:color w:val="000000"/>
          <w:sz w:val="20"/>
        </w:rPr>
        <w:t>fuzzer의 기본 코퍼스 정책과 누락 시 동작</w:t>
      </w:r>
    </w:p>
    <w:p>
      <w:pPr>
        <w:pStyle w:val="ListNumber"/>
        <w:widowControl/>
        <w:spacing w:before="0" w:after="60" w:line="331" w:lineRule="auto"/>
        <w:jc w:val="both"/>
      </w:pPr>
      <w:r>
        <w:rPr>
          <w:rFonts w:ascii="HY신명조" w:hAnsi="HY신명조" w:eastAsia="HY신명조"/>
          <w:color w:val="000000"/>
          <w:sz w:val="20"/>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target과 </w:t>
      </w:r>
      <w:r>
        <w:rPr>
          <w:rFonts w:ascii="Consolas" w:hAnsi="Consolas" w:eastAsia="Consolas"/>
          <w:color w:val="000000"/>
          <w:sz w:val="19"/>
        </w:rPr>
        <w:t>sample_10k.py</w:t>
      </w:r>
      <w:r>
        <w:rPr>
          <w:rFonts w:ascii="HY신명조" w:hAnsi="HY신명조" w:eastAsia="HY신명조"/>
          <w:color w:val="000000"/>
          <w:sz w:val="20"/>
        </w:rPr>
        <w:t>의 표본 생성 경로</w:t>
      </w:r>
    </w:p>
    <w:p>
      <w:pPr>
        <w:pStyle w:val="ListNumber"/>
        <w:widowControl/>
        <w:spacing w:before="0" w:after="60" w:line="331" w:lineRule="auto"/>
        <w:jc w:val="both"/>
      </w:pPr>
      <w:r>
        <w:rPr>
          <w:rFonts w:ascii="HY신명조" w:hAnsi="HY신명조" w:eastAsia="HY신명조"/>
          <w:color w:val="000000"/>
          <w:sz w:val="20"/>
        </w:rPr>
        <w:t>격리 환경의 Layer 0·fuzzer 테스트</w:t>
      </w:r>
    </w:p>
    <w:p>
      <w:pPr>
        <w:pStyle w:val="ListNumber"/>
        <w:widowControl/>
        <w:spacing w:before="0" w:after="60" w:line="331" w:lineRule="auto"/>
        <w:jc w:val="both"/>
      </w:pPr>
      <w:r>
        <w:rPr>
          <w:rFonts w:ascii="HY신명조" w:hAnsi="HY신명조" w:eastAsia="HY신명조"/>
          <w:color w:val="000000"/>
          <w:sz w:val="20"/>
        </w:rPr>
        <w:t>정규식 패턴과 키워드 카테고리 수</w:t>
      </w:r>
    </w:p>
    <w:p>
      <w:pPr>
        <w:pStyle w:val="ListNumber"/>
        <w:widowControl/>
        <w:spacing w:before="0" w:after="60" w:line="331" w:lineRule="auto"/>
        <w:jc w:val="both"/>
      </w:pPr>
      <w:r>
        <w:rPr>
          <w:rFonts w:ascii="HY신명조" w:hAnsi="HY신명조" w:eastAsia="HY신명조"/>
          <w:color w:val="000000"/>
          <w:sz w:val="20"/>
        </w:rPr>
        <w:t>VIN 제9자리 체크디지트</w:t>
      </w:r>
    </w:p>
    <w:p>
      <w:pPr>
        <w:pStyle w:val="ListNumber"/>
        <w:widowControl/>
        <w:spacing w:before="0" w:after="60" w:line="331" w:lineRule="auto"/>
        <w:jc w:val="both"/>
      </w:pPr>
      <w:r>
        <w:rPr>
          <w:rFonts w:ascii="HY신명조" w:hAnsi="HY신명조" w:eastAsia="HY신명조"/>
          <w:color w:val="000000"/>
          <w:sz w:val="20"/>
        </w:rPr>
        <w:t>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6.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7. 연구윤리</w:t>
      </w:r>
    </w:p>
    <w:p>
      <w:pPr>
        <w:widowControl/>
        <w:spacing w:before="0" w:after="60" w:line="331" w:lineRule="auto"/>
        <w:ind w:firstLine="397"/>
        <w:jc w:val="both"/>
      </w:pPr>
      <w:r>
        <w:rPr>
          <w:rFonts w:ascii="HY신명조" w:hAnsi="HY신명조" w:eastAsia="HY신명조"/>
          <w:color w:val="000000"/>
          <w:sz w:val="20"/>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HY견고딕" w:hAnsi="HY견고딕" w:eastAsia="HY견고딕"/>
          <w:b/>
          <w:color w:val="000000"/>
          <w:sz w:val="28"/>
        </w:rPr>
        <w:t>IV.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3&gt;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결과에 변이 후 보호대상 평가기를 적용한 재계산.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4&gt;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원천 그룹 동일가중, seed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전체 데이터에서 변이 후 정답 추적의 실패</w:t>
      </w:r>
    </w:p>
    <w:p>
      <w:pPr>
        <w:widowControl/>
        <w:spacing w:before="0" w:after="60" w:line="331" w:lineRule="auto"/>
        <w:ind w:firstLine="397"/>
        <w:jc w:val="both"/>
      </w:pPr>
      <w:r>
        <w:rPr>
          <w:rFonts w:ascii="HY신명조" w:hAnsi="HY신명조" w:eastAsia="HY신명조"/>
          <w:color w:val="000000"/>
          <w:sz w:val="20"/>
        </w:rPr>
        <w:t xml:space="preserve">10,000건 중 원래 </w:t>
      </w:r>
      <w:r>
        <w:rPr>
          <w:rFonts w:ascii="Consolas" w:hAnsi="Consolas" w:eastAsia="Consolas"/>
          <w:color w:val="000000"/>
          <w:sz w:val="19"/>
        </w:rPr>
        <w:t>pii_value</w:t>
      </w:r>
      <w:r>
        <w:rPr>
          <w:rFonts w:ascii="HY신명조" w:hAnsi="HY신명조" w:eastAsia="HY신명조"/>
          <w:color w:val="000000"/>
          <w:sz w:val="20"/>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p>
      <w:pPr>
        <w:spacing w:before="100" w:after="60"/>
        <w:jc w:val="center"/>
      </w:pPr>
      <w:r>
        <w:rPr>
          <w:rFonts w:ascii="HY견고딕" w:hAnsi="HY견고딕" w:eastAsia="HY견고딕"/>
          <w:b/>
          <w:color w:val="000000"/>
          <w:sz w:val="20"/>
        </w:rPr>
        <w:t>&lt;표 5&gt;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xml:space="preserve">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최종 논문 수치를 만든 평가기와 정규화를 추가한 다른 평가기를 동일 결과에 적용한 값은 표 6과 같다.</w:t>
      </w:r>
    </w:p>
    <w:p>
      <w:pPr>
        <w:spacing w:before="100" w:after="60"/>
        <w:jc w:val="center"/>
      </w:pPr>
      <w:r>
        <w:rPr>
          <w:rFonts w:ascii="HY견고딕" w:hAnsi="HY견고딕" w:eastAsia="HY견고딕"/>
          <w:b/>
          <w:color w:val="000000"/>
          <w:sz w:val="20"/>
        </w:rPr>
        <w:t>&lt;표 6&gt;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결과에 두 평가 함수를 각각 적용한 감사 재계산.</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하드 네거티브 오탐</w:t>
      </w:r>
    </w:p>
    <w:p>
      <w:pPr>
        <w:widowControl/>
        <w:spacing w:before="0" w:after="60" w:line="331" w:lineRule="auto"/>
        <w:ind w:firstLine="397"/>
        <w:jc w:val="both"/>
      </w:pPr>
      <w:r>
        <w:rPr>
          <w:rFonts w:ascii="HY신명조" w:hAnsi="HY신명조" w:eastAsia="HY신명조"/>
          <w:color w:val="000000"/>
          <w:sz w:val="20"/>
        </w:rPr>
        <w:t>동일한 Layer 0 normalizer와 detector를 세 자료에 실행한 결과는 다음과 같다.</w:t>
      </w:r>
    </w:p>
    <w:p>
      <w:pPr>
        <w:spacing w:before="100" w:after="60"/>
        <w:jc w:val="center"/>
      </w:pPr>
      <w:r>
        <w:rPr>
          <w:rFonts w:ascii="HY견고딕" w:hAnsi="HY견고딕" w:eastAsia="HY견고딕"/>
          <w:b/>
          <w:color w:val="000000"/>
          <w:sz w:val="20"/>
        </w:rPr>
        <w:t>&lt;표 7&gt; Layer 0 하드 네거티브 감사</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 xml:space="preserve">자료: 합성 정상문 자료와 </w:t>
      </w:r>
      <w:r>
        <w:rPr>
          <w:rFonts w:ascii="Consolas" w:hAnsi="Consolas" w:eastAsia="Consolas"/>
          <w:color w:val="000000"/>
          <w:sz w:val="16"/>
        </w:rPr>
        <w:t>audit_public_law_hard_negatives.py</w:t>
      </w:r>
      <w:r>
        <w:rPr>
          <w:rFonts w:ascii="HY신명조" w:hAnsi="HY신명조" w:eastAsia="HY신명조"/>
          <w:color w:val="000000"/>
          <w:sz w:val="17"/>
        </w:rPr>
        <w:t xml:space="preserve">, </w:t>
      </w:r>
      <w:r>
        <w:rPr>
          <w:rFonts w:ascii="Consolas" w:hAnsi="Consolas" w:eastAsia="Consolas"/>
          <w:color w:val="000000"/>
          <w:sz w:val="16"/>
        </w:rPr>
        <w:t>audit_public_service_hard_negatives.py</w:t>
      </w:r>
      <w:r>
        <w:rPr>
          <w:rFonts w:ascii="HY신명조" w:hAnsi="HY신명조" w:eastAsia="HY신명조"/>
          <w:color w:val="000000"/>
          <w:sz w:val="17"/>
        </w:rPr>
        <w:t xml:space="preserve"> 재계산.</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 xml:space="preserve">서비스 도메인에서는 의료 265개 중 44개(16.60%)가 주로 </w:t>
      </w:r>
      <w:r>
        <w:rPr>
          <w:rFonts w:ascii="Consolas" w:hAnsi="Consolas" w:eastAsia="Consolas"/>
          <w:color w:val="000000"/>
          <w:sz w:val="19"/>
        </w:rPr>
        <w:t>diagnosis</w:t>
      </w:r>
      <w:r>
        <w:rPr>
          <w:rFonts w:ascii="HY신명조" w:hAnsi="HY신명조" w:eastAsia="HY신명조"/>
          <w:color w:val="000000"/>
          <w:sz w:val="20"/>
        </w:rPr>
        <w:t xml:space="preserve">로, 개발문서 255개 중 4개(1.57%)가 프로그래밍 예문의 A/B/C 표기를 </w:t>
      </w:r>
      <w:r>
        <w:rPr>
          <w:rFonts w:ascii="Consolas" w:hAnsi="Consolas" w:eastAsia="Consolas"/>
          <w:color w:val="000000"/>
          <w:sz w:val="19"/>
        </w:rPr>
        <w:t>course_grade</w:t>
      </w:r>
      <w:r>
        <w:rPr>
          <w:rFonts w:ascii="HY신명조" w:hAnsi="HY신명조" w:eastAsia="HY신명조"/>
          <w:color w:val="000000"/>
          <w:sz w:val="20"/>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표본 파일과 생성 경로의 충돌</w:t>
      </w:r>
    </w:p>
    <w:p>
      <w:pPr>
        <w:widowControl/>
        <w:spacing w:before="0" w:after="60" w:line="331" w:lineRule="auto"/>
        <w:ind w:firstLine="397"/>
        <w:jc w:val="both"/>
      </w:pPr>
      <w:r>
        <w:rPr>
          <w:rFonts w:ascii="HY신명조" w:hAnsi="HY신명조" w:eastAsia="HY신명조"/>
          <w:color w:val="000000"/>
          <w:sz w:val="20"/>
        </w:rPr>
        <w:t>저장소에는 이름이 같은 두 표본 파일이 있다.</w:t>
      </w:r>
    </w:p>
    <w:p>
      <w:pPr>
        <w:spacing w:before="100" w:after="60"/>
        <w:jc w:val="center"/>
      </w:pPr>
      <w:r>
        <w:rPr>
          <w:rFonts w:ascii="HY견고딕" w:hAnsi="HY견고딕" w:eastAsia="HY견고딕"/>
          <w:b/>
          <w:color w:val="000000"/>
          <w:sz w:val="20"/>
        </w:rPr>
        <w:t>&lt;표 8&gt; 동명 평가자료 파일의 충돌</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저장소에 포함된 두 JSON 파일의 실제 전수 집계.</w:t>
      </w:r>
    </w:p>
    <w:p>
      <w:pPr>
        <w:widowControl/>
        <w:spacing w:before="0" w:after="60" w:line="331" w:lineRule="auto"/>
        <w:ind w:firstLine="397"/>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target은 fuzzer를 </w:t>
      </w:r>
      <w:r>
        <w:rPr>
          <w:rFonts w:ascii="Consolas" w:hAnsi="Consolas" w:eastAsia="Consolas"/>
          <w:color w:val="000000"/>
          <w:sz w:val="19"/>
        </w:rPr>
        <w:t>--count 3</w:t>
      </w:r>
      <w:r>
        <w:rPr>
          <w:rFonts w:ascii="HY신명조" w:hAnsi="HY신명조" w:eastAsia="HY신명조"/>
          <w:color w:val="000000"/>
          <w:sz w:val="20"/>
        </w:rPr>
        <w:t xml:space="preserve">으로 실행한 뒤 </w:t>
      </w:r>
      <w:r>
        <w:rPr>
          <w:rFonts w:ascii="Consolas" w:hAnsi="Consolas" w:eastAsia="Consolas"/>
          <w:color w:val="000000"/>
          <w:sz w:val="19"/>
        </w:rPr>
        <w:t>sample_10k.py</w:t>
      </w:r>
      <w:r>
        <w:rPr>
          <w:rFonts w:ascii="HY신명조" w:hAnsi="HY신명조" w:eastAsia="HY신명조"/>
          <w:color w:val="000000"/>
          <w:sz w:val="20"/>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HY견고딕" w:hAnsi="HY견고딕" w:eastAsia="HY견고딕"/>
          <w:b/>
          <w:color w:val="000000"/>
          <w:sz w:val="24"/>
        </w:rPr>
        <w:t>7. 필수 코퍼스 누락과 테스트 실패</w:t>
      </w:r>
    </w:p>
    <w:p>
      <w:pPr>
        <w:widowControl/>
        <w:spacing w:before="0" w:after="60" w:line="331" w:lineRule="auto"/>
        <w:ind w:firstLine="397"/>
        <w:jc w:val="both"/>
      </w:pPr>
      <w:r>
        <w:rPr>
          <w:rFonts w:ascii="HY신명조" w:hAnsi="HY신명조" w:eastAsia="HY신명조"/>
          <w:color w:val="000000"/>
          <w:sz w:val="20"/>
        </w:rPr>
        <w:t xml:space="preserve">fuzzer v4의 기본 정책은 </w:t>
      </w:r>
      <w:r>
        <w:rPr>
          <w:rFonts w:ascii="Consolas" w:hAnsi="Consolas" w:eastAsia="Consolas"/>
          <w:color w:val="000000"/>
          <w:sz w:val="19"/>
        </w:rPr>
        <w:t>corpus_policy=required</w:t>
      </w:r>
      <w:r>
        <w:rPr>
          <w:rFonts w:ascii="HY신명조" w:hAnsi="HY신명조" w:eastAsia="HY신명조"/>
          <w:color w:val="000000"/>
          <w:sz w:val="20"/>
        </w:rPr>
        <w:t>이며 다음 파일을 요구한다.</w:t>
      </w:r>
    </w:p>
    <w:p>
      <w:pPr>
        <w:pStyle w:val="ListBullet"/>
        <w:widowControl/>
        <w:spacing w:before="0" w:after="60" w:line="331" w:lineRule="auto"/>
        <w:jc w:val="both"/>
      </w:pPr>
      <w:r>
        <w:rPr>
          <w:rFonts w:ascii="Consolas" w:hAnsi="Consolas" w:eastAsia="Consolas"/>
          <w:color w:val="000000"/>
          <w:sz w:val="19"/>
        </w:rPr>
        <w:t>PII/fuzzer/data/tagged_korean_names.jsonl</w:t>
      </w:r>
    </w:p>
    <w:p>
      <w:pPr>
        <w:pStyle w:val="ListBullet"/>
        <w:widowControl/>
        <w:spacing w:before="0" w:after="60" w:line="331" w:lineRule="auto"/>
        <w:jc w:val="both"/>
      </w:pPr>
      <w:r>
        <w:rPr>
          <w:rFonts w:ascii="Consolas" w:hAnsi="Consolas" w:eastAsia="Consolas"/>
          <w:color w:val="000000"/>
          <w:sz w:val="19"/>
        </w:rPr>
        <w:t>PII/fuzzer/data/tagged_korean_addresses.jsonl</w:t>
      </w:r>
    </w:p>
    <w:p>
      <w:pPr>
        <w:widowControl/>
        <w:spacing w:before="0" w:after="60" w:line="331" w:lineRule="auto"/>
        <w:ind w:firstLine="397"/>
        <w:jc w:val="both"/>
      </w:pPr>
      <w:r>
        <w:rPr>
          <w:rFonts w:ascii="HY신명조" w:hAnsi="HY신명조" w:eastAsia="HY신명조"/>
          <w:color w:val="000000"/>
          <w:sz w:val="20"/>
        </w:rPr>
        <w:t xml:space="preserve">두 파일은 확인한 4개 저장소와 110개 원격 ref 어디에도 없었다. fuzzer는 기본 정책에서 파일이 없으면 </w:t>
      </w:r>
      <w:r>
        <w:rPr>
          <w:rFonts w:ascii="Consolas" w:hAnsi="Consolas" w:eastAsia="Consolas"/>
          <w:color w:val="000000"/>
          <w:sz w:val="19"/>
        </w:rPr>
        <w:t>RuntimeError</w:t>
      </w:r>
      <w:r>
        <w:rPr>
          <w:rFonts w:ascii="HY신명조" w:hAnsi="HY신명조" w:eastAsia="HY신명조"/>
          <w:color w:val="000000"/>
          <w:sz w:val="20"/>
        </w:rPr>
        <w:t xml:space="preserve">를 발생시킨다.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target도 두 코퍼스를 생성하지 않는다.</w:t>
      </w:r>
    </w:p>
    <w:p>
      <w:pPr>
        <w:widowControl/>
        <w:spacing w:before="0" w:after="60" w:line="331" w:lineRule="auto"/>
        <w:ind w:firstLine="397"/>
        <w:jc w:val="both"/>
      </w:pPr>
      <w:r>
        <w:rPr>
          <w:rFonts w:ascii="HY신명조" w:hAnsi="HY신명조" w:eastAsia="HY신명조"/>
          <w:color w:val="000000"/>
          <w:sz w:val="20"/>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 xml:space="preserve">10,000건 데이터에는 VIN 유형 72개 행, 고유 원본값 10개가 포함되어 있고 모두 </w:t>
      </w:r>
      <w:r>
        <w:rPr>
          <w:rFonts w:ascii="Consolas" w:hAnsi="Consolas" w:eastAsia="Consolas"/>
          <w:color w:val="000000"/>
          <w:sz w:val="19"/>
        </w:rPr>
        <w:t>rule_valid: true</w:t>
      </w:r>
      <w:r>
        <w:rPr>
          <w:rFonts w:ascii="HY신명조" w:hAnsi="HY신명조" w:eastAsia="HY신명조"/>
          <w:color w:val="000000"/>
          <w:sz w:val="20"/>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9&gt;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주장 검증</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HY견고딕" w:hAnsi="HY견고딕" w:eastAsia="HY견고딕"/>
          <w:b/>
          <w:color w:val="000000"/>
          <w:sz w:val="28"/>
        </w:rPr>
        <w:t>V.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9"/>
        </w:rPr>
        <w:t>BLOCK/[BLOCKED]</w:t>
      </w:r>
      <w:r>
        <w:rPr>
          <w:rFonts w:ascii="HY신명조" w:hAnsi="HY신명조" w:eastAsia="HY신명조"/>
          <w:color w:val="000000"/>
          <w:sz w:val="20"/>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pStyle w:val="ListNumber"/>
        <w:widowControl/>
        <w:spacing w:before="0" w:after="60" w:line="331" w:lineRule="auto"/>
        <w:jc w:val="both"/>
      </w:pPr>
      <w:r>
        <w:rPr>
          <w:rFonts w:ascii="HY신명조" w:hAnsi="HY신명조" w:eastAsia="HY신명조"/>
          <w:color w:val="000000"/>
          <w:sz w:val="20"/>
        </w:rPr>
        <w:t>자모·한자·약어·혼용어·문맥 삽입 등 한국어 특유 변형을 후속 제품에 전달하기 전에 정규화한다.</w:t>
      </w:r>
    </w:p>
    <w:p>
      <w:pPr>
        <w:pStyle w:val="ListNumber"/>
        <w:widowControl/>
        <w:spacing w:before="0" w:after="60" w:line="331" w:lineRule="auto"/>
        <w:jc w:val="both"/>
      </w:pPr>
      <w:r>
        <w:rPr>
          <w:rFonts w:ascii="HY신명조" w:hAnsi="HY신명조" w:eastAsia="HY신명조"/>
          <w:color w:val="000000"/>
          <w:sz w:val="20"/>
        </w:rPr>
        <w:t>외부 모델 호출 전에 차단하므로 PII가 외부 API로 전달될 기회를 줄인다.</w:t>
      </w:r>
    </w:p>
    <w:p>
      <w:pPr>
        <w:pStyle w:val="ListNumber"/>
        <w:widowControl/>
        <w:spacing w:before="0" w:after="60" w:line="331" w:lineRule="auto"/>
        <w:jc w:val="both"/>
      </w:pPr>
      <w:r>
        <w:rPr>
          <w:rFonts w:ascii="HY신명조" w:hAnsi="HY신명조" w:eastAsia="HY신명조"/>
          <w:color w:val="000000"/>
          <w:sz w:val="20"/>
        </w:rPr>
        <w:t>결정론적 규칙과 사전은 판정 근거를 기록하고 사후 감사할 수 있다.</w:t>
      </w:r>
    </w:p>
    <w:p>
      <w:pPr>
        <w:pStyle w:val="ListNumber"/>
        <w:widowControl/>
        <w:spacing w:before="0" w:after="60" w:line="331" w:lineRule="auto"/>
        <w:jc w:val="both"/>
      </w:pPr>
      <w:r>
        <w:rPr>
          <w:rFonts w:ascii="HY신명조" w:hAnsi="HY신명조" w:eastAsia="HY신명조"/>
          <w:color w:val="000000"/>
          <w:sz w:val="20"/>
        </w:rPr>
        <w:t>외부 연결이나 LLM 호출이 제한되는 폐쇄망에서도 작동할 수 있다.</w:t>
      </w:r>
    </w:p>
    <w:p>
      <w:pPr>
        <w:pStyle w:val="ListNumber"/>
        <w:widowControl/>
        <w:spacing w:before="0" w:after="60" w:line="331" w:lineRule="auto"/>
        <w:jc w:val="both"/>
      </w:pPr>
      <w:r>
        <w:rPr>
          <w:rFonts w:ascii="HY신명조" w:hAnsi="HY신명조" w:eastAsia="HY신명조"/>
          <w:color w:val="000000"/>
          <w:sz w:val="20"/>
        </w:rPr>
        <w:t>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pStyle w:val="ListNumber"/>
        <w:widowControl/>
        <w:spacing w:before="0" w:after="60" w:line="331" w:lineRule="auto"/>
        <w:jc w:val="both"/>
      </w:pP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pStyle w:val="ListNumber"/>
        <w:widowControl/>
        <w:spacing w:before="0" w:after="60" w:line="331" w:lineRule="auto"/>
        <w:jc w:val="both"/>
      </w:pP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pStyle w:val="ListNumber"/>
        <w:widowControl/>
        <w:spacing w:before="0" w:after="60" w:line="331" w:lineRule="auto"/>
        <w:jc w:val="both"/>
      </w:pP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pStyle w:val="ListNumber"/>
        <w:widowControl/>
        <w:spacing w:before="0" w:after="60" w:line="331" w:lineRule="auto"/>
        <w:jc w:val="both"/>
      </w:pP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pStyle w:val="ListNumber"/>
        <w:widowControl/>
        <w:spacing w:before="0" w:after="60" w:line="331" w:lineRule="auto"/>
        <w:jc w:val="both"/>
      </w:pPr>
      <w:r>
        <w:rPr>
          <w:rFonts w:ascii="HY신명조" w:hAnsi="HY신명조" w:eastAsia="HY신명조"/>
          <w:b/>
          <w:color w:val="000000"/>
          <w:sz w:val="20"/>
        </w:rPr>
        <w:t>감사가능성:</w:t>
      </w:r>
      <w:r>
        <w:rPr>
          <w:rFonts w:ascii="HY신명조" w:hAnsi="HY신명조" w:eastAsia="HY신명조"/>
          <w:color w:val="000000"/>
          <w:sz w:val="20"/>
        </w:rPr>
        <w:t xml:space="preserve"> 버전·설정·판정 근거를 사후 검증할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HY신명조" w:hAnsi="HY신명조" w:eastAsia="HY신명조"/>
          <w:color w:val="000000"/>
          <w:sz w:val="20"/>
        </w:rPr>
        <w:t xml:space="preserve">기술 데이터셋의 </w:t>
      </w:r>
      <w:r>
        <w:rPr>
          <w:rFonts w:ascii="Consolas" w:hAnsi="Consolas" w:eastAsia="Consolas"/>
          <w:color w:val="000000"/>
          <w:sz w:val="19"/>
        </w:rPr>
        <w:t>pii_type</w:t>
      </w:r>
    </w:p>
    <w:p>
      <w:pPr>
        <w:pStyle w:val="ListBullet"/>
        <w:widowControl/>
        <w:spacing w:before="0" w:after="60" w:line="331" w:lineRule="auto"/>
        <w:jc w:val="both"/>
      </w:pPr>
      <w:r>
        <w:rPr>
          <w:rFonts w:ascii="HY신명조" w:hAnsi="HY신명조" w:eastAsia="HY신명조"/>
          <w:color w:val="000000"/>
          <w:sz w:val="20"/>
        </w:rPr>
        <w:t>개인정보 보호법상 범주와 조문</w:t>
      </w:r>
    </w:p>
    <w:p>
      <w:pPr>
        <w:pStyle w:val="ListBullet"/>
        <w:widowControl/>
        <w:spacing w:before="0" w:after="60" w:line="331" w:lineRule="auto"/>
        <w:jc w:val="both"/>
      </w:pPr>
      <w:r>
        <w:rPr>
          <w:rFonts w:ascii="HY신명조" w:hAnsi="HY신명조" w:eastAsia="HY신명조"/>
          <w:color w:val="000000"/>
          <w:sz w:val="20"/>
        </w:rPr>
        <w:t>합성값의 현실성·유효성 규칙</w:t>
      </w:r>
    </w:p>
    <w:p>
      <w:pPr>
        <w:pStyle w:val="ListBullet"/>
        <w:widowControl/>
        <w:spacing w:before="0" w:after="60" w:line="331" w:lineRule="auto"/>
        <w:jc w:val="both"/>
      </w:pPr>
      <w:r>
        <w:rPr>
          <w:rFonts w:ascii="HY신명조" w:hAnsi="HY신명조" w:eastAsia="HY신명조"/>
          <w:color w:val="000000"/>
          <w:sz w:val="20"/>
        </w:rPr>
        <w:t>기대되는 기술 조치</w:t>
      </w:r>
    </w:p>
    <w:p>
      <w:pPr>
        <w:pStyle w:val="ListBullet"/>
        <w:widowControl/>
        <w:spacing w:before="0" w:after="60" w:line="331" w:lineRule="auto"/>
        <w:jc w:val="both"/>
      </w:pPr>
      <w:r>
        <w:rPr>
          <w:rFonts w:ascii="HY신명조" w:hAnsi="HY신명조" w:eastAsia="HY신명조"/>
          <w:color w:val="000000"/>
          <w:sz w:val="20"/>
        </w:rPr>
        <w:t>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pStyle w:val="ListBullet"/>
        <w:widowControl/>
        <w:spacing w:before="0" w:after="60" w:line="331" w:lineRule="auto"/>
        <w:jc w:val="both"/>
      </w:pPr>
      <w:r>
        <w:rPr>
          <w:rFonts w:ascii="HY신명조" w:hAnsi="HY신명조" w:eastAsia="HY신명조"/>
          <w:color w:val="000000"/>
          <w:sz w:val="20"/>
        </w:rPr>
        <w:t>공급자와 제품명</w:t>
      </w:r>
    </w:p>
    <w:p>
      <w:pPr>
        <w:pStyle w:val="ListBullet"/>
        <w:widowControl/>
        <w:spacing w:before="0" w:after="60" w:line="331" w:lineRule="auto"/>
        <w:jc w:val="both"/>
      </w:pPr>
      <w:r>
        <w:rPr>
          <w:rFonts w:ascii="HY신명조" w:hAnsi="HY신명조" w:eastAsia="HY신명조"/>
          <w:color w:val="000000"/>
          <w:sz w:val="20"/>
        </w:rPr>
        <w:t>평가 region과 날짜</w:t>
      </w:r>
    </w:p>
    <w:p>
      <w:pPr>
        <w:pStyle w:val="ListBullet"/>
        <w:widowControl/>
        <w:spacing w:before="0" w:after="60" w:line="331" w:lineRule="auto"/>
        <w:jc w:val="both"/>
      </w:pPr>
      <w:r>
        <w:rPr>
          <w:rFonts w:ascii="HY신명조" w:hAnsi="HY신명조" w:eastAsia="HY신명조"/>
          <w:color w:val="000000"/>
          <w:sz w:val="20"/>
        </w:rPr>
        <w:t>guardrail ID·version·tier</w:t>
      </w:r>
    </w:p>
    <w:p>
      <w:pPr>
        <w:pStyle w:val="ListBullet"/>
        <w:widowControl/>
        <w:spacing w:before="0" w:after="60" w:line="331" w:lineRule="auto"/>
        <w:jc w:val="both"/>
      </w:pPr>
      <w:r>
        <w:rPr>
          <w:rFonts w:ascii="HY신명조" w:hAnsi="HY신명조" w:eastAsia="HY신명조"/>
          <w:color w:val="000000"/>
          <w:sz w:val="20"/>
        </w:rPr>
        <w:t>활성 policy·entity</w:t>
      </w:r>
    </w:p>
    <w:p>
      <w:pPr>
        <w:pStyle w:val="ListBullet"/>
        <w:widowControl/>
        <w:spacing w:before="0" w:after="60" w:line="331" w:lineRule="auto"/>
        <w:jc w:val="both"/>
      </w:pPr>
      <w:r>
        <w:rPr>
          <w:rFonts w:ascii="HY신명조" w:hAnsi="HY신명조" w:eastAsia="HY신명조"/>
          <w:color w:val="000000"/>
          <w:sz w:val="20"/>
        </w:rPr>
        <w:t>입력·출력 중 적용 위치</w:t>
      </w:r>
    </w:p>
    <w:p>
      <w:pPr>
        <w:pStyle w:val="ListBullet"/>
        <w:widowControl/>
        <w:spacing w:before="0" w:after="60" w:line="331" w:lineRule="auto"/>
        <w:jc w:val="both"/>
      </w:pPr>
      <w:r>
        <w:rPr>
          <w:rFonts w:ascii="HY신명조" w:hAnsi="HY신명조" w:eastAsia="HY신명조"/>
          <w:color w:val="000000"/>
          <w:sz w:val="20"/>
        </w:rPr>
        <w:t>게이트웨이·SDK·모델 버전</w:t>
      </w:r>
    </w:p>
    <w:p>
      <w:pPr>
        <w:pStyle w:val="ListBullet"/>
        <w:widowControl/>
        <w:spacing w:before="0" w:after="60" w:line="331" w:lineRule="auto"/>
        <w:jc w:val="both"/>
      </w:pPr>
      <w:r>
        <w:rPr>
          <w:rFonts w:ascii="HY신명조" w:hAnsi="HY신명조" w:eastAsia="HY신명조"/>
          <w:color w:val="000000"/>
          <w:sz w:val="20"/>
        </w:rPr>
        <w:t>오류·재시도·rate limit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VI.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HY신명조" w:hAnsi="HY신명조" w:eastAsia="HY신명조"/>
          <w:color w:val="000000"/>
          <w:sz w:val="20"/>
        </w:rPr>
        <w:t xml:space="preserve">10,000건 표본 생성 명령은 결과가 정확히 10,000건이 아니면 실패해야 한다. </w:t>
      </w:r>
      <w:r>
        <w:rPr>
          <w:rFonts w:ascii="Consolas" w:hAnsi="Consolas" w:eastAsia="Consolas"/>
          <w:color w:val="000000"/>
          <w:sz w:val="19"/>
        </w:rPr>
        <w:t>payloads_10k.json</w:t>
      </w:r>
      <w:r>
        <w:rPr>
          <w:rFonts w:ascii="HY신명조" w:hAnsi="HY신명조" w:eastAsia="HY신명조"/>
          <w:color w:val="000000"/>
          <w:sz w:val="20"/>
        </w:rPr>
        <w:t>처럼 수량을 파일명에 넣을 경우 메타데이터와 실제 행 수의 일치 여부를 CI에서 검사해야 한다.</w:t>
      </w:r>
    </w:p>
    <w:p>
      <w:pPr>
        <w:pStyle w:val="Heading2"/>
        <w:keepNext/>
        <w:keepLines/>
      </w:pPr>
      <w:r>
        <w:rPr>
          <w:rFonts w:ascii="HY견고딕" w:hAnsi="HY견고딕" w:eastAsia="HY견고딕"/>
          <w:b/>
          <w:color w:val="000000"/>
          <w:sz w:val="24"/>
        </w:rPr>
        <w:t>4. 깨끗한 환경 재현과 독립 감사</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HY신명조" w:hAnsi="HY신명조" w:eastAsia="HY신명조"/>
          <w:color w:val="000000"/>
          <w:sz w:val="20"/>
        </w:rPr>
        <w:t>데이터 행 수·스키마·유효성 검사</w:t>
      </w:r>
    </w:p>
    <w:p>
      <w:pPr>
        <w:pStyle w:val="ListNumber"/>
        <w:widowControl/>
        <w:spacing w:before="0" w:after="60" w:line="331" w:lineRule="auto"/>
        <w:jc w:val="both"/>
      </w:pPr>
      <w:r>
        <w:rPr>
          <w:rFonts w:ascii="HY신명조" w:hAnsi="HY신명조" w:eastAsia="HY신명조"/>
          <w:color w:val="000000"/>
          <w:sz w:val="20"/>
        </w:rPr>
        <w:t>평가기 단위테스트와 gold span 표본검사</w:t>
      </w:r>
    </w:p>
    <w:p>
      <w:pPr>
        <w:pStyle w:val="ListNumber"/>
        <w:widowControl/>
        <w:spacing w:before="0" w:after="60" w:line="331" w:lineRule="auto"/>
        <w:jc w:val="both"/>
      </w:pPr>
      <w:r>
        <w:rPr>
          <w:rFonts w:ascii="HY신명조" w:hAnsi="HY신명조" w:eastAsia="HY신명조"/>
          <w:color w:val="000000"/>
          <w:sz w:val="20"/>
        </w:rPr>
        <w:t>저장 결과에서 표·통계의 독립 재계산</w:t>
      </w:r>
    </w:p>
    <w:p>
      <w:pPr>
        <w:pStyle w:val="ListNumber"/>
        <w:widowControl/>
        <w:spacing w:before="0" w:after="60" w:line="331" w:lineRule="auto"/>
        <w:jc w:val="both"/>
      </w:pPr>
      <w:r>
        <w:rPr>
          <w:rFonts w:ascii="HY신명조" w:hAnsi="HY신명조" w:eastAsia="HY신명조"/>
          <w:color w:val="000000"/>
          <w:sz w:val="20"/>
        </w:rPr>
        <w:t>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HY신명조" w:hAnsi="HY신명조" w:eastAsia="HY신명조"/>
          <w:color w:val="000000"/>
          <w:sz w:val="20"/>
        </w:rPr>
        <w:t>처리하는 개인정보·민감정보 유형과 법적 근거</w:t>
      </w:r>
    </w:p>
    <w:p>
      <w:pPr>
        <w:pStyle w:val="ListBullet"/>
        <w:widowControl/>
        <w:spacing w:before="0" w:after="60" w:line="331" w:lineRule="auto"/>
        <w:jc w:val="both"/>
      </w:pPr>
      <w:r>
        <w:rPr>
          <w:rFonts w:ascii="HY신명조" w:hAnsi="HY신명조" w:eastAsia="HY신명조"/>
          <w:color w:val="000000"/>
          <w:sz w:val="20"/>
        </w:rPr>
        <w:t>가드레일 적용 위치와 실패 시 데이터 흐름</w:t>
      </w:r>
    </w:p>
    <w:p>
      <w:pPr>
        <w:pStyle w:val="ListBullet"/>
        <w:widowControl/>
        <w:spacing w:before="0" w:after="60" w:line="331" w:lineRule="auto"/>
        <w:jc w:val="both"/>
      </w:pPr>
      <w:r>
        <w:rPr>
          <w:rFonts w:ascii="HY신명조" w:hAnsi="HY신명조" w:eastAsia="HY신명조"/>
          <w:color w:val="000000"/>
          <w:sz w:val="20"/>
        </w:rPr>
        <w:t>언어·변이·문맥별 평가범위</w:t>
      </w:r>
    </w:p>
    <w:p>
      <w:pPr>
        <w:pStyle w:val="ListBullet"/>
        <w:widowControl/>
        <w:spacing w:before="0" w:after="60" w:line="331" w:lineRule="auto"/>
        <w:jc w:val="both"/>
      </w:pPr>
      <w:r>
        <w:rPr>
          <w:rFonts w:ascii="HY신명조" w:hAnsi="HY신명조" w:eastAsia="HY신명조"/>
          <w:color w:val="000000"/>
          <w:sz w:val="20"/>
        </w:rPr>
        <w:t>오탐·미탐·오류·지연·비용</w:t>
      </w:r>
    </w:p>
    <w:p>
      <w:pPr>
        <w:pStyle w:val="ListBullet"/>
        <w:widowControl/>
        <w:spacing w:before="0" w:after="60" w:line="331" w:lineRule="auto"/>
        <w:jc w:val="both"/>
      </w:pPr>
      <w:r>
        <w:rPr>
          <w:rFonts w:ascii="HY신명조" w:hAnsi="HY신명조" w:eastAsia="HY신명조"/>
          <w:color w:val="000000"/>
          <w:sz w:val="20"/>
        </w:rPr>
        <w:t>버전 변경 후 재평가 조건</w:t>
      </w:r>
    </w:p>
    <w:p>
      <w:pPr>
        <w:pStyle w:val="ListBullet"/>
        <w:widowControl/>
        <w:spacing w:before="0" w:after="60" w:line="331" w:lineRule="auto"/>
        <w:jc w:val="both"/>
      </w:pPr>
      <w:r>
        <w:rPr>
          <w:rFonts w:ascii="HY신명조" w:hAnsi="HY신명조" w:eastAsia="HY신명조"/>
          <w:color w:val="000000"/>
          <w:sz w:val="20"/>
        </w:rPr>
        <w:t>외부 API 사용이 제한되는 폐쇄망 대안</w:t>
      </w:r>
    </w:p>
    <w:p>
      <w:pPr>
        <w:pStyle w:val="ListBullet"/>
        <w:widowControl/>
        <w:spacing w:before="0" w:after="60" w:line="331" w:lineRule="auto"/>
        <w:jc w:val="both"/>
      </w:pPr>
      <w:r>
        <w:rPr>
          <w:rFonts w:ascii="HY신명조" w:hAnsi="HY신명조" w:eastAsia="HY신명조"/>
          <w:color w:val="000000"/>
          <w:sz w:val="20"/>
        </w:rPr>
        <w:t>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VII. 한계</w:t>
      </w:r>
    </w:p>
    <w:p>
      <w:pPr>
        <w:widowControl/>
        <w:spacing w:before="0" w:after="60" w:line="331" w:lineRule="auto"/>
        <w:ind w:firstLine="397"/>
        <w:jc w:val="both"/>
      </w:pPr>
      <w:r>
        <w:rPr>
          <w:rFonts w:ascii="HY신명조" w:hAnsi="HY신명조" w:eastAsia="HY신명조"/>
          <w:color w:val="000000"/>
          <w:sz w:val="20"/>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HY견고딕" w:hAnsi="HY견고딕" w:eastAsia="HY견고딕"/>
          <w:b/>
          <w:color w:val="000000"/>
          <w:sz w:val="28"/>
        </w:rPr>
        <w:t>VIII.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9"/>
        </w:rPr>
        <w:t>BLOCK/[BLOCKED]</w:t>
      </w:r>
      <w:r>
        <w:rPr>
          <w:rFonts w:ascii="HY신명조" w:hAnsi="HY신명조" w:eastAsia="HY신명조"/>
          <w:color w:val="000000"/>
          <w:sz w:val="20"/>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HY견고딕" w:hAnsi="HY견고딕" w:eastAsia="HY견고딕"/>
          <w:b/>
          <w:color w:val="000000"/>
          <w:sz w:val="28"/>
        </w:rPr>
        <w:t>부록: 결과 해석을 위한 주의문</w:t>
      </w:r>
    </w:p>
    <w:p>
      <w:pPr>
        <w:widowControl/>
        <w:spacing w:before="0" w:after="60" w:line="331" w:lineRule="auto"/>
        <w:ind w:firstLine="397"/>
        <w:jc w:val="both"/>
      </w:pPr>
      <w:r>
        <w:rPr>
          <w:rFonts w:ascii="HY신명조" w:hAnsi="HY신명조" w:eastAsia="HY신명조"/>
          <w:color w:val="000000"/>
          <w:sz w:val="20"/>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HY신명조" w:hAnsi="HY신명조" w:eastAsia="HY신명조"/>
          <w:color w:val="000000"/>
          <w:sz w:val="20"/>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p>
      <w:pPr>
        <w:pStyle w:val="Heading1"/>
        <w:keepNext/>
        <w:keepLines/>
      </w:pPr>
      <w:r>
        <w:rPr>
          <w:rFonts w:ascii="HY견고딕" w:hAnsi="HY견고딕" w:eastAsia="HY견고딕"/>
          <w:b/>
          <w:color w:val="000000"/>
          <w:sz w:val="28"/>
        </w:rPr>
        <w:t>참고문헌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firstLine="397"/>
        <w:jc w:val="both"/>
      </w:pPr>
      <w:r>
        <w:rPr>
          <w:rFonts w:ascii="HY신명조" w:hAnsi="HY신명조" w:eastAsia="HY신명조"/>
          <w:color w:val="000000"/>
          <w:sz w:val="20"/>
        </w:rPr>
        <w:t xml:space="preserve">박기태·조제성.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firstLine="397"/>
        <w:jc w:val="both"/>
      </w:pPr>
      <w:r>
        <w:rPr>
          <w:rFonts w:ascii="HY신명조" w:hAnsi="HY신명조" w:eastAsia="HY신명조"/>
          <w:color w:val="000000"/>
          <w:sz w:val="20"/>
        </w:rPr>
        <w:t xml:space="preserve">서지혜·최진선·박진수.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firstLine="397"/>
        <w:jc w:val="both"/>
      </w:pPr>
      <w:r>
        <w:rPr>
          <w:rFonts w:ascii="HY신명조" w:hAnsi="HY신명조" w:eastAsia="HY신명조"/>
          <w:color w:val="000000"/>
          <w:sz w:val="20"/>
        </w:rPr>
        <w:t xml:space="preserve">이윤호·김도우·유영재.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widowControl/>
        <w:spacing w:before="0" w:after="60" w:line="331" w:lineRule="auto"/>
        <w:ind w:firstLine="397"/>
        <w:jc w:val="both"/>
      </w:pPr>
      <w:r>
        <w:rPr>
          <w:rFonts w:ascii="HY신명조" w:hAnsi="HY신명조" w:eastAsia="HY신명조"/>
          <w:color w:val="000000"/>
          <w:sz w:val="20"/>
        </w:rPr>
        <w:t xml:space="preserve">노희주·조윤오.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w:t>
      </w:r>
    </w:p>
    <w:p>
      <w:pPr>
        <w:widowControl/>
        <w:spacing w:before="0" w:after="60" w:line="331" w:lineRule="auto"/>
        <w:ind w:firstLine="397"/>
        <w:jc w:val="both"/>
      </w:pPr>
      <w:r>
        <w:rPr>
          <w:rFonts w:ascii="HY신명조" w:hAnsi="HY신명조" w:eastAsia="HY신명조"/>
          <w:color w:val="000000"/>
          <w:sz w:val="20"/>
        </w:rPr>
        <w:t xml:space="preserve">블라데미르 T. 콩고·여승준·최진혁.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pStyle w:val="Heading2"/>
        <w:keepNext/>
        <w:keepLines/>
      </w:pPr>
      <w:r>
        <w:rPr>
          <w:rFonts w:ascii="HY견고딕" w:hAnsi="HY견고딕" w:eastAsia="HY견고딕"/>
          <w:b/>
          <w:color w:val="000000"/>
          <w:sz w:val="24"/>
        </w:rPr>
        <w:t>2. 국외문헌</w:t>
      </w:r>
    </w:p>
    <w:p>
      <w:pPr>
        <w:widowControl/>
        <w:spacing w:before="0" w:after="60" w:line="331" w:lineRule="auto"/>
        <w:ind w:firstLine="397"/>
        <w:jc w:val="both"/>
      </w:pPr>
      <w:r>
        <w:rPr>
          <w:rFonts w:ascii="HY신명조" w:hAnsi="HY신명조" w:eastAsia="HY신명조"/>
          <w:color w:val="000000"/>
          <w:sz w:val="20"/>
        </w:rPr>
        <w:t xml:space="preserve">Clarke, R. V.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firstLine="397"/>
        <w:jc w:val="both"/>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firstLine="397"/>
        <w:jc w:val="both"/>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firstLine="397"/>
        <w:jc w:val="both"/>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firstLine="397"/>
        <w:jc w:val="both"/>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firstLine="397"/>
        <w:jc w:val="both"/>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firstLine="397"/>
        <w:jc w:val="both"/>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firstLine="397"/>
        <w:jc w:val="both"/>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pStyle w:val="Heading2"/>
        <w:keepNext/>
        <w:keepLines/>
      </w:pPr>
      <w:r>
        <w:rPr>
          <w:rFonts w:ascii="HY견고딕" w:hAnsi="HY견고딕" w:eastAsia="HY견고딕"/>
          <w:b/>
          <w:color w:val="000000"/>
          <w:sz w:val="24"/>
        </w:rPr>
        <w:t>3. 법령·공식자료</w:t>
      </w:r>
    </w:p>
    <w:p>
      <w:pPr>
        <w:widowControl/>
        <w:spacing w:before="0" w:after="60" w:line="331" w:lineRule="auto"/>
        <w:ind w:firstLine="397"/>
        <w:jc w:val="both"/>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firstLine="397"/>
        <w:jc w:val="both"/>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firstLine="397"/>
        <w:jc w:val="both"/>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firstLine="397"/>
        <w:jc w:val="both"/>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firstLine="397"/>
        <w:jc w:val="both"/>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firstLine="397"/>
        <w:jc w:val="both"/>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firstLine="397"/>
        <w:jc w:val="both"/>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widowControl/>
        <w:spacing w:before="0" w:after="60" w:line="331" w:lineRule="auto"/>
        <w:ind w:firstLine="397"/>
        <w:jc w:val="both"/>
      </w:pPr>
      <w:r>
        <w:rPr>
          <w:rFonts w:ascii="HY신명조" w:hAnsi="HY신명조" w:eastAsia="HY신명조"/>
          <w:color w:val="000000"/>
          <w:sz w:val="20"/>
        </w:rPr>
        <w:t>한국범죄학회. 「범죄와 정책」 소개. https://ksoc.re.kr/%EB%B2%94%EC%A3%84%EC%99%80-%EC%A0%95%EC%B1%85-%EC%86%8C%EA%B0%9C (접근일: 2026. 7. 26).</w:t>
      </w:r>
    </w:p>
    <w:p>
      <w:pPr>
        <w:widowControl/>
        <w:spacing w:before="0" w:after="60" w:line="331" w:lineRule="auto"/>
        <w:ind w:firstLine="397"/>
        <w:jc w:val="both"/>
      </w:pPr>
      <w:r>
        <w:rPr>
          <w:rFonts w:ascii="HY신명조" w:hAnsi="HY신명조" w:eastAsia="HY신명조"/>
          <w:color w:val="000000"/>
          <w:sz w:val="20"/>
        </w:rPr>
        <w:t>한국범죄학회. 「범죄와 정책」 편집규정. https://ksoc.re.kr/%ED%8E%B8%EC%A7%91%EA%B7%9C%EC%A0%95 (접근일: 2026. 7. 26).</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A Post-Mutation Gold Reconstruction and Matched Guardrail Audit</w:t>
      </w:r>
    </w:p>
    <w:p>
      <w:pPr>
        <w:pStyle w:val="JournalAbstract"/>
        <w:widowControl/>
        <w:spacing w:before="0" w:after="60" w:line="331" w:lineRule="auto"/>
        <w:jc w:val="both"/>
      </w:pPr>
      <w:r>
        <w:rPr>
          <w:rFonts w:ascii="HY신명조" w:hAnsi="HY신명조" w:eastAsia="HY신명조"/>
          <w:color w:val="000000"/>
          <w:sz w:val="20"/>
        </w:rPr>
        <w:t>Korean personally identifiable information (PII) can bypass generative-AI guardrails through character, encoding, and notation changes. This study audits four related repositories, 110 remote references, 10,000 synthetic payloads, and stored outputs from four defense configurations.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The source-group equally weighted risk difference was 6.86 percentage points (95% cluster-bootstrap CI: 4.06-9.69). The increase was concentrated in target-changing transformations; no increase was demonstrated for target-preserving context changes. Layer 0 additionally blocked 1,354 cases missed by the baseline. A counter-audit found 29 candidates among 1,519 public-law units and 48 among 693 official medical, finance, support, and developer units, demonstrating context-dependent overblocking.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operationally realistic data.</w:t>
      </w:r>
    </w:p>
    <w:p>
      <w:pPr>
        <w:pStyle w:val="JournalAbstract"/>
        <w:widowControl/>
        <w:spacing w:before="0" w:after="60" w:line="331" w:lineRule="auto"/>
        <w:jc w:val="both"/>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