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 기준일: 2026년 7월 26일</w:t>
      </w:r>
    </w:p>
    <w:p>
      <w:pPr>
        <w:spacing w:after="40"/>
        <w:jc w:val="right"/>
      </w:pPr>
      <w:r>
        <w:rPr>
          <w:rFonts w:ascii="HY신명조" w:hAnsi="HY신명조" w:eastAsia="HY신명조"/>
          <w:color w:val="5A5A5A"/>
          <w:sz w:val="17"/>
        </w:rPr>
        <w:t xml:space="preserve">검증 대상 코드: </w:t>
      </w:r>
      <w:r>
        <w:rPr>
          <w:rFonts w:ascii="Consolas" w:hAnsi="Consolas" w:eastAsia="Consolas"/>
          <w:color w:val="5A5A5A"/>
          <w:sz w:val="16"/>
        </w:rPr>
        <w:t>KPIIGD/My-AI-Security-Project</w:t>
      </w:r>
      <w:r>
        <w:rPr>
          <w:rFonts w:ascii="HY신명조" w:hAnsi="HY신명조" w:eastAsia="HY신명조"/>
          <w:color w:val="5A5A5A"/>
          <w:sz w:val="17"/>
        </w:rPr>
        <w:t xml:space="preserve">, commit </w:t>
      </w:r>
      <w:r>
        <w:rPr>
          <w:rFonts w:ascii="Consolas" w:hAnsi="Consolas" w:eastAsia="Consolas"/>
          <w:color w:val="5A5A5A"/>
          <w:sz w:val="16"/>
        </w:rPr>
        <w:t>694ca71</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109개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보호대상 값이 변한 쌍에서 증가가 집중되었으며,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I.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V.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III.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IV.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VIII. 결론</w:t>
            </w:r>
          </w:p>
        </w:tc>
      </w:tr>
    </w:tbl>
    <w:p>
      <w:pPr>
        <w:spacing w:after="20"/>
      </w:pPr>
    </w:p>
    <w:p>
      <w:pPr>
        <w:pStyle w:val="Heading1"/>
        <w:keepNext/>
        <w:keepLines/>
      </w:pPr>
      <w:r>
        <w:rPr>
          <w:rFonts w:ascii="HY견고딕" w:hAnsi="HY견고딕" w:eastAsia="HY견고딕"/>
          <w:b/>
          <w:color w:val="000000"/>
          <w:sz w:val="28"/>
        </w:rPr>
        <w:t>I.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II.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III. 연구방법</w:t>
      </w:r>
    </w:p>
    <w:p>
      <w:pPr>
        <w:pStyle w:val="Heading2"/>
        <w:keepNext/>
        <w:keepLines/>
      </w:pPr>
      <w:r>
        <w:rPr>
          <w:rFonts w:ascii="HY견고딕" w:hAnsi="HY견고딕" w:eastAsia="HY견고딕"/>
          <w:b/>
          <w:color w:val="000000"/>
          <w:sz w:val="24"/>
        </w:rPr>
        <w:t>1. 감사 대상과 기준 ref</w:t>
      </w:r>
    </w:p>
    <w:p>
      <w:pPr>
        <w:widowControl/>
        <w:spacing w:before="0" w:after="60" w:line="331" w:lineRule="auto"/>
        <w:ind w:firstLine="397"/>
        <w:jc w:val="both"/>
      </w:pPr>
      <w:r>
        <w:rPr>
          <w:rFonts w:ascii="HY신명조" w:hAnsi="HY신명조" w:eastAsia="HY신명조"/>
          <w:color w:val="000000"/>
          <w:sz w:val="20"/>
        </w:rPr>
        <w:t>본 연구는 KPIIGD 조직의 네 저장소와 로컬 개인 포크를 검토하였다.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962"/>
        <w:gridCol w:w="2185"/>
        <w:gridCol w:w="3823"/>
      </w:tblGrid>
      <w:tr>
        <w:trPr>
          <w:tblHeader w:val="true"/>
          <w:cantSplit/>
        </w:trPr>
        <w:tc>
          <w:tcPr>
            <w:tcW w:type="dxa" w:w="396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18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382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w:t>
            </w:r>
          </w:p>
        </w:tc>
        <w:tc>
          <w:tcPr>
            <w:tcW w:type="dxa" w:w="382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109개 ref를 파일명과 핵심 증거를 기준으로 검색하였다. 공개 저장소에서는 39개 원격 브랜치를 별도로 확인하였다. 최신 논문 설계는 내부 저장소의 v2였고, 저장된 실험 결과의 기준은 공개 저장소 main이었다.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pStyle w:val="ListNumber"/>
        <w:widowControl/>
        <w:spacing w:before="0" w:after="60" w:line="331" w:lineRule="auto"/>
        <w:jc w:val="both"/>
      </w:pPr>
      <w:r>
        <w:rPr>
          <w:rFonts w:ascii="HY신명조" w:hAnsi="HY신명조" w:eastAsia="HY신명조"/>
          <w:color w:val="000000"/>
          <w:sz w:val="20"/>
        </w:rPr>
        <w:t>원래 값이 변이 입력에 그대로 있으면 그 문자열을 사용한다.</w:t>
      </w:r>
    </w:p>
    <w:p>
      <w:pPr>
        <w:pStyle w:val="ListNumber"/>
        <w:widowControl/>
        <w:spacing w:before="0" w:after="60" w:line="331" w:lineRule="auto"/>
        <w:jc w:val="both"/>
      </w:pPr>
      <w:r>
        <w:rPr>
          <w:rFonts w:ascii="HY신명조" w:hAnsi="HY신명조" w:eastAsia="HY신명조"/>
          <w:color w:val="000000"/>
          <w:sz w:val="20"/>
        </w:rPr>
        <w:t>fuzzer 코드에 정의된 결정론적 변이이면 동일 함수를 원래 값에 적용한다.</w:t>
      </w:r>
    </w:p>
    <w:p>
      <w:pPr>
        <w:pStyle w:val="ListNumber"/>
        <w:widowControl/>
        <w:spacing w:before="0" w:after="60" w:line="331" w:lineRule="auto"/>
        <w:jc w:val="both"/>
      </w:pPr>
      <w:r>
        <w:rPr>
          <w:rFonts w:ascii="HY신명조" w:hAnsi="HY신명조" w:eastAsia="HY신명조"/>
          <w:color w:val="000000"/>
          <w:sz w:val="20"/>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HY신명조" w:hAnsi="HY신명조" w:eastAsia="HY신명조"/>
          <w:color w:val="000000"/>
          <w:sz w:val="20"/>
        </w:rPr>
        <w:t>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pStyle w:val="ListNumber"/>
        <w:widowControl/>
        <w:spacing w:before="0" w:after="60" w:line="331" w:lineRule="auto"/>
        <w:jc w:val="both"/>
      </w:pP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pStyle w:val="ListNumber"/>
        <w:widowControl/>
        <w:spacing w:before="0" w:after="60" w:line="331" w:lineRule="auto"/>
        <w:jc w:val="both"/>
      </w:pPr>
      <w:r>
        <w:rPr>
          <w:rFonts w:ascii="HY신명조" w:hAnsi="HY신명조" w:eastAsia="HY신명조"/>
          <w:color w:val="000000"/>
          <w:sz w:val="20"/>
        </w:rPr>
        <w:t>fuzzer의 기본 코퍼스 정책과 누락 시 동작</w:t>
      </w:r>
    </w:p>
    <w:p>
      <w:pPr>
        <w:pStyle w:val="ListNumber"/>
        <w:widowControl/>
        <w:spacing w:before="0" w:after="60" w:line="331" w:lineRule="auto"/>
        <w:jc w:val="both"/>
      </w:pPr>
      <w:r>
        <w:rPr>
          <w:rFonts w:ascii="HY신명조" w:hAnsi="HY신명조" w:eastAsia="HY신명조"/>
          <w:color w:val="000000"/>
          <w:sz w:val="20"/>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pStyle w:val="ListNumber"/>
        <w:widowControl/>
        <w:spacing w:before="0" w:after="60" w:line="331" w:lineRule="auto"/>
        <w:jc w:val="both"/>
      </w:pPr>
      <w:r>
        <w:rPr>
          <w:rFonts w:ascii="HY신명조" w:hAnsi="HY신명조" w:eastAsia="HY신명조"/>
          <w:color w:val="000000"/>
          <w:sz w:val="20"/>
        </w:rPr>
        <w:t>격리 환경의 Layer 0·fuzzer 테스트</w:t>
      </w:r>
    </w:p>
    <w:p>
      <w:pPr>
        <w:pStyle w:val="ListNumber"/>
        <w:widowControl/>
        <w:spacing w:before="0" w:after="60" w:line="331" w:lineRule="auto"/>
        <w:jc w:val="both"/>
      </w:pPr>
      <w:r>
        <w:rPr>
          <w:rFonts w:ascii="HY신명조" w:hAnsi="HY신명조" w:eastAsia="HY신명조"/>
          <w:color w:val="000000"/>
          <w:sz w:val="20"/>
        </w:rPr>
        <w:t>정규식 패턴과 키워드 카테고리 수</w:t>
      </w:r>
    </w:p>
    <w:p>
      <w:pPr>
        <w:pStyle w:val="ListNumber"/>
        <w:widowControl/>
        <w:spacing w:before="0" w:after="60" w:line="331" w:lineRule="auto"/>
        <w:jc w:val="both"/>
      </w:pPr>
      <w:r>
        <w:rPr>
          <w:rFonts w:ascii="HY신명조" w:hAnsi="HY신명조" w:eastAsia="HY신명조"/>
          <w:color w:val="000000"/>
          <w:sz w:val="20"/>
        </w:rPr>
        <w:t>VIN 제9자리 체크디지트</w:t>
      </w:r>
    </w:p>
    <w:p>
      <w:pPr>
        <w:pStyle w:val="ListNumber"/>
        <w:widowControl/>
        <w:spacing w:before="0" w:after="60" w:line="331" w:lineRule="auto"/>
        <w:jc w:val="both"/>
      </w:pPr>
      <w:r>
        <w:rPr>
          <w:rFonts w:ascii="HY신명조" w:hAnsi="HY신명조" w:eastAsia="HY신명조"/>
          <w:color w:val="000000"/>
          <w:sz w:val="20"/>
        </w:rPr>
        <w:t>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HY견고딕" w:hAnsi="HY견고딕" w:eastAsia="HY견고딕"/>
          <w:b/>
          <w:color w:val="000000"/>
          <w:sz w:val="28"/>
        </w:rPr>
        <w:t>IV.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pStyle w:val="ListBullet"/>
        <w:widowControl/>
        <w:spacing w:before="0" w:after="60" w:line="331" w:lineRule="auto"/>
        <w:jc w:val="both"/>
      </w:pPr>
      <w:r>
        <w:rPr>
          <w:rFonts w:ascii="Consolas" w:hAnsi="Consolas" w:eastAsia="Consolas"/>
          <w:color w:val="000000"/>
          <w:sz w:val="19"/>
        </w:rPr>
        <w:t>PII/fuzzer/data/tagged_korean_names.jsonl</w:t>
      </w:r>
    </w:p>
    <w:p>
      <w:pPr>
        <w:pStyle w:val="ListBullet"/>
        <w:widowControl/>
        <w:spacing w:before="0" w:after="60" w:line="331" w:lineRule="auto"/>
        <w:jc w:val="both"/>
      </w:pP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109개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V.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pStyle w:val="ListNumber"/>
        <w:widowControl/>
        <w:spacing w:before="0" w:after="60" w:line="331" w:lineRule="auto"/>
        <w:jc w:val="both"/>
      </w:pPr>
      <w:r>
        <w:rPr>
          <w:rFonts w:ascii="HY신명조" w:hAnsi="HY신명조" w:eastAsia="HY신명조"/>
          <w:color w:val="000000"/>
          <w:sz w:val="20"/>
        </w:rPr>
        <w:t>자모·한자·약어·혼용어·문맥 삽입 등 한국어 특유 변형을 후속 제품에 전달하기 전에 정규화한다.</w:t>
      </w:r>
    </w:p>
    <w:p>
      <w:pPr>
        <w:pStyle w:val="ListNumber"/>
        <w:widowControl/>
        <w:spacing w:before="0" w:after="60" w:line="331" w:lineRule="auto"/>
        <w:jc w:val="both"/>
      </w:pPr>
      <w:r>
        <w:rPr>
          <w:rFonts w:ascii="HY신명조" w:hAnsi="HY신명조" w:eastAsia="HY신명조"/>
          <w:color w:val="000000"/>
          <w:sz w:val="20"/>
        </w:rPr>
        <w:t>외부 모델 호출 전에 차단하므로 PII가 외부 API로 전달될 기회를 줄인다.</w:t>
      </w:r>
    </w:p>
    <w:p>
      <w:pPr>
        <w:pStyle w:val="ListNumber"/>
        <w:widowControl/>
        <w:spacing w:before="0" w:after="60" w:line="331" w:lineRule="auto"/>
        <w:jc w:val="both"/>
      </w:pPr>
      <w:r>
        <w:rPr>
          <w:rFonts w:ascii="HY신명조" w:hAnsi="HY신명조" w:eastAsia="HY신명조"/>
          <w:color w:val="000000"/>
          <w:sz w:val="20"/>
        </w:rPr>
        <w:t>결정론적 규칙과 사전은 판정 근거를 기록하고 사후 감사할 수 있다.</w:t>
      </w:r>
    </w:p>
    <w:p>
      <w:pPr>
        <w:pStyle w:val="ListNumber"/>
        <w:widowControl/>
        <w:spacing w:before="0" w:after="60" w:line="331" w:lineRule="auto"/>
        <w:jc w:val="both"/>
      </w:pPr>
      <w:r>
        <w:rPr>
          <w:rFonts w:ascii="HY신명조" w:hAnsi="HY신명조" w:eastAsia="HY신명조"/>
          <w:color w:val="000000"/>
          <w:sz w:val="20"/>
        </w:rPr>
        <w:t>외부 연결이나 LLM 호출이 제한되는 폐쇄망에서도 작동할 수 있다.</w:t>
      </w:r>
    </w:p>
    <w:p>
      <w:pPr>
        <w:pStyle w:val="ListNumber"/>
        <w:widowControl/>
        <w:spacing w:before="0" w:after="60" w:line="331" w:lineRule="auto"/>
        <w:jc w:val="both"/>
      </w:pPr>
      <w:r>
        <w:rPr>
          <w:rFonts w:ascii="HY신명조" w:hAnsi="HY신명조" w:eastAsia="HY신명조"/>
          <w:color w:val="000000"/>
          <w:sz w:val="20"/>
        </w:rPr>
        <w:t>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pStyle w:val="ListNumber"/>
        <w:widowControl/>
        <w:spacing w:before="0" w:after="60" w:line="331" w:lineRule="auto"/>
        <w:jc w:val="both"/>
      </w:pP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pStyle w:val="ListNumber"/>
        <w:widowControl/>
        <w:spacing w:before="0" w:after="60" w:line="331" w:lineRule="auto"/>
        <w:jc w:val="both"/>
      </w:pP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pStyle w:val="ListNumber"/>
        <w:widowControl/>
        <w:spacing w:before="0" w:after="60" w:line="331" w:lineRule="auto"/>
        <w:jc w:val="both"/>
      </w:pP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pStyle w:val="ListNumber"/>
        <w:widowControl/>
        <w:spacing w:before="0" w:after="60" w:line="331" w:lineRule="auto"/>
        <w:jc w:val="both"/>
      </w:pP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pStyle w:val="ListNumber"/>
        <w:widowControl/>
        <w:spacing w:before="0" w:after="60" w:line="331" w:lineRule="auto"/>
        <w:jc w:val="both"/>
      </w:pP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HY신명조" w:hAnsi="HY신명조" w:eastAsia="HY신명조"/>
          <w:color w:val="000000"/>
          <w:sz w:val="20"/>
        </w:rPr>
        <w:t xml:space="preserve">기술 데이터셋의 </w:t>
      </w:r>
      <w:r>
        <w:rPr>
          <w:rFonts w:ascii="Consolas" w:hAnsi="Consolas" w:eastAsia="Consolas"/>
          <w:color w:val="000000"/>
          <w:sz w:val="19"/>
        </w:rPr>
        <w:t>pii_type</w:t>
      </w:r>
    </w:p>
    <w:p>
      <w:pPr>
        <w:pStyle w:val="ListBullet"/>
        <w:widowControl/>
        <w:spacing w:before="0" w:after="60" w:line="331" w:lineRule="auto"/>
        <w:jc w:val="both"/>
      </w:pPr>
      <w:r>
        <w:rPr>
          <w:rFonts w:ascii="HY신명조" w:hAnsi="HY신명조" w:eastAsia="HY신명조"/>
          <w:color w:val="000000"/>
          <w:sz w:val="20"/>
        </w:rPr>
        <w:t>개인정보 보호법상 범주와 조문</w:t>
      </w:r>
    </w:p>
    <w:p>
      <w:pPr>
        <w:pStyle w:val="ListBullet"/>
        <w:widowControl/>
        <w:spacing w:before="0" w:after="60" w:line="331" w:lineRule="auto"/>
        <w:jc w:val="both"/>
      </w:pPr>
      <w:r>
        <w:rPr>
          <w:rFonts w:ascii="HY신명조" w:hAnsi="HY신명조" w:eastAsia="HY신명조"/>
          <w:color w:val="000000"/>
          <w:sz w:val="20"/>
        </w:rPr>
        <w:t>합성값의 현실성·유효성 규칙</w:t>
      </w:r>
    </w:p>
    <w:p>
      <w:pPr>
        <w:pStyle w:val="ListBullet"/>
        <w:widowControl/>
        <w:spacing w:before="0" w:after="60" w:line="331" w:lineRule="auto"/>
        <w:jc w:val="both"/>
      </w:pPr>
      <w:r>
        <w:rPr>
          <w:rFonts w:ascii="HY신명조" w:hAnsi="HY신명조" w:eastAsia="HY신명조"/>
          <w:color w:val="000000"/>
          <w:sz w:val="20"/>
        </w:rPr>
        <w:t>기대되는 기술 조치</w:t>
      </w:r>
    </w:p>
    <w:p>
      <w:pPr>
        <w:pStyle w:val="ListBullet"/>
        <w:widowControl/>
        <w:spacing w:before="0" w:after="60" w:line="331" w:lineRule="auto"/>
        <w:jc w:val="both"/>
      </w:pPr>
      <w:r>
        <w:rPr>
          <w:rFonts w:ascii="HY신명조" w:hAnsi="HY신명조" w:eastAsia="HY신명조"/>
          <w:color w:val="000000"/>
          <w:sz w:val="20"/>
        </w:rPr>
        <w:t>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pStyle w:val="ListBullet"/>
        <w:widowControl/>
        <w:spacing w:before="0" w:after="60" w:line="331" w:lineRule="auto"/>
        <w:jc w:val="both"/>
      </w:pPr>
      <w:r>
        <w:rPr>
          <w:rFonts w:ascii="HY신명조" w:hAnsi="HY신명조" w:eastAsia="HY신명조"/>
          <w:color w:val="000000"/>
          <w:sz w:val="20"/>
        </w:rPr>
        <w:t>공급자와 제품명</w:t>
      </w:r>
    </w:p>
    <w:p>
      <w:pPr>
        <w:pStyle w:val="ListBullet"/>
        <w:widowControl/>
        <w:spacing w:before="0" w:after="60" w:line="331" w:lineRule="auto"/>
        <w:jc w:val="both"/>
      </w:pPr>
      <w:r>
        <w:rPr>
          <w:rFonts w:ascii="HY신명조" w:hAnsi="HY신명조" w:eastAsia="HY신명조"/>
          <w:color w:val="000000"/>
          <w:sz w:val="20"/>
        </w:rPr>
        <w:t>평가 region과 날짜</w:t>
      </w:r>
    </w:p>
    <w:p>
      <w:pPr>
        <w:pStyle w:val="ListBullet"/>
        <w:widowControl/>
        <w:spacing w:before="0" w:after="60" w:line="331" w:lineRule="auto"/>
        <w:jc w:val="both"/>
      </w:pPr>
      <w:r>
        <w:rPr>
          <w:rFonts w:ascii="HY신명조" w:hAnsi="HY신명조" w:eastAsia="HY신명조"/>
          <w:color w:val="000000"/>
          <w:sz w:val="20"/>
        </w:rPr>
        <w:t>guardrail ID·version·tier</w:t>
      </w:r>
    </w:p>
    <w:p>
      <w:pPr>
        <w:pStyle w:val="ListBullet"/>
        <w:widowControl/>
        <w:spacing w:before="0" w:after="60" w:line="331" w:lineRule="auto"/>
        <w:jc w:val="both"/>
      </w:pPr>
      <w:r>
        <w:rPr>
          <w:rFonts w:ascii="HY신명조" w:hAnsi="HY신명조" w:eastAsia="HY신명조"/>
          <w:color w:val="000000"/>
          <w:sz w:val="20"/>
        </w:rPr>
        <w:t>활성 policy·entity</w:t>
      </w:r>
    </w:p>
    <w:p>
      <w:pPr>
        <w:pStyle w:val="ListBullet"/>
        <w:widowControl/>
        <w:spacing w:before="0" w:after="60" w:line="331" w:lineRule="auto"/>
        <w:jc w:val="both"/>
      </w:pPr>
      <w:r>
        <w:rPr>
          <w:rFonts w:ascii="HY신명조" w:hAnsi="HY신명조" w:eastAsia="HY신명조"/>
          <w:color w:val="000000"/>
          <w:sz w:val="20"/>
        </w:rPr>
        <w:t>입력·출력 중 적용 위치</w:t>
      </w:r>
    </w:p>
    <w:p>
      <w:pPr>
        <w:pStyle w:val="ListBullet"/>
        <w:widowControl/>
        <w:spacing w:before="0" w:after="60" w:line="331" w:lineRule="auto"/>
        <w:jc w:val="both"/>
      </w:pPr>
      <w:r>
        <w:rPr>
          <w:rFonts w:ascii="HY신명조" w:hAnsi="HY신명조" w:eastAsia="HY신명조"/>
          <w:color w:val="000000"/>
          <w:sz w:val="20"/>
        </w:rPr>
        <w:t>게이트웨이·SDK·모델 버전</w:t>
      </w:r>
    </w:p>
    <w:p>
      <w:pPr>
        <w:pStyle w:val="ListBullet"/>
        <w:widowControl/>
        <w:spacing w:before="0" w:after="60" w:line="331" w:lineRule="auto"/>
        <w:jc w:val="both"/>
      </w:pPr>
      <w:r>
        <w:rPr>
          <w:rFonts w:ascii="HY신명조" w:hAnsi="HY신명조" w:eastAsia="HY신명조"/>
          <w:color w:val="000000"/>
          <w:sz w:val="20"/>
        </w:rPr>
        <w:t>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VI.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HY신명조" w:hAnsi="HY신명조" w:eastAsia="HY신명조"/>
          <w:color w:val="000000"/>
          <w:sz w:val="20"/>
        </w:rPr>
        <w:t>데이터 행 수·스키마·유효성 검사</w:t>
      </w:r>
    </w:p>
    <w:p>
      <w:pPr>
        <w:pStyle w:val="ListNumber"/>
        <w:widowControl/>
        <w:spacing w:before="0" w:after="60" w:line="331" w:lineRule="auto"/>
        <w:jc w:val="both"/>
      </w:pPr>
      <w:r>
        <w:rPr>
          <w:rFonts w:ascii="HY신명조" w:hAnsi="HY신명조" w:eastAsia="HY신명조"/>
          <w:color w:val="000000"/>
          <w:sz w:val="20"/>
        </w:rPr>
        <w:t>평가기 단위테스트와 gold span 표본검사</w:t>
      </w:r>
    </w:p>
    <w:p>
      <w:pPr>
        <w:pStyle w:val="ListNumber"/>
        <w:widowControl/>
        <w:spacing w:before="0" w:after="60" w:line="331" w:lineRule="auto"/>
        <w:jc w:val="both"/>
      </w:pPr>
      <w:r>
        <w:rPr>
          <w:rFonts w:ascii="HY신명조" w:hAnsi="HY신명조" w:eastAsia="HY신명조"/>
          <w:color w:val="000000"/>
          <w:sz w:val="20"/>
        </w:rPr>
        <w:t>저장 결과에서 표·통계의 독립 재계산</w:t>
      </w:r>
    </w:p>
    <w:p>
      <w:pPr>
        <w:pStyle w:val="ListNumber"/>
        <w:widowControl/>
        <w:spacing w:before="0" w:after="60" w:line="331" w:lineRule="auto"/>
        <w:jc w:val="both"/>
      </w:pPr>
      <w:r>
        <w:rPr>
          <w:rFonts w:ascii="HY신명조" w:hAnsi="HY신명조" w:eastAsia="HY신명조"/>
          <w:color w:val="000000"/>
          <w:sz w:val="20"/>
        </w:rPr>
        <w:t>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HY신명조" w:hAnsi="HY신명조" w:eastAsia="HY신명조"/>
          <w:color w:val="000000"/>
          <w:sz w:val="20"/>
        </w:rPr>
        <w:t>처리하는 개인정보·민감정보 유형과 법적 근거</w:t>
      </w:r>
    </w:p>
    <w:p>
      <w:pPr>
        <w:pStyle w:val="ListBullet"/>
        <w:widowControl/>
        <w:spacing w:before="0" w:after="60" w:line="331" w:lineRule="auto"/>
        <w:jc w:val="both"/>
      </w:pPr>
      <w:r>
        <w:rPr>
          <w:rFonts w:ascii="HY신명조" w:hAnsi="HY신명조" w:eastAsia="HY신명조"/>
          <w:color w:val="000000"/>
          <w:sz w:val="20"/>
        </w:rPr>
        <w:t>가드레일 적용 위치와 실패 시 데이터 흐름</w:t>
      </w:r>
    </w:p>
    <w:p>
      <w:pPr>
        <w:pStyle w:val="ListBullet"/>
        <w:widowControl/>
        <w:spacing w:before="0" w:after="60" w:line="331" w:lineRule="auto"/>
        <w:jc w:val="both"/>
      </w:pPr>
      <w:r>
        <w:rPr>
          <w:rFonts w:ascii="HY신명조" w:hAnsi="HY신명조" w:eastAsia="HY신명조"/>
          <w:color w:val="000000"/>
          <w:sz w:val="20"/>
        </w:rPr>
        <w:t>언어·변이·문맥별 평가범위</w:t>
      </w:r>
    </w:p>
    <w:p>
      <w:pPr>
        <w:pStyle w:val="ListBullet"/>
        <w:widowControl/>
        <w:spacing w:before="0" w:after="60" w:line="331" w:lineRule="auto"/>
        <w:jc w:val="both"/>
      </w:pPr>
      <w:r>
        <w:rPr>
          <w:rFonts w:ascii="HY신명조" w:hAnsi="HY신명조" w:eastAsia="HY신명조"/>
          <w:color w:val="000000"/>
          <w:sz w:val="20"/>
        </w:rPr>
        <w:t>오탐·미탐·오류·지연·비용</w:t>
      </w:r>
    </w:p>
    <w:p>
      <w:pPr>
        <w:pStyle w:val="ListBullet"/>
        <w:widowControl/>
        <w:spacing w:before="0" w:after="60" w:line="331" w:lineRule="auto"/>
        <w:jc w:val="both"/>
      </w:pPr>
      <w:r>
        <w:rPr>
          <w:rFonts w:ascii="HY신명조" w:hAnsi="HY신명조" w:eastAsia="HY신명조"/>
          <w:color w:val="000000"/>
          <w:sz w:val="20"/>
        </w:rPr>
        <w:t>버전 변경 후 재평가 조건</w:t>
      </w:r>
    </w:p>
    <w:p>
      <w:pPr>
        <w:pStyle w:val="ListBullet"/>
        <w:widowControl/>
        <w:spacing w:before="0" w:after="60" w:line="331" w:lineRule="auto"/>
        <w:jc w:val="both"/>
      </w:pPr>
      <w:r>
        <w:rPr>
          <w:rFonts w:ascii="HY신명조" w:hAnsi="HY신명조" w:eastAsia="HY신명조"/>
          <w:color w:val="000000"/>
          <w:sz w:val="20"/>
        </w:rPr>
        <w:t>외부 API 사용이 제한되는 폐쇄망 대안</w:t>
      </w:r>
    </w:p>
    <w:p>
      <w:pPr>
        <w:pStyle w:val="ListBullet"/>
        <w:widowControl/>
        <w:spacing w:before="0" w:after="60" w:line="331" w:lineRule="auto"/>
        <w:jc w:val="both"/>
      </w:pPr>
      <w:r>
        <w:rPr>
          <w:rFonts w:ascii="HY신명조" w:hAnsi="HY신명조" w:eastAsia="HY신명조"/>
          <w:color w:val="000000"/>
          <w:sz w:val="20"/>
        </w:rPr>
        <w:t>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VII.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VIII.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pStyle w:val="Heading1"/>
        <w:keepNext/>
        <w:keepLines/>
      </w:pPr>
      <w:r>
        <w:rPr>
          <w:rFonts w:ascii="HY견고딕" w:hAnsi="HY견고딕" w:eastAsia="HY견고딕"/>
          <w:b/>
          <w:color w:val="000000"/>
          <w:sz w:val="28"/>
        </w:rPr>
        <w:t>참고문헌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firstLine="397"/>
        <w:jc w:val="both"/>
      </w:pPr>
      <w:r>
        <w:rPr>
          <w:rFonts w:ascii="HY신명조" w:hAnsi="HY신명조" w:eastAsia="HY신명조"/>
          <w:color w:val="000000"/>
          <w:sz w:val="20"/>
        </w:rPr>
        <w:t xml:space="preserve">박기태·조제성.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firstLine="397"/>
        <w:jc w:val="both"/>
      </w:pPr>
      <w:r>
        <w:rPr>
          <w:rFonts w:ascii="HY신명조" w:hAnsi="HY신명조" w:eastAsia="HY신명조"/>
          <w:color w:val="000000"/>
          <w:sz w:val="20"/>
        </w:rPr>
        <w:t xml:space="preserve">서지혜·최진선·박진수.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firstLine="397"/>
        <w:jc w:val="both"/>
      </w:pPr>
      <w:r>
        <w:rPr>
          <w:rFonts w:ascii="HY신명조" w:hAnsi="HY신명조" w:eastAsia="HY신명조"/>
          <w:color w:val="000000"/>
          <w:sz w:val="20"/>
        </w:rPr>
        <w:t xml:space="preserve">이윤호·김도우·유영재.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widowControl/>
        <w:spacing w:before="0" w:after="60" w:line="331" w:lineRule="auto"/>
        <w:ind w:firstLine="397"/>
        <w:jc w:val="both"/>
      </w:pPr>
      <w:r>
        <w:rPr>
          <w:rFonts w:ascii="HY신명조" w:hAnsi="HY신명조" w:eastAsia="HY신명조"/>
          <w:color w:val="000000"/>
          <w:sz w:val="20"/>
        </w:rPr>
        <w:t xml:space="preserve">노희주·조윤오.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w:t>
      </w:r>
    </w:p>
    <w:p>
      <w:pPr>
        <w:widowControl/>
        <w:spacing w:before="0" w:after="60" w:line="331" w:lineRule="auto"/>
        <w:ind w:firstLine="397"/>
        <w:jc w:val="both"/>
      </w:pPr>
      <w:r>
        <w:rPr>
          <w:rFonts w:ascii="HY신명조" w:hAnsi="HY신명조" w:eastAsia="HY신명조"/>
          <w:color w:val="000000"/>
          <w:sz w:val="20"/>
        </w:rPr>
        <w:t xml:space="preserve">블라데미르 T. 콩고·여승준·최진혁.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pStyle w:val="Heading2"/>
        <w:keepNext/>
        <w:keepLines/>
      </w:pPr>
      <w:r>
        <w:rPr>
          <w:rFonts w:ascii="HY견고딕" w:hAnsi="HY견고딕" w:eastAsia="HY견고딕"/>
          <w:b/>
          <w:color w:val="000000"/>
          <w:sz w:val="24"/>
        </w:rPr>
        <w:t>2. 국외문헌</w:t>
      </w:r>
    </w:p>
    <w:p>
      <w:pPr>
        <w:widowControl/>
        <w:spacing w:before="0" w:after="60" w:line="331" w:lineRule="auto"/>
        <w:ind w:firstLine="397"/>
        <w:jc w:val="both"/>
      </w:pPr>
      <w:r>
        <w:rPr>
          <w:rFonts w:ascii="HY신명조" w:hAnsi="HY신명조" w:eastAsia="HY신명조"/>
          <w:color w:val="000000"/>
          <w:sz w:val="20"/>
        </w:rPr>
        <w:t xml:space="preserve">Clarke, R. V.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firstLine="397"/>
        <w:jc w:val="both"/>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firstLine="397"/>
        <w:jc w:val="both"/>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firstLine="397"/>
        <w:jc w:val="both"/>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firstLine="397"/>
        <w:jc w:val="both"/>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firstLine="397"/>
        <w:jc w:val="both"/>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firstLine="397"/>
        <w:jc w:val="both"/>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firstLine="397"/>
        <w:jc w:val="both"/>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pStyle w:val="Heading2"/>
        <w:keepNext/>
        <w:keepLines/>
      </w:pPr>
      <w:r>
        <w:rPr>
          <w:rFonts w:ascii="HY견고딕" w:hAnsi="HY견고딕" w:eastAsia="HY견고딕"/>
          <w:b/>
          <w:color w:val="000000"/>
          <w:sz w:val="24"/>
        </w:rPr>
        <w:t>3. 법령·공식자료</w:t>
      </w:r>
    </w:p>
    <w:p>
      <w:pPr>
        <w:widowControl/>
        <w:spacing w:before="0" w:after="60" w:line="331" w:lineRule="auto"/>
        <w:ind w:firstLine="397"/>
        <w:jc w:val="both"/>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firstLine="397"/>
        <w:jc w:val="both"/>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firstLine="397"/>
        <w:jc w:val="both"/>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firstLine="397"/>
        <w:jc w:val="both"/>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firstLine="397"/>
        <w:jc w:val="both"/>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firstLine="397"/>
        <w:jc w:val="both"/>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widowControl/>
        <w:spacing w:before="0" w:after="60" w:line="331" w:lineRule="auto"/>
        <w:ind w:firstLine="397"/>
        <w:jc w:val="both"/>
      </w:pPr>
      <w:r>
        <w:rPr>
          <w:rFonts w:ascii="HY신명조" w:hAnsi="HY신명조" w:eastAsia="HY신명조"/>
          <w:color w:val="000000"/>
          <w:sz w:val="20"/>
        </w:rPr>
        <w:t>한국범죄학회. 「범죄와 정책」 소개. https://ksoc.re.kr/%EB%B2%94%EC%A3%84%EC%99%80-%EC%A0%95%EC%B1%85-%EC%86%8C%EA%B0%9C (접근일: 2026. 7. 26).</w:t>
      </w:r>
    </w:p>
    <w:p>
      <w:pPr>
        <w:widowControl/>
        <w:spacing w:before="0" w:after="60" w:line="331" w:lineRule="auto"/>
        <w:ind w:firstLine="397"/>
        <w:jc w:val="both"/>
      </w:pPr>
      <w:r>
        <w:rPr>
          <w:rFonts w:ascii="HY신명조" w:hAnsi="HY신명조" w:eastAsia="HY신명조"/>
          <w:color w:val="000000"/>
          <w:sz w:val="20"/>
        </w:rPr>
        <w:t>한국범죄학회. 「범죄와 정책」 편집규정. https://ksoc.re.kr/%ED%8E%B8%EC%A7%91%EA%B7%9C%EC%A0%95 (접근일: 2026. 7. 26).</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jc w:val="both"/>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109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operation-like data.</w:t>
      </w:r>
    </w:p>
    <w:p>
      <w:pPr>
        <w:pStyle w:val="JournalAbstract"/>
        <w:widowControl/>
        <w:spacing w:before="0" w:after="60" w:line="331" w:lineRule="auto"/>
        <w:jc w:val="both"/>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