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입력에 대한 다계층 방어 성능과 Layer 0의 추가효과</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Multi-Layer Defense Performance Against Mutated Inputs</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작성·최종 자동검증 기준일: 2026년 7월 30일</w:t>
      </w:r>
    </w:p>
    <w:p>
      <w:pPr>
        <w:spacing w:after="40"/>
        <w:jc w:val="right"/>
      </w:pPr>
      <w:r>
        <w:rPr>
          <w:rFonts w:ascii="HY신명조" w:hAnsi="HY신명조" w:eastAsia="HY신명조"/>
          <w:color w:val="5A5A5A"/>
          <w:sz w:val="17"/>
        </w:rPr>
        <w:t>재현자료 공개계획: 심사 과정에는 익명화하고, 게재 확정 후 코드·평가자료·실행환경과 버전 식별정보를 공개한다.</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ind w:firstLine="397"/>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정규화 기반 Layer 0와 패턴 탐지, 상용 가드레일 및 LLM 판별기를 결합한 다계층 방어체계를 구현하고, 10,000건의 합성 페이로드에서 네 방어구성의 성능을 비교하였다.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20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286"/>
        <w:gridCol w:w="5684"/>
      </w:tblGrid>
      <w:tr>
        <w:trPr>
          <w:tblHeader w:val="true"/>
          <w:cantSplit/>
        </w:trPr>
        <w:tc>
          <w:tcPr>
            <w:tcW w:type="dxa" w:w="428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Ⅰ. 서론</w:t>
            </w:r>
          </w:p>
        </w:tc>
        <w:tc>
          <w:tcPr>
            <w:tcW w:type="dxa" w:w="568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Ⅱ. 이론적·법적 배경</w:t>
            </w:r>
          </w:p>
        </w:tc>
      </w:tr>
      <w:tr>
        <w:trPr>
          <w:cantSplit/>
        </w:trPr>
        <w:tc>
          <w:tcPr>
            <w:tcW w:type="dxa" w:w="428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Ⅲ. 연구방법</w:t>
            </w:r>
          </w:p>
        </w:tc>
        <w:tc>
          <w:tcPr>
            <w:tcW w:type="dxa" w:w="568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Ⅳ. 분석결과</w:t>
            </w:r>
          </w:p>
        </w:tc>
      </w:tr>
      <w:tr>
        <w:trPr>
          <w:cantSplit/>
        </w:trPr>
        <w:tc>
          <w:tcPr>
            <w:tcW w:type="dxa" w:w="428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Ⅴ. 논의</w:t>
            </w:r>
          </w:p>
        </w:tc>
        <w:tc>
          <w:tcPr>
            <w:tcW w:type="dxa" w:w="568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Ⅵ. 형사정책적 제언</w:t>
            </w:r>
          </w:p>
        </w:tc>
      </w:tr>
      <w:tr>
        <w:trPr>
          <w:cantSplit/>
        </w:trPr>
        <w:tc>
          <w:tcPr>
            <w:tcW w:type="dxa" w:w="428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Ⅶ. 한계</w:t>
            </w:r>
          </w:p>
        </w:tc>
        <w:tc>
          <w:tcPr>
            <w:tcW w:type="dxa" w:w="568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Ⅷ. 결론</w:t>
            </w:r>
          </w:p>
        </w:tc>
      </w:tr>
    </w:tbl>
    <w:p>
      <w:pPr>
        <w:spacing w:after="20"/>
      </w:pPr>
    </w:p>
    <w:p>
      <w:pPr>
        <w:pStyle w:val="Heading1"/>
        <w:keepNext/>
        <w:keepLines/>
        <w:pageBreakBefore/>
      </w:pPr>
      <w:r>
        <w:rPr>
          <w:rFonts w:ascii="HY견고딕" w:hAnsi="HY견고딕" w:eastAsia="HY견고딕"/>
          <w:b/>
          <w:color w:val="000000"/>
          <w:sz w:val="28"/>
        </w:rPr>
        <w:t>Ⅰ.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연구는 정규화 기반 Layer 0, Microsoft Presidio, Amazon Bedrock Guardrails, Lakera와 GPT-4o-mini 기반 판별기를 결합한 한국어 PII 다계층 방어 프로젝트를 설계하고 성능을 평가한다. 네 방어구성은 기존 패턴·상용 탐지 계층, LLM 판별기 추가 구성, Layer 0 추가 구성, Layer 0와 LLM 판별기를 모두 포함한 구성으로 이루어진다. 초기 실험은 Layer 0의 탐지율·지연·비용상 이점을 제시했으나, 변이된 PII의 잔존 여부를 정확히 측정하려면 변이 후 정답 복원과 평가기 통일이 필요했다. 이에 본 연구는 프로젝트의 핵심 설계를 유지하면서 평가절차를 보완하여 Layer 0의 추가효과와 한계를 다시 측정한다.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widowControl/>
        <w:spacing w:before="0" w:after="60" w:line="331" w:lineRule="auto"/>
        <w:ind w:firstLine="397"/>
        <w:jc w:val="both"/>
      </w:pPr>
      <w:r>
        <w:rPr>
          <w:rFonts w:ascii="HY신명조" w:hAnsi="HY신명조" w:eastAsia="HY신명조"/>
          <w:color w:val="000000"/>
          <w:sz w:val="20"/>
        </w:rPr>
        <w:t>최근 연구는 AI시대의 범죄 발생 원인과 대책을 설명하기 위한 범죄학 패러다임 전환의 필요성을 제기하고(송봉규, 2026), PDF·DOCX·XLSX 등 전자문서 구조에서 개인정보를 탐지·비식별화하는 시스템을 제안하였다(백서진, 최한림, 박윤지, 정보남, 함근희, 2026). 후자의 연구가 이미 저장된 문서 내부의 개인정보를 대상으로 한다면, 본 연구는 생성형 AI의 입력 단계에서 PII의 문자·인코딩·표기 변형을 정규화하고 후속 가드레일보다 먼저 차단하는 Layer 0의 효과를 비교한다. 개인정보 노출을 줄인다는 정책 목표는 같지만 연구대상, 개입 시점과 성능평가 방식은 다르다.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페이로드를 다계층 방어체계에 입력하여 PII의 차단·마스킹 여부를 측정하는 시스템 성능평가 연구다.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한국어 PII의 자모·숫자·구분자·인코딩 변형을 입력단에서 정규화하고 차단하는 Layer 0를 다계층 방어체계에 통합하였다. 둘째, 변이 후 보호대상 문자열을 9,964건에서 복원하고 동일 PII 유형·원천값의 원형과 변이 사례 3,461쌍을 구성하여 변이 위험을 비교하였다.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탐지 성능과 법적 준수·범죄 발생을 구분하고 실제 정책 연구에 필요한 최소 보고·재현 기준을 제안하였다.</w:t>
      </w:r>
    </w:p>
    <w:p>
      <w:pPr>
        <w:pStyle w:val="Heading1"/>
        <w:keepNext/>
        <w:keepLines/>
      </w:pPr>
      <w:r>
        <w:rPr>
          <w:rFonts w:ascii="HY견고딕" w:hAnsi="HY견고딕" w:eastAsia="HY견고딕"/>
          <w:b/>
          <w:color w:val="000000"/>
          <w:sz w:val="28"/>
        </w:rPr>
        <w:t>Ⅱ.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일상활동 요인의 효과는 연구와 사이버범죄 피해유형에 따라 다르게 나타났다(이윤호, 김도우, 유영재, 2011; 박기태, 조제성, 2017; 서지혜, 최진선, 박진수, 2020). 최근의 반복피해 연구는 학교·교사의 감독 수준이 낮을수록 온라인 괴롭힘 반복피해 가능성이 높아진다고 보고하였고(노희주, 조윤오, 2025), VIVA 모델을 중심으로 한 국내 이론 연구는 온라인의 유동적 시공간에 맞춘 일상활동이론의 조정 필요성을 제기하였다(블라데미르 T. 콩고, 여승준, 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제21311호의 기본 시행일은 2026년 1월 22일이며, 국가법령정보센터 공식 XML은 제35조 제1항 후단 등 일부 개정 부분의 시행일을 2026년 7월 21일로 별도 표시한다. 본 연구가 인용하는 제31조·제33조·제34조·제35조·제43조의 기본 조문 시행일은 2026년 1월 22일이나, 제35조 제1항 후단의 개정 내용은 2026년 7월 21일부터 적용된다.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민감정보 필터에서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서비스 지역, 가드레일 식별자와 버전, 서비스 등급, 활성화한 정책·정보유형,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Ⅲ. 연구방법</w:t>
      </w:r>
    </w:p>
    <w:p>
      <w:pPr>
        <w:pStyle w:val="Heading2"/>
        <w:keepNext/>
        <w:keepLines/>
      </w:pPr>
      <w:r>
        <w:rPr>
          <w:rFonts w:ascii="HY견고딕" w:hAnsi="HY견고딕" w:eastAsia="HY견고딕"/>
          <w:b/>
          <w:color w:val="000000"/>
          <w:sz w:val="24"/>
        </w:rPr>
        <w:t>1. 연구설계와 분석자료</w:t>
      </w:r>
    </w:p>
    <w:p>
      <w:pPr>
        <w:widowControl/>
        <w:spacing w:before="0" w:after="60" w:line="331" w:lineRule="auto"/>
        <w:ind w:firstLine="397"/>
        <w:jc w:val="both"/>
      </w:pPr>
      <w:r>
        <w:rPr>
          <w:rFonts w:ascii="HY신명조" w:hAnsi="HY신명조" w:eastAsia="HY신명조"/>
          <w:color w:val="000000"/>
          <w:sz w:val="20"/>
        </w:rPr>
        <w:t>본 연구는 한국어 PII 변이 입력에 대한 Layer 0의 추가효과를 확인하기 위해 네 방어구성을 비교하였다. 기존 구성 A는 패턴·상용 탐지 계층을 결합하고, 구성 B는 여기에 LLM 판별기를 추가한다. 구성 C는 기존 구성 앞에 정규화 기반 Layer 0를 배치하며, 구성 D는 Layer 0와 LLM 판별기를 모두 포함한다. 이 설계는 같은 입력에 대해 Layer 0가 없는 구성과 있는 구성을 직접 비교할 수 있게 한다.</w:t>
      </w:r>
    </w:p>
    <w:p>
      <w:pPr>
        <w:widowControl/>
        <w:spacing w:before="0" w:after="60" w:line="331" w:lineRule="auto"/>
        <w:ind w:firstLine="397"/>
        <w:jc w:val="both"/>
      </w:pPr>
      <w:r>
        <w:rPr>
          <w:rFonts w:ascii="HY신명조" w:hAnsi="HY신명조" w:eastAsia="HY신명조"/>
          <w:color w:val="000000"/>
          <w:sz w:val="20"/>
        </w:rPr>
        <w:t>분석자료는 95개 PII 유형과 36개 변이방식을 포함한 합성 페이로드 10,000건이다. 각 사례에는 언어, PII 유형, 원천값, 변이수준, 방어계층별 출력과 최종 조치가 포함되어 있어 동일 입력에 대한 네 구성의 결과를 비교할 수 있다. 메타데이터와 전수 집계 결과는 다음과 같다.</w:t>
      </w:r>
    </w:p>
    <w:p>
      <w:pPr>
        <w:spacing w:before="100" w:after="60"/>
        <w:jc w:val="center"/>
      </w:pPr>
      <w:r>
        <w:rPr>
          <w:rFonts w:ascii="HY견고딕" w:hAnsi="HY견고딕" w:eastAsia="HY견고딕"/>
          <w:b/>
          <w:color w:val="000000"/>
          <w:sz w:val="20"/>
        </w:rPr>
        <w:t>&lt;표 1&gt;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자료: 본 연구의 합성 평가자료 10,000건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2. 변이 후 보호대상 복원과 미차단 판정</w:t>
      </w:r>
    </w:p>
    <w:p>
      <w:pPr>
        <w:widowControl/>
        <w:spacing w:before="0" w:after="60" w:line="331" w:lineRule="auto"/>
        <w:ind w:firstLine="397"/>
        <w:jc w:val="both"/>
      </w:pPr>
      <w:r>
        <w:rPr>
          <w:rFonts w:ascii="HY신명조" w:hAnsi="HY신명조" w:eastAsia="HY신명조"/>
          <w:color w:val="000000"/>
          <w:sz w:val="20"/>
        </w:rPr>
        <w:t>초기 평가방식은 변이 전 PII 원천값을 출력에서 검색했기 때문에 전각·수학문자·원문자·결합문자·구분자·한글 숫자 등으로 값 자체가 바뀐 사례를 안정적으로 추적하지 못했다. 이에 변이 후 실제 입력에 나타난 보호대상 문자열을 복원한 뒤 그 문자열의 잔존 여부를 판정하는 통합 평가절차를 구현하였다. 복원 순서는 다음과 같다.</w:t>
      </w:r>
    </w:p>
    <w:p>
      <w:pPr>
        <w:widowControl/>
        <w:spacing w:before="0" w:after="40" w:line="312" w:lineRule="auto"/>
        <w:ind w:left="397" w:hanging="198"/>
        <w:jc w:val="both"/>
      </w:pPr>
      <w:r>
        <w:rPr>
          <w:rFonts w:ascii="HY신명조" w:hAnsi="HY신명조" w:eastAsia="HY신명조"/>
          <w:color w:val="000000"/>
          <w:sz w:val="20"/>
        </w:rPr>
        <w:t>1. 원래 값이 변이 입력에 그대로 있으면 그 문자열을 사용한다.</w:t>
      </w:r>
    </w:p>
    <w:p>
      <w:pPr>
        <w:widowControl/>
        <w:spacing w:before="0" w:after="40" w:line="312" w:lineRule="auto"/>
        <w:ind w:left="397" w:hanging="198"/>
        <w:jc w:val="both"/>
      </w:pPr>
      <w:r>
        <w:rPr>
          <w:rFonts w:ascii="HY신명조" w:hAnsi="HY신명조" w:eastAsia="HY신명조"/>
          <w:color w:val="000000"/>
          <w:sz w:val="20"/>
        </w:rPr>
        <w:t>2. 변이 생성기에 정의된 결정론적 변이이면 동일한 변환 규칙을 원래 값에 적용한다.</w:t>
      </w:r>
    </w:p>
    <w:p>
      <w:pPr>
        <w:widowControl/>
        <w:spacing w:before="0" w:after="40" w:line="312" w:lineRule="auto"/>
        <w:ind w:left="397" w:hanging="198"/>
        <w:jc w:val="both"/>
      </w:pPr>
      <w:r>
        <w:rPr>
          <w:rFonts w:ascii="HY신명조" w:hAnsi="HY신명조" w:eastAsia="HY신명조"/>
          <w:color w:val="000000"/>
          <w:sz w:val="20"/>
        </w:rPr>
        <w:t>3. 임의 위치에 결합문자나 zero-width 문자가 들어간 경우에는 NFKC, 결합·비가시문자 제거, 숫자 동치화 후 원래 값과 고유하게 대응하는 입력 구간을 역매핑한다.</w:t>
      </w:r>
    </w:p>
    <w:p>
      <w:pPr>
        <w:widowControl/>
        <w:spacing w:before="0" w:after="40" w:line="312" w:lineRule="auto"/>
        <w:ind w:left="397" w:hanging="198"/>
        <w:jc w:val="both"/>
      </w:pPr>
      <w:r>
        <w:rPr>
          <w:rFonts w:ascii="HY신명조" w:hAnsi="HY신명조" w:eastAsia="HY신명조"/>
          <w:color w:val="000000"/>
          <w:sz w:val="20"/>
        </w:rPr>
        <w:t>4. 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3. 동일 원천값 짝비교와 불확실성 추정</w:t>
      </w:r>
    </w:p>
    <w:p>
      <w:pPr>
        <w:widowControl/>
        <w:spacing w:before="0" w:after="60" w:line="331" w:lineRule="auto"/>
        <w:ind w:firstLine="397"/>
        <w:jc w:val="both"/>
      </w:pPr>
      <w:r>
        <w:rPr>
          <w:rFonts w:ascii="HY신명조" w:hAnsi="HY신명조" w:eastAsia="HY신명조"/>
          <w:color w:val="000000"/>
          <w:sz w:val="20"/>
        </w:rPr>
        <w:t>변이 효과를 추정하기 위해 PII 유형과 원천값이 같고 원형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난수 시드로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Layer 0의 추가효과는 같은 사례 ID의 A와 C를 짝지어 비교하였다. A는 기존 3계층, C는 Layer 0와 기존 3계층의 결합이다. A만 미차단이고 C는 차단인 사례에서는 Layer 0가 입력단에서 명시적인 차단 조치를 반환했는지 별도로 검사하였다.</w:t>
      </w:r>
    </w:p>
    <w:p>
      <w:pPr>
        <w:widowControl/>
        <w:spacing w:before="0" w:after="60" w:line="331" w:lineRule="auto"/>
        <w:ind w:firstLine="397"/>
        <w:jc w:val="both"/>
      </w:pPr>
      <w:r>
        <w:rPr>
          <w:rFonts w:ascii="HY신명조" w:hAnsi="HY신명조" w:eastAsia="HY신명조"/>
          <w:color w:val="000000"/>
          <w:sz w:val="20"/>
        </w:rPr>
        <w:t>과잉차단 가능성은 네 종류의 하드 네거티브 자료로 평가하였다. 첫째, 이름·전화번호·이메일·주소·계좌번호 등 직접적인 PII 유사패턴을 생성 단계에서 제외한 합성 정상 한국어 문장 10,000건을 Layer 0에 입력하였다. 둘째, 전화번호처럼 보이지만 예시용 문맥에 놓인 명시적 하드 네거티브 4건을 적용하였다. 셋째, 국가법령정보센터의 공식 XML에서 개인정보 보호법, 인공지능기본법과 대한민국헌법의 조문을 추출하였다. 연락처·메타데이터·별표·부칙·개정이유를 제외하고 20자 이상 문장을 법령별 완전일치 중복 제거하여 비식별 조문 단위 1,519개를 구성하였다. 원문은 재노출하지 않고 수집 원본·평가 코드·결과의 SHA-256과 집계만 기록하였다.</w:t>
      </w:r>
    </w:p>
    <w:p>
      <w:pPr>
        <w:widowControl/>
        <w:spacing w:before="0" w:after="60" w:line="331" w:lineRule="auto"/>
        <w:ind w:firstLine="397"/>
        <w:jc w:val="both"/>
      </w:pPr>
      <w:r>
        <w:rPr>
          <w:rFonts w:ascii="HY신명조" w:hAnsi="HY신명조" w:eastAsia="HY신명조"/>
          <w:color w:val="000000"/>
          <w:sz w:val="20"/>
        </w:rPr>
        <w:t>넷째, 질병관리청 국가건강정보포털 5개 페이지, 금융위원회 금융교육 8개 페이지, AWS Support 4개 페이지와 Python 3.13 한국어 자습서 4개 페이지의 본문을 수집하였다. 제목·문단·목록·표 셀 중 20자 이상 한국어 단위만 남기고 연락처 메타데이터, URL·이메일·전화번호·주민등록번호·카드번호·IP·MAC·AWS 키와 같은 직접 식별자형 문자열 및 완전일치 중복을 제외하였다. 최종 693개 문단은 출처 URL과 본문 해시를 함께 보존하고, 탐지된 48건은 동일 원문을 이용해 두 검토자가 독립 판정할 수 있도록 구성하였다. 이 자료는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초기 분석에 사용된 두 평가방식은 평가기 민감도를 보여주는 보조분석으로 유지하였다. 두 방식 모두 변이 후 보호대상을 직접 사용하지 않으므로 본 연구의 통합 평가 결과보다 우선하지 않는다.</w:t>
      </w:r>
    </w:p>
    <w:p>
      <w:pPr>
        <w:pStyle w:val="Heading2"/>
        <w:keepNext/>
        <w:keepLines/>
      </w:pPr>
      <w:r>
        <w:rPr>
          <w:rFonts w:ascii="HY견고딕" w:hAnsi="HY견고딕" w:eastAsia="HY견고딕"/>
          <w:b/>
          <w:color w:val="000000"/>
          <w:sz w:val="24"/>
        </w:rPr>
        <w:t>4.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widowControl/>
        <w:spacing w:before="0" w:after="40" w:line="312" w:lineRule="auto"/>
        <w:ind w:left="397" w:hanging="198"/>
        <w:jc w:val="both"/>
      </w:pPr>
      <w:r>
        <w:rPr>
          <w:rFonts w:ascii="HY신명조" w:hAnsi="HY신명조" w:eastAsia="HY신명조"/>
          <w:color w:val="000000"/>
          <w:sz w:val="20"/>
        </w:rPr>
        <w:t>1. 최종 분석자료와 초기 평가자료의 실제 사례 수·메타데이터 일치 여부</w:t>
      </w:r>
    </w:p>
    <w:p>
      <w:pPr>
        <w:widowControl/>
        <w:spacing w:before="0" w:after="40" w:line="312" w:lineRule="auto"/>
        <w:ind w:left="397" w:hanging="198"/>
        <w:jc w:val="both"/>
      </w:pPr>
      <w:r>
        <w:rPr>
          <w:rFonts w:ascii="HY신명조" w:hAnsi="HY신명조" w:eastAsia="HY신명조"/>
          <w:color w:val="000000"/>
          <w:sz w:val="20"/>
        </w:rPr>
        <w:t>2. 변이 생성기가 요구하는 기본 코퍼스와 누락 시 동작</w:t>
      </w:r>
    </w:p>
    <w:p>
      <w:pPr>
        <w:widowControl/>
        <w:spacing w:before="0" w:after="40" w:line="312" w:lineRule="auto"/>
        <w:ind w:left="397" w:hanging="198"/>
        <w:jc w:val="both"/>
      </w:pPr>
      <w:r>
        <w:rPr>
          <w:rFonts w:ascii="HY신명조" w:hAnsi="HY신명조" w:eastAsia="HY신명조"/>
          <w:color w:val="000000"/>
          <w:sz w:val="20"/>
        </w:rPr>
        <w:t>3. 한국어 이름·주소 태깅 코퍼스의 제공 여부</w:t>
      </w:r>
    </w:p>
    <w:p>
      <w:pPr>
        <w:widowControl/>
        <w:spacing w:before="0" w:after="40" w:line="312" w:lineRule="auto"/>
        <w:ind w:left="397" w:hanging="198"/>
        <w:jc w:val="both"/>
      </w:pPr>
      <w:r>
        <w:rPr>
          <w:rFonts w:ascii="HY신명조" w:hAnsi="HY신명조" w:eastAsia="HY신명조"/>
          <w:color w:val="000000"/>
          <w:sz w:val="20"/>
        </w:rPr>
        <w:t>4. 한 번의 실행으로 10,000건을 생성하는 표본 생성 경로의 완결성</w:t>
      </w:r>
    </w:p>
    <w:p>
      <w:pPr>
        <w:widowControl/>
        <w:spacing w:before="0" w:after="40" w:line="312" w:lineRule="auto"/>
        <w:ind w:left="397" w:hanging="198"/>
        <w:jc w:val="both"/>
      </w:pPr>
      <w:r>
        <w:rPr>
          <w:rFonts w:ascii="HY신명조" w:hAnsi="HY신명조" w:eastAsia="HY신명조"/>
          <w:color w:val="000000"/>
          <w:sz w:val="20"/>
        </w:rPr>
        <w:t>5. 격리 환경에서의 Layer 0 및 변이 생성기 단위테스트</w:t>
      </w:r>
    </w:p>
    <w:p>
      <w:pPr>
        <w:widowControl/>
        <w:spacing w:before="0" w:after="40" w:line="312" w:lineRule="auto"/>
        <w:ind w:left="397" w:hanging="198"/>
        <w:jc w:val="both"/>
      </w:pPr>
      <w:r>
        <w:rPr>
          <w:rFonts w:ascii="HY신명조" w:hAnsi="HY신명조" w:eastAsia="HY신명조"/>
          <w:color w:val="000000"/>
          <w:sz w:val="20"/>
        </w:rPr>
        <w:t>6. 정규식 패턴과 키워드 카테고리 수</w:t>
      </w:r>
    </w:p>
    <w:p>
      <w:pPr>
        <w:widowControl/>
        <w:spacing w:before="0" w:after="40" w:line="312" w:lineRule="auto"/>
        <w:ind w:left="397" w:hanging="198"/>
        <w:jc w:val="both"/>
      </w:pPr>
      <w:r>
        <w:rPr>
          <w:rFonts w:ascii="HY신명조" w:hAnsi="HY신명조" w:eastAsia="HY신명조"/>
          <w:color w:val="000000"/>
          <w:sz w:val="20"/>
        </w:rPr>
        <w:t>7. VIN 제9자리 체크디지트</w:t>
      </w:r>
    </w:p>
    <w:p>
      <w:pPr>
        <w:widowControl/>
        <w:spacing w:before="0" w:after="40" w:line="312" w:lineRule="auto"/>
        <w:ind w:left="397" w:hanging="198"/>
        <w:jc w:val="both"/>
      </w:pPr>
      <w:r>
        <w:rPr>
          <w:rFonts w:ascii="HY신명조" w:hAnsi="HY신명조" w:eastAsia="HY신명조"/>
          <w:color w:val="000000"/>
          <w:sz w:val="20"/>
        </w:rPr>
        <w:t>8. 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5.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6. 연구윤리</w:t>
      </w:r>
    </w:p>
    <w:p>
      <w:pPr>
        <w:widowControl/>
        <w:spacing w:before="0" w:after="60" w:line="331" w:lineRule="auto"/>
        <w:ind w:firstLine="397"/>
        <w:jc w:val="both"/>
      </w:pPr>
      <w:r>
        <w:rPr>
          <w:rFonts w:ascii="HY신명조" w:hAnsi="HY신명조" w:eastAsia="HY신명조"/>
          <w:color w:val="000000"/>
          <w:sz w:val="20"/>
        </w:rPr>
        <w:t>연구 대상은 합성 데이터, 구현 코드와 다계층 방어체계의 저장 출력이다.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성능평가이므로 성별 기초통계와 성별 분리분석은 적용 대상이 아니다. 재현 코드와 집계 결과는 게재 확정 후 버전 식별정보와 함께 제시하되 원문 개인정보형 문자열은 재노출하지 않는다. 이해상충과 연구비 지원 여부는 투고 전 전체 저자가 확인하여 논문 및 저자점검표에 최종 기재해야 한다.</w:t>
      </w:r>
    </w:p>
    <w:p>
      <w:pPr>
        <w:pStyle w:val="Heading2"/>
        <w:keepNext/>
        <w:keepLines/>
      </w:pPr>
      <w:r>
        <w:rPr>
          <w:rFonts w:ascii="HY견고딕" w:hAnsi="HY견고딕" w:eastAsia="HY견고딕"/>
          <w:b/>
          <w:color w:val="000000"/>
          <w:sz w:val="24"/>
        </w:rPr>
        <w:t>7. AI 사용 공개</w:t>
      </w:r>
    </w:p>
    <w:p>
      <w:pPr>
        <w:widowControl/>
        <w:spacing w:before="0" w:after="60" w:line="331" w:lineRule="auto"/>
        <w:ind w:firstLine="397"/>
        <w:jc w:val="both"/>
      </w:pPr>
      <w:r>
        <w:rPr>
          <w:rFonts w:ascii="HY신명조" w:hAnsi="HY신명조" w:eastAsia="HY신명조"/>
          <w:color w:val="000000"/>
          <w:sz w:val="20"/>
        </w:rPr>
        <w:t>본 원고의 문장 가독성 개선, 형식 점검, 출처 후보 검색 및 코드 기반 계산 절차의 보조에 OpenAI Codex를 사용하였다. 해당 도구의 출력은 독립적인 학술 근거나 연구자료로 채택하지 않았으며, 인용문헌의 존재는 발행기관·DOI·KCI 등 원문에서 대조하고 수치는 연구 데이터와 결정적 평가절차로 계산하였다. 연구 설계·해석·제출 내용의 정확성과 연구윤리에 대한 최종 책임은 저자에게 있다.</w:t>
      </w:r>
    </w:p>
    <w:p>
      <w:pPr>
        <w:pStyle w:val="Heading1"/>
        <w:keepNext/>
        <w:keepLines/>
      </w:pPr>
      <w:r>
        <w:rPr>
          <w:rFonts w:ascii="HY견고딕" w:hAnsi="HY견고딕" w:eastAsia="HY견고딕"/>
          <w:b/>
          <w:color w:val="000000"/>
          <w:sz w:val="28"/>
        </w:rPr>
        <w:t>Ⅳ.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2&gt;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출력에 변이 후 보호대상 평가절차를 적용한 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3&gt;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자료: 동일 원천값 짝비교 결과; 원천 그룹 동일가중, 난수 시드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구성 A와 C의 짝비교에서는 A만 미차단이고 C는 차단인 사례가 1,354건이었으며, 반대 방향은 없었다. 이 중 1,353건은 Layer 0가 입력단에서 명시적인 차단 조치를 반환하였다.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변이 후 보호대상 복원 결과</w:t>
      </w:r>
    </w:p>
    <w:p>
      <w:pPr>
        <w:widowControl/>
        <w:spacing w:before="0" w:after="60" w:line="331" w:lineRule="auto"/>
        <w:ind w:firstLine="397"/>
        <w:jc w:val="both"/>
      </w:pPr>
      <w:r>
        <w:rPr>
          <w:rFonts w:ascii="HY신명조" w:hAnsi="HY신명조" w:eastAsia="HY신명조"/>
          <w:color w:val="000000"/>
          <w:sz w:val="20"/>
        </w:rPr>
        <w:t>10,000건 중 원래 PII 값이 변이 입력에 정확히 존재하지 않은 사례는 5,287건(52.87%)이었다. 기존 원문·숫자 완화 규칙은 2,647건(26.47%)을 추적하지 못했다. 통합 평가절차는 변이 규칙 재생성과 입력 구간 역매핑을 이용하여 이 중 대부분을 복원하였다.</w:t>
      </w:r>
    </w:p>
    <w:p>
      <w:pPr>
        <w:spacing w:before="100" w:after="60"/>
        <w:jc w:val="center"/>
      </w:pPr>
      <w:r>
        <w:rPr>
          <w:rFonts w:ascii="HY견고딕" w:hAnsi="HY견고딕" w:eastAsia="HY견고딕"/>
          <w:b/>
          <w:color w:val="000000"/>
          <w:sz w:val="20"/>
        </w:rPr>
        <w:t>&lt;표 4&gt;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자료: 합성 평가자료 10,000건의 변이 후 보호대상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초기 평가방식과 변이 후 정답 복원을 추가한 통합 평가방식을 동일 결과에 적용한 값은 표 5와 같다.</w:t>
      </w:r>
    </w:p>
    <w:p>
      <w:pPr>
        <w:spacing w:before="100" w:after="60"/>
        <w:jc w:val="center"/>
      </w:pPr>
      <w:r>
        <w:rPr>
          <w:rFonts w:ascii="HY견고딕" w:hAnsi="HY견고딕" w:eastAsia="HY견고딕"/>
          <w:b/>
          <w:color w:val="000000"/>
          <w:sz w:val="20"/>
        </w:rPr>
        <w:t>&lt;표 5&gt;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출력에 초기 평가방식과 통합 평가방식을 각각 적용한 결과.</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과잉차단</w:t>
      </w:r>
    </w:p>
    <w:p>
      <w:pPr>
        <w:widowControl/>
        <w:spacing w:before="0" w:after="60" w:line="331" w:lineRule="auto"/>
        <w:ind w:firstLine="397"/>
        <w:jc w:val="both"/>
      </w:pPr>
      <w:r>
        <w:rPr>
          <w:rFonts w:ascii="HY신명조" w:hAnsi="HY신명조" w:eastAsia="HY신명조"/>
          <w:color w:val="000000"/>
          <w:sz w:val="20"/>
        </w:rPr>
        <w:t>동일한 Layer 0 정규화·탐지 모듈을 네 종류의 하드 네거티브 자료에 실행한 결과는 다음과 같다.</w:t>
      </w:r>
    </w:p>
    <w:p>
      <w:pPr>
        <w:spacing w:before="100" w:after="60"/>
        <w:jc w:val="center"/>
      </w:pPr>
      <w:r>
        <w:rPr>
          <w:rFonts w:ascii="HY견고딕" w:hAnsi="HY견고딕" w:eastAsia="HY견고딕"/>
          <w:b/>
          <w:color w:val="000000"/>
          <w:sz w:val="20"/>
        </w:rPr>
        <w:t>&lt;표 6&gt; Layer 0 하드 네거티브 성능평가</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165"/>
        <w:gridCol w:w="1587"/>
        <w:gridCol w:w="1858"/>
        <w:gridCol w:w="1587"/>
        <w:gridCol w:w="2773"/>
      </w:tblGrid>
      <w:tr>
        <w:trPr>
          <w:tblHeader w:val="true"/>
          <w:cantSplit/>
        </w:trPr>
        <w:tc>
          <w:tcPr>
            <w:tcW w:type="dxa" w:w="216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8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5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8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7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비식별 대조문장</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자료: 합성 정상문과 공식 법령·서비스 문서에 동일한 Layer 0를 적용한 결과.</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비식별 대조문장에서는 예시용 전화번호 한 건을 실제 전화번호처럼 탐지하였다. 현 구현은 탐지기준값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서비스 도메인에서는 의료 265개 중 44개(16.60%)가 주로 진단정보로, 개발문서 255개 중 4개(1.57%)가 프로그래밍 예문의 A/B/C 표기를 학점정보로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분석자료와 생성절차의 일관성</w:t>
      </w:r>
    </w:p>
    <w:p>
      <w:pPr>
        <w:widowControl/>
        <w:spacing w:before="0" w:after="60" w:line="331" w:lineRule="auto"/>
        <w:ind w:firstLine="397"/>
        <w:jc w:val="both"/>
      </w:pPr>
      <w:r>
        <w:rPr>
          <w:rFonts w:ascii="HY신명조" w:hAnsi="HY신명조" w:eastAsia="HY신명조"/>
          <w:color w:val="000000"/>
          <w:sz w:val="20"/>
        </w:rPr>
        <w:t>프로젝트에는 최종 분석에 사용한 10,000건 자료와 초기 개발단계에서 생성한 3,538건 자료가 함께 존재하였다. 두 자료는 사례 수와 PII 유형 수가 다르므로 연구 단계와 용도를 구분해야 한다.</w:t>
      </w:r>
    </w:p>
    <w:p>
      <w:pPr>
        <w:spacing w:before="100" w:after="60"/>
        <w:jc w:val="center"/>
      </w:pPr>
      <w:r>
        <w:rPr>
          <w:rFonts w:ascii="HY견고딕" w:hAnsi="HY견고딕" w:eastAsia="HY견고딕"/>
          <w:b/>
          <w:color w:val="000000"/>
          <w:sz w:val="20"/>
        </w:rPr>
        <w:t>&lt;표 7&gt; 분석자료 버전별 구성 차이</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112"/>
        <w:gridCol w:w="3010"/>
        <w:gridCol w:w="3848"/>
      </w:tblGrid>
      <w:tr>
        <w:trPr>
          <w:tblHeader w:val="true"/>
          <w:cantSplit/>
        </w:trPr>
        <w:tc>
          <w:tcPr>
            <w:tcW w:type="dxa" w:w="311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자료 구분</w:t>
            </w:r>
          </w:p>
        </w:tc>
        <w:tc>
          <w:tcPr>
            <w:tcW w:type="dxa" w:w="301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사례 수</w:t>
            </w:r>
          </w:p>
        </w:tc>
        <w:tc>
          <w:tcPr>
            <w:tcW w:type="dxa" w:w="384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3112"/>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최종 분석자료</w:t>
            </w:r>
          </w:p>
        </w:tc>
        <w:tc>
          <w:tcPr>
            <w:tcW w:type="dxa" w:w="301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84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3112"/>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초기 평가자료</w:t>
            </w:r>
          </w:p>
        </w:tc>
        <w:tc>
          <w:tcPr>
            <w:tcW w:type="dxa" w:w="301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84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프로젝트의 두 평가자료를 전수 집계한 결과.</w:t>
      </w:r>
    </w:p>
    <w:p>
      <w:pPr>
        <w:widowControl/>
        <w:spacing w:before="0" w:after="60" w:line="331" w:lineRule="auto"/>
        <w:ind w:firstLine="397"/>
        <w:jc w:val="both"/>
      </w:pPr>
      <w:r>
        <w:rPr>
          <w:rFonts w:ascii="HY신명조" w:hAnsi="HY신명조" w:eastAsia="HY신명조"/>
          <w:color w:val="000000"/>
          <w:sz w:val="20"/>
        </w:rPr>
        <w:t>현재 자동 생성절차는 각 변이 조건에서 세 사례를 생성하여 3,538건의 입력집합을 만든 뒤 10,000건 표본화를 시도한다. 그러나 입력집합보다 많은 고유 사례를 새로 생성하지 않으므로 결과는 3,538건에 그친다. 따라서 최종 10,000건 자료의 생성과정을 재현하려면 필요한 입력 규모, 중복 허용 여부와 확장 규칙을 명시한 별도의 생성절차가 필요하다.</w:t>
      </w:r>
    </w:p>
    <w:p>
      <w:pPr>
        <w:pStyle w:val="Heading2"/>
        <w:keepNext/>
        <w:keepLines/>
      </w:pPr>
      <w:r>
        <w:rPr>
          <w:rFonts w:ascii="HY견고딕" w:hAnsi="HY견고딕" w:eastAsia="HY견고딕"/>
          <w:b/>
          <w:color w:val="000000"/>
          <w:sz w:val="24"/>
        </w:rPr>
        <w:t>7. 생성 코퍼스 의존성과 실행 재현성</w:t>
      </w:r>
    </w:p>
    <w:p>
      <w:pPr>
        <w:widowControl/>
        <w:spacing w:before="0" w:after="60" w:line="331" w:lineRule="auto"/>
        <w:ind w:firstLine="397"/>
        <w:jc w:val="both"/>
      </w:pPr>
      <w:r>
        <w:rPr>
          <w:rFonts w:ascii="HY신명조" w:hAnsi="HY신명조" w:eastAsia="HY신명조"/>
          <w:color w:val="000000"/>
          <w:sz w:val="20"/>
        </w:rPr>
        <w:t>변이 생성기의 기본 설정은 한국어 이름과 주소가 태깅된 두 코퍼스를 필수 입력으로 요구한다. 그러나 재현 패키지에는 이 코퍼스와 이를 결정론적으로 생성하는 절차가 포함되지 않았다. 필수 코퍼스가 없으면 변이 생성은 실행단계에서 중단되므로, 현재 상태만으로는 원시 입력에서 최종 10,000건 자료까지 한 번에 재생성할 수 없다.</w:t>
      </w:r>
    </w:p>
    <w:p>
      <w:pPr>
        <w:widowControl/>
        <w:spacing w:before="0" w:after="60" w:line="331" w:lineRule="auto"/>
        <w:ind w:firstLine="397"/>
        <w:jc w:val="both"/>
      </w:pPr>
      <w:r>
        <w:rPr>
          <w:rFonts w:ascii="HY신명조" w:hAnsi="HY신명조" w:eastAsia="HY신명조"/>
          <w:color w:val="000000"/>
          <w:sz w:val="20"/>
        </w:rPr>
        <w:t>격리 환경에서 Layer 0와 변이 생성기 단위테스트를 실행한 결과 123건은 통과하고 8건은 실패하였다. 실패한 8건은 계좌, 의료기록, 처방과 거래 유형의 입력·출력 테스트였으며 모두 이름 코퍼스 부재와 연결되었다. 이는 Layer 0의 저장 성능 결과 자체와 별개로, 새 연구자가 같은 데이터 생성과정을 반복하기 위해 코퍼스 제공 또는 생성 규칙이 추가되어야 함을 뜻한다.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10,000건 데이터에는 VIN 유형 72개 행과 고유 원본값 10개가 포함되어 있고 모두 “규칙 유효”로 표기되어 있다. 그러나 NHTSA와 49 CFR Part 565의 제9자리 체크디지트 방식으로 전수 계산한 결과 72개 행 모두 실패하였다. 동일한 결과가 서로 독립된 두 계산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본 연구 결과만으로 확정할 수 없다. 다만 현실적으로 존재 가능한 형식과 무작위 문자열을 탐지하는 난이도는 다를 수 있으므로, 데이터 유효성과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프로그램의 구문구조를 분석한 결과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8&gt;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해석의 범위</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기본 시행일과 본문 인용 조문의 기본 시행일은 2026년 1월 22일이지만, 공식 XML이 별도 표시하는 제35조 제1항 후단의 개정 내용은 2026년 7월 21일부터 적용된다.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기술적 측정값을 범죄학 개념과 동일시하는 근거가 아니다. 특히 “변이 수준=동기화된 범죄자”, “잔존 우회=전이”는 측정 대상과 이론 개념이 일치하지 않는다. 현재 증거로 가능한 가장 강한 표현은 “일상활동이론의 보호자 개념을 활용한 가드레일 역량 평가”다.</w:t>
      </w:r>
    </w:p>
    <w:p>
      <w:pPr>
        <w:pStyle w:val="Heading1"/>
        <w:keepNext/>
        <w:keepLines/>
      </w:pPr>
      <w:r>
        <w:rPr>
          <w:rFonts w:ascii="HY견고딕" w:hAnsi="HY견고딕" w:eastAsia="HY견고딕"/>
          <w:b/>
          <w:color w:val="000000"/>
          <w:sz w:val="28"/>
        </w:rPr>
        <w:t>Ⅴ.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1,353건에서 Layer 0가 명시적인 차단 조치를 반환했다는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widowControl/>
        <w:spacing w:before="0" w:after="40" w:line="312" w:lineRule="auto"/>
        <w:ind w:left="397" w:hanging="198"/>
        <w:jc w:val="both"/>
      </w:pPr>
      <w:r>
        <w:rPr>
          <w:rFonts w:ascii="HY신명조" w:hAnsi="HY신명조" w:eastAsia="HY신명조"/>
          <w:color w:val="000000"/>
          <w:sz w:val="20"/>
        </w:rPr>
        <w:t>1. 자모·한자·약어·혼용어·문맥 삽입 등 한국어 특유 변형을 후속 제품에 전달하기 전에 정규화한다.</w:t>
      </w:r>
    </w:p>
    <w:p>
      <w:pPr>
        <w:widowControl/>
        <w:spacing w:before="0" w:after="40" w:line="312" w:lineRule="auto"/>
        <w:ind w:left="397" w:hanging="198"/>
        <w:jc w:val="both"/>
      </w:pPr>
      <w:r>
        <w:rPr>
          <w:rFonts w:ascii="HY신명조" w:hAnsi="HY신명조" w:eastAsia="HY신명조"/>
          <w:color w:val="000000"/>
          <w:sz w:val="20"/>
        </w:rPr>
        <w:t>2. 외부 모델 호출 전에 차단하므로 PII가 외부 API로 전달될 기회를 줄인다.</w:t>
      </w:r>
    </w:p>
    <w:p>
      <w:pPr>
        <w:widowControl/>
        <w:spacing w:before="0" w:after="40" w:line="312" w:lineRule="auto"/>
        <w:ind w:left="397" w:hanging="198"/>
        <w:jc w:val="both"/>
      </w:pPr>
      <w:r>
        <w:rPr>
          <w:rFonts w:ascii="HY신명조" w:hAnsi="HY신명조" w:eastAsia="HY신명조"/>
          <w:color w:val="000000"/>
          <w:sz w:val="20"/>
        </w:rPr>
        <w:t>3. 결정론적 규칙과 사전은 판정 근거를 기록하고 사후 검증할 수 있다.</w:t>
      </w:r>
    </w:p>
    <w:p>
      <w:pPr>
        <w:widowControl/>
        <w:spacing w:before="0" w:after="40" w:line="312" w:lineRule="auto"/>
        <w:ind w:left="397" w:hanging="198"/>
        <w:jc w:val="both"/>
      </w:pPr>
      <w:r>
        <w:rPr>
          <w:rFonts w:ascii="HY신명조" w:hAnsi="HY신명조" w:eastAsia="HY신명조"/>
          <w:color w:val="000000"/>
          <w:sz w:val="20"/>
        </w:rPr>
        <w:t>4. 외부 연결이나 LLM 호출이 제한되는 폐쇄망에서도 작동할 수 있다.</w:t>
      </w:r>
    </w:p>
    <w:p>
      <w:pPr>
        <w:widowControl/>
        <w:spacing w:before="0" w:after="40" w:line="312" w:lineRule="auto"/>
        <w:ind w:left="397" w:hanging="198"/>
        <w:jc w:val="both"/>
      </w:pPr>
      <w:r>
        <w:rPr>
          <w:rFonts w:ascii="HY신명조" w:hAnsi="HY신명조" w:eastAsia="HY신명조"/>
          <w:color w:val="000000"/>
          <w:sz w:val="20"/>
        </w:rPr>
        <w:t>5. 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점수·허용목록·사후 검토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widowControl/>
        <w:spacing w:before="0" w:after="40" w:line="312" w:lineRule="auto"/>
        <w:ind w:left="397" w:hanging="198"/>
        <w:jc w:val="both"/>
      </w:pPr>
      <w:r>
        <w:rPr>
          <w:rFonts w:ascii="HY신명조" w:hAnsi="HY신명조" w:eastAsia="HY신명조"/>
          <w:color w:val="000000"/>
          <w:sz w:val="20"/>
        </w:rPr>
        <w:t xml:space="preserve">2. </w:t>
      </w: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widowControl/>
        <w:spacing w:before="0" w:after="40" w:line="312" w:lineRule="auto"/>
        <w:ind w:left="397" w:hanging="198"/>
        <w:jc w:val="both"/>
      </w:pPr>
      <w:r>
        <w:rPr>
          <w:rFonts w:ascii="HY신명조" w:hAnsi="HY신명조" w:eastAsia="HY신명조"/>
          <w:color w:val="000000"/>
          <w:sz w:val="20"/>
        </w:rPr>
        <w:t xml:space="preserve">3. </w:t>
      </w: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widowControl/>
        <w:spacing w:before="0" w:after="40" w:line="312" w:lineRule="auto"/>
        <w:ind w:left="397" w:hanging="198"/>
        <w:jc w:val="both"/>
      </w:pPr>
      <w:r>
        <w:rPr>
          <w:rFonts w:ascii="HY신명조" w:hAnsi="HY신명조" w:eastAsia="HY신명조"/>
          <w:color w:val="000000"/>
          <w:sz w:val="20"/>
        </w:rPr>
        <w:t xml:space="preserve">5. </w:t>
      </w:r>
      <w:r>
        <w:rPr>
          <w:rFonts w:ascii="HY신명조" w:hAnsi="HY신명조" w:eastAsia="HY신명조"/>
          <w:b/>
          <w:color w:val="000000"/>
          <w:sz w:val="20"/>
        </w:rPr>
        <w:t>검증가능성:</w:t>
      </w:r>
      <w:r>
        <w:rPr>
          <w:rFonts w:ascii="HY신명조" w:hAnsi="HY신명조" w:eastAsia="HY신명조"/>
          <w:color w:val="000000"/>
          <w:sz w:val="20"/>
        </w:rPr>
        <w:t xml:space="preserve"> 버전·설정·판정 근거를 사후 확인할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widowControl/>
        <w:spacing w:before="0" w:after="40" w:line="312" w:lineRule="auto"/>
        <w:ind w:left="397" w:hanging="198"/>
        <w:jc w:val="both"/>
      </w:pPr>
      <w:r>
        <w:rPr>
          <w:rFonts w:ascii="HY신명조" w:hAnsi="HY신명조" w:eastAsia="HY신명조"/>
          <w:color w:val="000000"/>
          <w:sz w:val="20"/>
        </w:rPr>
        <w:t>1. 기술 데이터셋의 PII 유형 분류값</w:t>
      </w:r>
    </w:p>
    <w:p>
      <w:pPr>
        <w:widowControl/>
        <w:spacing w:before="0" w:after="40" w:line="312" w:lineRule="auto"/>
        <w:ind w:left="397" w:hanging="198"/>
        <w:jc w:val="both"/>
      </w:pPr>
      <w:r>
        <w:rPr>
          <w:rFonts w:ascii="HY신명조" w:hAnsi="HY신명조" w:eastAsia="HY신명조"/>
          <w:color w:val="000000"/>
          <w:sz w:val="20"/>
        </w:rPr>
        <w:t>2. 개인정보 보호법상 범주와 조문</w:t>
      </w:r>
    </w:p>
    <w:p>
      <w:pPr>
        <w:widowControl/>
        <w:spacing w:before="0" w:after="40" w:line="312" w:lineRule="auto"/>
        <w:ind w:left="397" w:hanging="198"/>
        <w:jc w:val="both"/>
      </w:pPr>
      <w:r>
        <w:rPr>
          <w:rFonts w:ascii="HY신명조" w:hAnsi="HY신명조" w:eastAsia="HY신명조"/>
          <w:color w:val="000000"/>
          <w:sz w:val="20"/>
        </w:rPr>
        <w:t>3. 합성값의 현실성·유효성 규칙</w:t>
      </w:r>
    </w:p>
    <w:p>
      <w:pPr>
        <w:widowControl/>
        <w:spacing w:before="0" w:after="40" w:line="312" w:lineRule="auto"/>
        <w:ind w:left="397" w:hanging="198"/>
        <w:jc w:val="both"/>
      </w:pPr>
      <w:r>
        <w:rPr>
          <w:rFonts w:ascii="HY신명조" w:hAnsi="HY신명조" w:eastAsia="HY신명조"/>
          <w:color w:val="000000"/>
          <w:sz w:val="20"/>
        </w:rPr>
        <w:t>4. 기대되는 기술 조치</w:t>
      </w:r>
    </w:p>
    <w:p>
      <w:pPr>
        <w:widowControl/>
        <w:spacing w:before="0" w:after="40" w:line="312" w:lineRule="auto"/>
        <w:ind w:left="397" w:hanging="198"/>
        <w:jc w:val="both"/>
      </w:pPr>
      <w:r>
        <w:rPr>
          <w:rFonts w:ascii="HY신명조" w:hAnsi="HY신명조" w:eastAsia="HY신명조"/>
          <w:color w:val="000000"/>
          <w:sz w:val="20"/>
        </w:rPr>
        <w:t>5. 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widowControl/>
        <w:spacing w:before="0" w:after="40" w:line="312" w:lineRule="auto"/>
        <w:ind w:left="397" w:hanging="198"/>
        <w:jc w:val="left"/>
      </w:pPr>
      <w:r>
        <w:rPr>
          <w:rFonts w:ascii="HY신명조" w:hAnsi="HY신명조" w:eastAsia="HY신명조"/>
          <w:color w:val="000000"/>
          <w:sz w:val="20"/>
        </w:rPr>
        <w:t>• 공급자와 제품명</w:t>
      </w:r>
    </w:p>
    <w:p>
      <w:pPr>
        <w:widowControl/>
        <w:spacing w:before="0" w:after="40" w:line="312" w:lineRule="auto"/>
        <w:ind w:left="397" w:hanging="198"/>
        <w:jc w:val="left"/>
      </w:pPr>
      <w:r>
        <w:rPr>
          <w:rFonts w:ascii="HY신명조" w:hAnsi="HY신명조" w:eastAsia="HY신명조"/>
          <w:color w:val="000000"/>
          <w:sz w:val="20"/>
        </w:rPr>
        <w:t>• 평가 지역과 날짜</w:t>
      </w:r>
    </w:p>
    <w:p>
      <w:pPr>
        <w:widowControl/>
        <w:spacing w:before="0" w:after="40" w:line="312" w:lineRule="auto"/>
        <w:ind w:left="397" w:hanging="198"/>
        <w:jc w:val="left"/>
      </w:pPr>
      <w:r>
        <w:rPr>
          <w:rFonts w:ascii="HY신명조" w:hAnsi="HY신명조" w:eastAsia="HY신명조"/>
          <w:color w:val="000000"/>
          <w:sz w:val="20"/>
        </w:rPr>
        <w:t>• 가드레일 식별자·버전·서비스 등급</w:t>
      </w:r>
    </w:p>
    <w:p>
      <w:pPr>
        <w:widowControl/>
        <w:spacing w:before="0" w:after="40" w:line="312" w:lineRule="auto"/>
        <w:ind w:left="397" w:hanging="198"/>
        <w:jc w:val="left"/>
      </w:pPr>
      <w:r>
        <w:rPr>
          <w:rFonts w:ascii="HY신명조" w:hAnsi="HY신명조" w:eastAsia="HY신명조"/>
          <w:color w:val="000000"/>
          <w:sz w:val="20"/>
        </w:rPr>
        <w:t>• 활성화한 정책과 탐지 정보유형</w:t>
      </w:r>
    </w:p>
    <w:p>
      <w:pPr>
        <w:widowControl/>
        <w:spacing w:before="0" w:after="40" w:line="312" w:lineRule="auto"/>
        <w:ind w:left="397" w:hanging="198"/>
        <w:jc w:val="left"/>
      </w:pPr>
      <w:r>
        <w:rPr>
          <w:rFonts w:ascii="HY신명조" w:hAnsi="HY신명조" w:eastAsia="HY신명조"/>
          <w:color w:val="000000"/>
          <w:sz w:val="20"/>
        </w:rPr>
        <w:t>• 입력·출력 중 적용 위치</w:t>
      </w:r>
    </w:p>
    <w:p>
      <w:pPr>
        <w:widowControl/>
        <w:spacing w:before="0" w:after="40" w:line="312" w:lineRule="auto"/>
        <w:ind w:left="397" w:hanging="198"/>
        <w:jc w:val="left"/>
      </w:pPr>
      <w:r>
        <w:rPr>
          <w:rFonts w:ascii="HY신명조" w:hAnsi="HY신명조" w:eastAsia="HY신명조"/>
          <w:color w:val="000000"/>
          <w:sz w:val="20"/>
        </w:rPr>
        <w:t>• 게이트웨이·개발도구·모델 버전</w:t>
      </w:r>
    </w:p>
    <w:p>
      <w:pPr>
        <w:widowControl/>
        <w:spacing w:before="0" w:after="40" w:line="312" w:lineRule="auto"/>
        <w:ind w:left="397" w:hanging="198"/>
        <w:jc w:val="left"/>
      </w:pPr>
      <w:r>
        <w:rPr>
          <w:rFonts w:ascii="HY신명조" w:hAnsi="HY신명조" w:eastAsia="HY신명조"/>
          <w:color w:val="000000"/>
          <w:sz w:val="20"/>
        </w:rPr>
        <w:t>• 오류·재시도·호출량 제한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Ⅵ.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정답 위치, 표준화된 값, 허용 동치표현, 생성 이력과 기대 조치를 출력해야 한다. 평가기는 이 정보를 직접 사용하여 차단, 완전 마스킹, 부분 마스킹, 잔존, 주변정보 오탐과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통합 평가기로 관리해야 한다. 평가기의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유효성 검사기를 통과해야 한다. 의도적으로 무효 값을 넣는 경우에는 별도 그룹과 기대 조치를 명시해야 한다. 원시 코퍼스의 출처, 라이선스, 비식별 절차, 난수 시드, 생성기 버전과 SHA-256 해시를 기록해야 한다.</w:t>
      </w:r>
    </w:p>
    <w:p>
      <w:pPr>
        <w:widowControl/>
        <w:spacing w:before="0" w:after="60" w:line="331" w:lineRule="auto"/>
        <w:ind w:firstLine="397"/>
        <w:jc w:val="both"/>
      </w:pPr>
      <w:r>
        <w:rPr>
          <w:rFonts w:ascii="HY신명조" w:hAnsi="HY신명조" w:eastAsia="HY신명조"/>
          <w:color w:val="000000"/>
          <w:sz w:val="20"/>
        </w:rPr>
        <w:t>10,000건 표본 생성 명령은 결과가 정확히 10,000건이 아니면 실패해야 한다. 자료명에 표본 수를 표시할 경우 메타데이터와 실제 행 수의 일치 여부를 자동검증 절차에서 검사해야 한다.</w:t>
      </w:r>
    </w:p>
    <w:p>
      <w:pPr>
        <w:pStyle w:val="Heading2"/>
        <w:keepNext/>
        <w:keepLines/>
      </w:pPr>
      <w:r>
        <w:rPr>
          <w:rFonts w:ascii="HY견고딕" w:hAnsi="HY견고딕" w:eastAsia="HY견고딕"/>
          <w:b/>
          <w:color w:val="000000"/>
          <w:sz w:val="24"/>
        </w:rPr>
        <w:t>4. 깨끗한 환경 재현과 독립 검증</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검증을 권고한다.</w:t>
      </w:r>
    </w:p>
    <w:p>
      <w:pPr>
        <w:widowControl/>
        <w:spacing w:before="0" w:after="40" w:line="312" w:lineRule="auto"/>
        <w:ind w:left="397" w:hanging="198"/>
        <w:jc w:val="both"/>
      </w:pPr>
      <w:r>
        <w:rPr>
          <w:rFonts w:ascii="HY신명조" w:hAnsi="HY신명조" w:eastAsia="HY신명조"/>
          <w:color w:val="000000"/>
          <w:sz w:val="20"/>
        </w:rPr>
        <w:t>1. 데이터 행 수·스키마·유효성 검사</w:t>
      </w:r>
    </w:p>
    <w:p>
      <w:pPr>
        <w:widowControl/>
        <w:spacing w:before="0" w:after="40" w:line="312" w:lineRule="auto"/>
        <w:ind w:left="397" w:hanging="198"/>
        <w:jc w:val="both"/>
      </w:pPr>
      <w:r>
        <w:rPr>
          <w:rFonts w:ascii="HY신명조" w:hAnsi="HY신명조" w:eastAsia="HY신명조"/>
          <w:color w:val="000000"/>
          <w:sz w:val="20"/>
        </w:rPr>
        <w:t>2. 평가기 단위테스트와 변이 후 정답 위치 표본검사</w:t>
      </w:r>
    </w:p>
    <w:p>
      <w:pPr>
        <w:widowControl/>
        <w:spacing w:before="0" w:after="40" w:line="312" w:lineRule="auto"/>
        <w:ind w:left="397" w:hanging="198"/>
        <w:jc w:val="both"/>
      </w:pPr>
      <w:r>
        <w:rPr>
          <w:rFonts w:ascii="HY신명조" w:hAnsi="HY신명조" w:eastAsia="HY신명조"/>
          <w:color w:val="000000"/>
          <w:sz w:val="20"/>
        </w:rPr>
        <w:t>3. 저장 결과에서 표·통계의 독립 재계산</w:t>
      </w:r>
    </w:p>
    <w:p>
      <w:pPr>
        <w:widowControl/>
        <w:spacing w:before="0" w:after="40" w:line="312" w:lineRule="auto"/>
        <w:ind w:left="397" w:hanging="198"/>
        <w:jc w:val="both"/>
      </w:pPr>
      <w:r>
        <w:rPr>
          <w:rFonts w:ascii="HY신명조" w:hAnsi="HY신명조" w:eastAsia="HY신명조"/>
          <w:color w:val="000000"/>
          <w:sz w:val="20"/>
        </w:rPr>
        <w:t>4. 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widowControl/>
        <w:spacing w:before="0" w:after="40" w:line="312" w:lineRule="auto"/>
        <w:ind w:left="397" w:hanging="198"/>
        <w:jc w:val="left"/>
      </w:pPr>
      <w:r>
        <w:rPr>
          <w:rFonts w:ascii="HY신명조" w:hAnsi="HY신명조" w:eastAsia="HY신명조"/>
          <w:color w:val="000000"/>
          <w:sz w:val="20"/>
        </w:rPr>
        <w:t>• 처리하는 개인정보·민감정보 유형과 법적 근거</w:t>
      </w:r>
    </w:p>
    <w:p>
      <w:pPr>
        <w:widowControl/>
        <w:spacing w:before="0" w:after="40" w:line="312" w:lineRule="auto"/>
        <w:ind w:left="397" w:hanging="198"/>
        <w:jc w:val="left"/>
      </w:pPr>
      <w:r>
        <w:rPr>
          <w:rFonts w:ascii="HY신명조" w:hAnsi="HY신명조" w:eastAsia="HY신명조"/>
          <w:color w:val="000000"/>
          <w:sz w:val="20"/>
        </w:rPr>
        <w:t>• 가드레일 적용 위치와 실패 시 데이터 흐름</w:t>
      </w:r>
    </w:p>
    <w:p>
      <w:pPr>
        <w:widowControl/>
        <w:spacing w:before="0" w:after="40" w:line="312" w:lineRule="auto"/>
        <w:ind w:left="397" w:hanging="198"/>
        <w:jc w:val="left"/>
      </w:pPr>
      <w:r>
        <w:rPr>
          <w:rFonts w:ascii="HY신명조" w:hAnsi="HY신명조" w:eastAsia="HY신명조"/>
          <w:color w:val="000000"/>
          <w:sz w:val="20"/>
        </w:rPr>
        <w:t>• 언어·변이·문맥별 평가범위</w:t>
      </w:r>
    </w:p>
    <w:p>
      <w:pPr>
        <w:widowControl/>
        <w:spacing w:before="0" w:after="40" w:line="312" w:lineRule="auto"/>
        <w:ind w:left="397" w:hanging="198"/>
        <w:jc w:val="left"/>
      </w:pPr>
      <w:r>
        <w:rPr>
          <w:rFonts w:ascii="HY신명조" w:hAnsi="HY신명조" w:eastAsia="HY신명조"/>
          <w:color w:val="000000"/>
          <w:sz w:val="20"/>
        </w:rPr>
        <w:t>• 오탐·미탐·오류·지연·비용</w:t>
      </w:r>
    </w:p>
    <w:p>
      <w:pPr>
        <w:widowControl/>
        <w:spacing w:before="0" w:after="40" w:line="312" w:lineRule="auto"/>
        <w:ind w:left="397" w:hanging="198"/>
        <w:jc w:val="left"/>
      </w:pPr>
      <w:r>
        <w:rPr>
          <w:rFonts w:ascii="HY신명조" w:hAnsi="HY신명조" w:eastAsia="HY신명조"/>
          <w:color w:val="000000"/>
          <w:sz w:val="20"/>
        </w:rPr>
        <w:t>• 버전 변경 후 재평가 조건</w:t>
      </w:r>
    </w:p>
    <w:p>
      <w:pPr>
        <w:widowControl/>
        <w:spacing w:before="0" w:after="40" w:line="312" w:lineRule="auto"/>
        <w:ind w:left="397" w:hanging="198"/>
        <w:jc w:val="left"/>
      </w:pPr>
      <w:r>
        <w:rPr>
          <w:rFonts w:ascii="HY신명조" w:hAnsi="HY신명조" w:eastAsia="HY신명조"/>
          <w:color w:val="000000"/>
          <w:sz w:val="20"/>
        </w:rPr>
        <w:t>• 외부 API 사용이 제한되는 폐쇄망 대안</w:t>
      </w:r>
    </w:p>
    <w:p>
      <w:pPr>
        <w:widowControl/>
        <w:spacing w:before="0" w:after="40" w:line="312" w:lineRule="auto"/>
        <w:ind w:left="397" w:hanging="198"/>
        <w:jc w:val="left"/>
      </w:pPr>
      <w:r>
        <w:rPr>
          <w:rFonts w:ascii="HY신명조" w:hAnsi="HY신명조" w:eastAsia="HY신명조"/>
          <w:color w:val="000000"/>
          <w:sz w:val="20"/>
        </w:rPr>
        <w:t>• 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Ⅶ. 한계</w:t>
      </w:r>
    </w:p>
    <w:p>
      <w:pPr>
        <w:widowControl/>
        <w:spacing w:before="0" w:after="60" w:line="331" w:lineRule="auto"/>
        <w:ind w:firstLine="397"/>
        <w:jc w:val="both"/>
      </w:pPr>
      <w:r>
        <w:rPr>
          <w:rFonts w:ascii="HY신명조" w:hAnsi="HY신명조" w:eastAsia="HY신명조"/>
          <w:color w:val="000000"/>
          <w:sz w:val="20"/>
        </w:rPr>
        <w:t>첫째, 본 연구는 프로젝트에서 저장한 입력·계층별 출력에 보완된 평가절차를 적용한 사후 성능분석이다.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당시의 가드레일 식별자·버전·탐지 정보유형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재현성 평가는 기준일 현재 확보된 프로젝트 자료에 한정된다. 삭제되었거나 외부에 공개되지 않은 코퍼스와 과거 실행환경은 확인할 수 없다.</w:t>
      </w:r>
    </w:p>
    <w:p>
      <w:pPr>
        <w:pStyle w:val="Heading1"/>
        <w:keepNext/>
        <w:keepLines/>
      </w:pPr>
      <w:r>
        <w:rPr>
          <w:rFonts w:ascii="HY견고딕" w:hAnsi="HY견고딕" w:eastAsia="HY견고딕"/>
          <w:b/>
          <w:color w:val="000000"/>
          <w:sz w:val="28"/>
        </w:rPr>
        <w:t>Ⅷ.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Layer 0를 추가한 구성의 미차단은 706건(7.09%)이었고, 기존 계층이 놓친 1,354건을 추가로 차단하였다. 그중 1,353건에서 Layer 0가 입력단 직접 차단을 수행했으며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정답 위치·단일 평가기·복수 도메인 하드 네거티브·사람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검증가능성을 제도화해야 한다.</w:t>
      </w:r>
    </w:p>
    <w:p>
      <w:pPr>
        <w:keepNext/>
        <w:spacing w:before="200" w:after="140"/>
        <w:jc w:val="center"/>
      </w:pPr>
      <w:r>
        <w:rPr>
          <w:rFonts w:ascii="HY견고딕" w:hAnsi="HY견고딕" w:eastAsia="HY견고딕"/>
          <w:b/>
          <w:color w:val="000000"/>
          <w:sz w:val="28"/>
        </w:rPr>
        <w:t>참 고 문 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left="397" w:hanging="397"/>
        <w:jc w:val="left"/>
      </w:pPr>
      <w:r>
        <w:rPr>
          <w:rFonts w:ascii="HY신명조" w:hAnsi="HY신명조" w:eastAsia="HY신명조"/>
          <w:color w:val="000000"/>
          <w:sz w:val="20"/>
        </w:rPr>
        <w:t xml:space="preserve">노희주, 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 https://doi.org/10.46626/affc.2025.19.1.3</w:t>
      </w:r>
    </w:p>
    <w:p>
      <w:pPr>
        <w:widowControl/>
        <w:spacing w:before="0" w:after="60" w:line="331" w:lineRule="auto"/>
        <w:ind w:left="397" w:hanging="397"/>
        <w:jc w:val="left"/>
      </w:pPr>
      <w:r>
        <w:rPr>
          <w:rFonts w:ascii="HY신명조" w:hAnsi="HY신명조" w:eastAsia="HY신명조"/>
          <w:color w:val="000000"/>
          <w:sz w:val="20"/>
        </w:rPr>
        <w:t xml:space="preserve">박기태, 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left="397" w:hanging="397"/>
        <w:jc w:val="left"/>
      </w:pPr>
      <w:r>
        <w:rPr>
          <w:rFonts w:ascii="HY신명조" w:hAnsi="HY신명조" w:eastAsia="HY신명조"/>
          <w:color w:val="000000"/>
          <w:sz w:val="20"/>
        </w:rPr>
        <w:t xml:space="preserve">백서진, 최한림, 박윤지, 정보남, 함근희 (2026). 다중 전자문서 환경에서 문서 구조 기반 개인정보 노출 위험과 비식별화 처리에 관한 연구. </w:t>
      </w:r>
      <w:r>
        <w:rPr>
          <w:rFonts w:ascii="HY신명조" w:hAnsi="HY신명조" w:eastAsia="HY신명조"/>
          <w:i/>
          <w:color w:val="000000"/>
          <w:sz w:val="20"/>
        </w:rPr>
        <w:t>범죄와 정책</w:t>
      </w:r>
      <w:r>
        <w:rPr>
          <w:rFonts w:ascii="HY신명조" w:hAnsi="HY신명조" w:eastAsia="HY신명조"/>
          <w:color w:val="000000"/>
          <w:sz w:val="20"/>
        </w:rPr>
        <w:t>, 2(1), 19–34.</w:t>
      </w:r>
    </w:p>
    <w:p>
      <w:pPr>
        <w:widowControl/>
        <w:spacing w:before="0" w:after="60" w:line="331" w:lineRule="auto"/>
        <w:ind w:left="397" w:hanging="397"/>
        <w:jc w:val="left"/>
      </w:pPr>
      <w:r>
        <w:rPr>
          <w:rFonts w:ascii="HY신명조" w:hAnsi="HY신명조" w:eastAsia="HY신명조"/>
          <w:color w:val="000000"/>
          <w:sz w:val="20"/>
        </w:rPr>
        <w:t xml:space="preserve">블라데미르 T. 콩고, 여승준, 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widowControl/>
        <w:spacing w:before="0" w:after="60" w:line="331" w:lineRule="auto"/>
        <w:ind w:left="397" w:hanging="397"/>
        <w:jc w:val="left"/>
      </w:pPr>
      <w:r>
        <w:rPr>
          <w:rFonts w:ascii="HY신명조" w:hAnsi="HY신명조" w:eastAsia="HY신명조"/>
          <w:color w:val="000000"/>
          <w:sz w:val="20"/>
        </w:rPr>
        <w:t xml:space="preserve">서지혜, 최진선, 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left="397" w:hanging="397"/>
        <w:jc w:val="left"/>
      </w:pPr>
      <w:r>
        <w:rPr>
          <w:rFonts w:ascii="HY신명조" w:hAnsi="HY신명조" w:eastAsia="HY신명조"/>
          <w:color w:val="000000"/>
          <w:sz w:val="20"/>
        </w:rPr>
        <w:t xml:space="preserve">송봉규 (2026). AI시대 범죄학 패러다임 전환에 대한 접근. </w:t>
      </w:r>
      <w:r>
        <w:rPr>
          <w:rFonts w:ascii="HY신명조" w:hAnsi="HY신명조" w:eastAsia="HY신명조"/>
          <w:i/>
          <w:color w:val="000000"/>
          <w:sz w:val="20"/>
        </w:rPr>
        <w:t>범죄와 정책</w:t>
      </w:r>
      <w:r>
        <w:rPr>
          <w:rFonts w:ascii="HY신명조" w:hAnsi="HY신명조" w:eastAsia="HY신명조"/>
          <w:color w:val="000000"/>
          <w:sz w:val="20"/>
        </w:rPr>
        <w:t>, 2(1), 5–18.</w:t>
      </w:r>
    </w:p>
    <w:p>
      <w:pPr>
        <w:widowControl/>
        <w:spacing w:before="0" w:after="60" w:line="331" w:lineRule="auto"/>
        <w:ind w:left="397" w:hanging="397"/>
        <w:jc w:val="left"/>
      </w:pPr>
      <w:r>
        <w:rPr>
          <w:rFonts w:ascii="HY신명조" w:hAnsi="HY신명조" w:eastAsia="HY신명조"/>
          <w:color w:val="000000"/>
          <w:sz w:val="20"/>
        </w:rPr>
        <w:t xml:space="preserve">이윤호, 김도우, 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pStyle w:val="Heading2"/>
        <w:keepNext/>
        <w:keepLines/>
      </w:pPr>
      <w:r>
        <w:rPr>
          <w:rFonts w:ascii="HY견고딕" w:hAnsi="HY견고딕" w:eastAsia="HY견고딕"/>
          <w:b/>
          <w:color w:val="000000"/>
          <w:sz w:val="24"/>
        </w:rPr>
        <w:t>2. 국내 법령·공식자료</w:t>
      </w:r>
    </w:p>
    <w:p>
      <w:pPr>
        <w:widowControl/>
        <w:spacing w:before="0" w:after="60" w:line="331" w:lineRule="auto"/>
        <w:ind w:left="397" w:hanging="397"/>
        <w:jc w:val="left"/>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left="397" w:hanging="397"/>
        <w:jc w:val="left"/>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left="397" w:hanging="397"/>
        <w:jc w:val="left"/>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left="397" w:hanging="397"/>
        <w:jc w:val="left"/>
      </w:pPr>
      <w:r>
        <w:rPr>
          <w:rFonts w:ascii="HY신명조" w:hAnsi="HY신명조" w:eastAsia="HY신명조"/>
          <w:color w:val="000000"/>
          <w:sz w:val="20"/>
        </w:rPr>
        <w:t>인공지능 발전과 신뢰 기반 조성 등에 관한 기본법. 법률 제21311호, 2026. 1. 20. 일부개정. 기본 시행일 및 본문 인용 조문의 기본 시행일 2026. 1. 22.; 제35조 제1항 후단 등 일부 개정 부분 시행일 2026. 7. 21.</w:t>
      </w:r>
    </w:p>
    <w:p>
      <w:pPr>
        <w:pStyle w:val="Heading2"/>
        <w:keepNext/>
        <w:keepLines/>
      </w:pPr>
      <w:r>
        <w:rPr>
          <w:rFonts w:ascii="HY견고딕" w:hAnsi="HY견고딕" w:eastAsia="HY견고딕"/>
          <w:b/>
          <w:color w:val="000000"/>
          <w:sz w:val="24"/>
        </w:rPr>
        <w:t>3. 국외문헌·공식자료</w:t>
      </w:r>
    </w:p>
    <w:p>
      <w:pPr>
        <w:widowControl/>
        <w:spacing w:before="0" w:after="60" w:line="331" w:lineRule="auto"/>
        <w:ind w:left="397" w:hanging="397"/>
        <w:jc w:val="left"/>
      </w:pPr>
      <w:r>
        <w:rPr>
          <w:rFonts w:ascii="HY신명조" w:hAnsi="HY신명조" w:eastAsia="HY신명조"/>
          <w:color w:val="000000"/>
          <w:sz w:val="20"/>
        </w:rPr>
        <w:t xml:space="preserve">Clarke, R. V. G.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left="397" w:hanging="397"/>
        <w:jc w:val="left"/>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left="397" w:hanging="397"/>
        <w:jc w:val="left"/>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left="397" w:hanging="397"/>
        <w:jc w:val="left"/>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left="397" w:hanging="397"/>
        <w:jc w:val="left"/>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left="397" w:hanging="397"/>
        <w:jc w:val="left"/>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left="397" w:hanging="397"/>
        <w:jc w:val="left"/>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left="397" w:hanging="397"/>
        <w:jc w:val="left"/>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widowControl/>
        <w:spacing w:before="0" w:after="60" w:line="331" w:lineRule="auto"/>
        <w:ind w:left="397" w:hanging="397"/>
        <w:jc w:val="left"/>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left="397" w:hanging="397"/>
        <w:jc w:val="left"/>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left="397" w:hanging="397"/>
        <w:jc w:val="left"/>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left="397" w:hanging="397"/>
        <w:jc w:val="left"/>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Multi-Layer Defense Performance Against Mutated Inputs</w:t>
      </w:r>
    </w:p>
    <w:p>
      <w:pPr>
        <w:pStyle w:val="JournalAbstract"/>
        <w:widowControl/>
        <w:spacing w:before="0" w:after="60" w:line="331" w:lineRule="auto"/>
        <w:ind w:firstLine="397"/>
        <w:jc w:val="left"/>
      </w:pPr>
      <w:r>
        <w:rPr>
          <w:rFonts w:ascii="HY신명조" w:hAnsi="HY신명조" w:eastAsia="HY신명조"/>
          <w:color w:val="000000"/>
          <w:sz w:val="20"/>
        </w:rPr>
        <w:t>Korean personally identifiable information (PII) can bypass generative-AI guardrails through character, encoding, and notation changes. This study implements a multi-layer defense system that combines a normalization-based Layer 0, pattern detection, commercial guardrails, and an LLM judge, and compares four defense configurations using 10,000 synthetic payloads.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Overblocking evaluation identified 29 candidates among 1,519 public-law units and 48 among 693 official medical, finance, support, and developer units, demonstrating context-dependent limitations.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200" w:after="60" w:line="331" w:lineRule="auto"/>
        <w:jc w:val="left"/>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
  <cp:lastModifiedBy/>
  <cp:revision>1</cp:revision>
  <dcterms:created xsi:type="dcterms:W3CDTF">2013-12-23T23:15:00Z</dcterms:created>
  <dcterms:modified xsi:type="dcterms:W3CDTF">2013-12-23T23:15:00Z</dcterms:modified>
  <cp:category/>
</cp:coreProperties>
</file>