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60"/>
        <w:jc w:val="center"/>
      </w:pPr>
      <w:r>
        <w:rPr>
          <w:rFonts w:ascii="HY견고딕" w:hAnsi="HY견고딕" w:eastAsia="HY견고딕"/>
          <w:b/>
          <w:color w:val="000000"/>
          <w:sz w:val="30"/>
        </w:rPr>
        <w:t>생성형 AI의 한국어 개인식별정보(PII) 유출 위험과 정규화 기반 Layer 0의 필요성</w:t>
      </w:r>
    </w:p>
    <w:p>
      <w:pPr>
        <w:spacing w:after="100"/>
        <w:jc w:val="center"/>
      </w:pPr>
      <w:r>
        <w:rPr>
          <w:rFonts w:ascii="HY견고딕" w:hAnsi="HY견고딕" w:eastAsia="HY견고딕"/>
          <w:b/>
          <w:color w:val="000000"/>
          <w:sz w:val="23"/>
        </w:rPr>
        <w:t>변이 후 정답 복원과 동일 원천값 짝비교에 기초한 가드레일 감사</w:t>
      </w:r>
    </w:p>
    <w:p>
      <w:pPr>
        <w:spacing w:after="200"/>
        <w:jc w:val="center"/>
      </w:pPr>
      <w:r>
        <w:rPr>
          <w:rFonts w:ascii="HY신명조" w:hAnsi="HY신명조" w:eastAsia="HY신명조"/>
          <w:i/>
          <w:color w:val="000000"/>
          <w:sz w:val="20"/>
        </w:rPr>
        <w:t>Korean Personally Identifiable Information Leakage Risks in Generative AI and the Need for a Normalization-Based Layer 0: A Post-Mutation Gold Reconstruction and Matched Guardrail Audit</w:t>
      </w:r>
    </w:p>
    <w:p>
      <w:pPr>
        <w:spacing w:after="40"/>
        <w:jc w:val="right"/>
      </w:pPr>
      <w:r>
        <w:rPr>
          <w:rFonts w:ascii="HY신명조" w:hAnsi="HY신명조" w:eastAsia="HY신명조"/>
          <w:b/>
          <w:color w:val="000000"/>
          <w:sz w:val="22"/>
        </w:rPr>
        <w:t>민우</w:t>
      </w:r>
    </w:p>
    <w:p>
      <w:pPr>
        <w:spacing w:after="40"/>
        <w:jc w:val="right"/>
      </w:pPr>
      <w:r>
        <w:rPr>
          <w:rFonts w:ascii="HY신명조" w:hAnsi="HY신명조" w:eastAsia="HY신명조"/>
          <w:color w:val="5A5A5A"/>
          <w:sz w:val="17"/>
        </w:rPr>
        <w:t>정보보안학과·CCIT 융합전공</w:t>
      </w:r>
    </w:p>
    <w:p>
      <w:pPr>
        <w:spacing w:after="40"/>
        <w:jc w:val="right"/>
      </w:pPr>
      <w:r>
        <w:rPr>
          <w:rFonts w:ascii="HY신명조" w:hAnsi="HY신명조" w:eastAsia="HY신명조"/>
          <w:color w:val="5A5A5A"/>
          <w:sz w:val="17"/>
        </w:rPr>
        <w:t>원고 작성·최종 자동검증 기준일: 2026년 7월 27일</w:t>
      </w:r>
    </w:p>
    <w:p>
      <w:pPr>
        <w:spacing w:after="40"/>
        <w:jc w:val="right"/>
      </w:pPr>
      <w:r>
        <w:rPr>
          <w:rFonts w:ascii="HY신명조" w:hAnsi="HY신명조" w:eastAsia="HY신명조"/>
          <w:color w:val="5A5A5A"/>
          <w:sz w:val="17"/>
        </w:rPr>
        <w:t xml:space="preserve">검증 대상 코드: </w:t>
      </w:r>
      <w:r>
        <w:rPr>
          <w:rFonts w:ascii="Consolas" w:hAnsi="Consolas" w:eastAsia="Consolas"/>
          <w:color w:val="5A5A5A"/>
          <w:sz w:val="16"/>
        </w:rPr>
        <w:t>KPIIGD/My-AI-Security-Project</w:t>
      </w:r>
      <w:r>
        <w:rPr>
          <w:rFonts w:ascii="HY신명조" w:hAnsi="HY신명조" w:eastAsia="HY신명조"/>
          <w:color w:val="5A5A5A"/>
          <w:sz w:val="17"/>
        </w:rPr>
        <w:t xml:space="preserve">, commit </w:t>
      </w:r>
      <w:r>
        <w:rPr>
          <w:rFonts w:ascii="Consolas" w:hAnsi="Consolas" w:eastAsia="Consolas"/>
          <w:color w:val="5A5A5A"/>
          <w:sz w:val="16"/>
        </w:rPr>
        <w:t>694ca717dd47e3d8f229bfa4da84c1fad607576b</w:t>
      </w:r>
    </w:p>
    <w:p>
      <w:pPr>
        <w:spacing w:before="200" w:after="140"/>
        <w:jc w:val="center"/>
      </w:pPr>
      <w:r>
        <w:rPr>
          <w:rFonts w:ascii="HY신명조" w:hAnsi="HY신명조" w:eastAsia="HY신명조"/>
          <w:b/>
          <w:color w:val="000000"/>
          <w:sz w:val="26"/>
        </w:rPr>
        <w:t>〈요 약〉</w:t>
      </w:r>
    </w:p>
    <w:p>
      <w:pPr>
        <w:pStyle w:val="JournalAbstract"/>
        <w:widowControl/>
        <w:spacing w:before="0" w:after="60" w:line="331" w:lineRule="auto"/>
        <w:jc w:val="both"/>
      </w:pPr>
      <w:r>
        <w:rPr>
          <w:rFonts w:ascii="HY신명조" w:hAnsi="HY신명조" w:eastAsia="HY신명조"/>
          <w:color w:val="000000"/>
          <w:sz w:val="20"/>
        </w:rPr>
        <w:t>생성형 인공지능 서비스의 한국어 개인식별정보(PII)는 문자·인코딩·표기 변형으로 기존 가드레일을 우회할 수 있다. 본 연구는 관련 4개 저장소와 110개 원격 참조, 10,000건의 합성 페이로드 및 네 방어구성의 저장 결과를 감사하였다. 변이 후 보호대상을 9,964건(99.64%)에서 복원한 결과 기존 3계층의 미차단은 2,060건(20.67%), Layer 0 추가 구성은 706건(7.09%)이었다. 동일 원천값의 한국어 2,305쌍에서 기존 계층의 미차단율은 원형 24.47%에서 변이 32.28%로 증가했고, 원천 그룹 동일가중 위험차는 6.86%p(95% 군집 부트스트랩 4.06~9.69)였다. 보호대상 값이 변한 쌍에서 증가가 집중되었으며, Layer 0는 기존 계층이 놓친 1,354건을 추가 차단하였다. 한편 공식 법령 1,519개 중 29개와 의료·금융·지원·개발 문서 693개 중 48개가 과잉차단 후보로 탐지되어 문맥 한계도 확인되었다. 따라서 Layer 0는 변형 PII를 후속 계층 이전에 정규화·차단하는 필수 입력 통제이지만 충분조건은 아니다. 정책 활용에는 변이 후 정답, 단일 평가기, 사람 이중검토, 설정·버전 공개와 운영 유사 자료의 외부검증이 필요하며, 결과를 범죄율이나 법적 준수율로 일반화해서는 안 된다.</w:t>
      </w:r>
    </w:p>
    <w:p>
      <w:pPr>
        <w:pStyle w:val="JournalAbstract"/>
        <w:widowControl/>
        <w:spacing w:before="0" w:after="60" w:line="331" w:lineRule="auto"/>
        <w:jc w:val="both"/>
      </w:pPr>
      <w:r>
        <w:rPr>
          <w:rFonts w:ascii="HY신명조" w:hAnsi="HY신명조" w:eastAsia="HY신명조"/>
          <w:b/>
          <w:color w:val="000000"/>
          <w:sz w:val="20"/>
        </w:rPr>
        <w:t>주제어:</w:t>
      </w:r>
      <w:r>
        <w:rPr>
          <w:rFonts w:ascii="HY신명조" w:hAnsi="HY신명조" w:eastAsia="HY신명조"/>
          <w:color w:val="000000"/>
          <w:sz w:val="20"/>
        </w:rPr>
        <w:t xml:space="preserve"> 생성형 인공지능, 개인정보, 민감정보, 가드레일, 일상활동이론, 보호자, 구성타당도, 재현성, 형사정책</w:t>
      </w:r>
    </w:p>
    <w:p>
      <w:pPr>
        <w:spacing w:before="160" w:after="100"/>
        <w:jc w:val="center"/>
      </w:pPr>
      <w:r>
        <w:rPr>
          <w:rFonts w:ascii="HY견고딕" w:hAnsi="HY견고딕" w:eastAsia="HY견고딕"/>
          <w:b/>
          <w:color w:val="000000"/>
          <w:sz w:val="22"/>
        </w:rPr>
        <w:t>목 차</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5111"/>
        <w:gridCol w:w="4859"/>
      </w:tblGrid>
      <w:tr>
        <w:trPr>
          <w:tblHeader w:val="true"/>
          <w:cantSplit/>
        </w:trPr>
        <w:tc>
          <w:tcPr>
            <w:tcW w:type="dxa" w:w="511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I. 서론</w:t>
            </w:r>
          </w:p>
        </w:tc>
        <w:tc>
          <w:tcPr>
            <w:tcW w:type="dxa" w:w="485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V. 논의</w:t>
            </w:r>
          </w:p>
        </w:tc>
      </w:tr>
      <w:tr>
        <w:trPr>
          <w:cantSplit/>
        </w:trPr>
        <w:tc>
          <w:tcPr>
            <w:tcW w:type="dxa" w:w="511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II. 이론적·법적 배경</w:t>
            </w:r>
          </w:p>
        </w:tc>
        <w:tc>
          <w:tcPr>
            <w:tcW w:type="dxa" w:w="485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VI. 형사정책적 제언</w:t>
            </w:r>
          </w:p>
        </w:tc>
      </w:tr>
      <w:tr>
        <w:trPr>
          <w:cantSplit/>
        </w:trPr>
        <w:tc>
          <w:tcPr>
            <w:tcW w:type="dxa" w:w="511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III. 연구방법</w:t>
            </w:r>
          </w:p>
        </w:tc>
        <w:tc>
          <w:tcPr>
            <w:tcW w:type="dxa" w:w="485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VII. 한계</w:t>
            </w:r>
          </w:p>
        </w:tc>
      </w:tr>
      <w:tr>
        <w:trPr>
          <w:cantSplit/>
        </w:trPr>
        <w:tc>
          <w:tcPr>
            <w:tcW w:type="dxa" w:w="511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IV. 분석결과</w:t>
            </w:r>
          </w:p>
        </w:tc>
        <w:tc>
          <w:tcPr>
            <w:tcW w:type="dxa" w:w="485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VIII. 결론</w:t>
            </w:r>
          </w:p>
        </w:tc>
      </w:tr>
    </w:tbl>
    <w:p>
      <w:pPr>
        <w:spacing w:after="20"/>
      </w:pPr>
    </w:p>
    <w:p>
      <w:pPr>
        <w:pStyle w:val="Heading1"/>
        <w:keepNext/>
        <w:keepLines/>
      </w:pPr>
      <w:r>
        <w:rPr>
          <w:rFonts w:ascii="HY견고딕" w:hAnsi="HY견고딕" w:eastAsia="HY견고딕"/>
          <w:b/>
          <w:color w:val="000000"/>
          <w:sz w:val="28"/>
        </w:rPr>
        <w:t>I. 서론</w:t>
      </w:r>
    </w:p>
    <w:p>
      <w:pPr>
        <w:pStyle w:val="Heading2"/>
        <w:keepNext/>
        <w:keepLines/>
      </w:pPr>
      <w:r>
        <w:rPr>
          <w:rFonts w:ascii="HY견고딕" w:hAnsi="HY견고딕" w:eastAsia="HY견고딕"/>
          <w:b/>
          <w:color w:val="000000"/>
          <w:sz w:val="24"/>
        </w:rPr>
        <w:t>1. 연구 배경</w:t>
      </w:r>
    </w:p>
    <w:p>
      <w:pPr>
        <w:widowControl/>
        <w:spacing w:before="0" w:after="60" w:line="331" w:lineRule="auto"/>
        <w:ind w:firstLine="397"/>
        <w:jc w:val="both"/>
      </w:pPr>
      <w:r>
        <w:rPr>
          <w:rFonts w:ascii="HY신명조" w:hAnsi="HY신명조" w:eastAsia="HY신명조"/>
          <w:color w:val="000000"/>
          <w:sz w:val="20"/>
        </w:rPr>
        <w:t>생성형 인공지능은 이용자의 입력을 바탕으로 답변을 생성하고, 그 과정에서 입력·출력·로그·관찰성 도구·외부 API 등 여러 계층을 통과한다. 주민등록번호나 여권번호처럼 형식이 비교적 고정된 정보뿐 아니라 건강상태, 처방, 범죄경력, 종교, 정치적 견해, 가족관계처럼 자연어 문맥에 포함되는 정보도 이 경로에 들어갈 수 있다. 서비스 제공자는 이러한 노출을 줄이기 위해 입력 전처리, 정규식·사전 기반 탐지, 상용 필터, 프롬프트 보안 서비스, LLM 판별기를 결합한 다계층 가드레일을 구성한다.</w:t>
      </w:r>
    </w:p>
    <w:p>
      <w:pPr>
        <w:widowControl/>
        <w:spacing w:before="0" w:after="60" w:line="331" w:lineRule="auto"/>
        <w:ind w:firstLine="397"/>
        <w:jc w:val="both"/>
      </w:pPr>
      <w:r>
        <w:rPr>
          <w:rFonts w:ascii="HY신명조" w:hAnsi="HY신명조" w:eastAsia="HY신명조"/>
          <w:color w:val="000000"/>
          <w:sz w:val="20"/>
        </w:rPr>
        <w:t>가드레일의 존재가 곧 보호의 실효성을 뜻하지는 않는다. 한 계층이 사람 이름처럼 주변 문자열만 마스킹하고 정작 평가 대상인 의료정보를 그대로 남겼는데도 “출력이 달라졌다”는 이유로 성공으로 계산할 수 있다. 반대로 원래 문자열이 전각 숫자, 원문자 숫자, 한글 숫자, 자모, 구분자 변경 등으로 변형되면 단순 문자열 비교는 보호 대상의 잔존 여부를 추적하지 못한다. 정책 논문이 이러한 수치를 근거로 기술 최소기준, 영향평가 또는 제재 강화를 제안한다면, 성능 수치의 구성타당도와 재현성은 정책 결론보다 먼저 검증되어야 한다.</w:t>
      </w:r>
    </w:p>
    <w:p>
      <w:pPr>
        <w:widowControl/>
        <w:spacing w:before="0" w:after="60" w:line="331" w:lineRule="auto"/>
        <w:ind w:firstLine="397"/>
        <w:jc w:val="both"/>
      </w:pPr>
      <w:r>
        <w:rPr>
          <w:rFonts w:ascii="HY신명조" w:hAnsi="HY신명조" w:eastAsia="HY신명조"/>
          <w:color w:val="000000"/>
          <w:sz w:val="20"/>
        </w:rPr>
        <w:t>본 연구가 감사한 프로젝트는 정규화 기반 Layer 0, Microsoft Presidio, Amazon Bedrock Guardrails, Lakera, GPT-4o-mini 기반 판별기를 결합하고 10,000건의 합성 페이로드를 대상으로 네 가지 구성을 비교하였다. 저장된 문서는 Layer 0가 LLM 판별기보다 높은 탐지율과 낮은 지연·비용을 보였다고 주장하였다. 그러나 재검증 과정에서 변이 후 정답 추적, 평가 함수의 통일, 데이터 생성 경로, 체크섬, 비용 귀속 및 제품 지원 언어에 중대한 불일치가 확인되었다.</w:t>
      </w:r>
    </w:p>
    <w:p>
      <w:pPr>
        <w:widowControl/>
        <w:spacing w:before="0" w:after="60" w:line="331" w:lineRule="auto"/>
        <w:ind w:firstLine="397"/>
        <w:jc w:val="both"/>
      </w:pPr>
      <w:r>
        <w:rPr>
          <w:rFonts w:ascii="HY신명조" w:hAnsi="HY신명조" w:eastAsia="HY신명조"/>
          <w:color w:val="000000"/>
          <w:sz w:val="20"/>
        </w:rPr>
        <w:t>본 연구의 목적은 첫째, 변이 후 보호대상 문자열을 복원하고 동일 원천값의 원형·변이 사례를 비교하여 한국어 PII 자체의 문자·인코딩·표기 변화가 기존 가드레일의 미차단 위험을 높이는지 확인하며, 둘째, 그 위험을 줄이기 위한 정규화 기반 Layer 0의 추가효과와 한계를 평가하고, 셋째, 가드레일 실험이 형사정책적 근거로 사용되기 위해 갖추어야 할 최소조건을 제시하는 데 있다.</w:t>
      </w:r>
    </w:p>
    <w:p>
      <w:pPr>
        <w:pStyle w:val="Heading2"/>
        <w:keepNext/>
        <w:keepLines/>
      </w:pPr>
      <w:r>
        <w:rPr>
          <w:rFonts w:ascii="HY견고딕" w:hAnsi="HY견고딕" w:eastAsia="HY견고딕"/>
          <w:b/>
          <w:color w:val="000000"/>
          <w:sz w:val="24"/>
        </w:rPr>
        <w:t>2. 연구질문</w:t>
      </w:r>
    </w:p>
    <w:p>
      <w:pPr>
        <w:widowControl/>
        <w:spacing w:before="0" w:after="60" w:line="331" w:lineRule="auto"/>
        <w:ind w:firstLine="397"/>
        <w:jc w:val="both"/>
      </w:pPr>
      <w:r>
        <w:rPr>
          <w:rFonts w:ascii="HY신명조" w:hAnsi="HY신명조" w:eastAsia="HY신명조"/>
          <w:color w:val="000000"/>
          <w:sz w:val="20"/>
        </w:rPr>
        <w:t>연구질문은 다음과 같다.</w:t>
      </w:r>
    </w:p>
    <w:p>
      <w:pPr>
        <w:widowControl/>
        <w:spacing w:before="0" w:after="60" w:line="331" w:lineRule="auto"/>
        <w:ind w:firstLine="397"/>
        <w:jc w:val="both"/>
      </w:pPr>
      <w:r>
        <w:rPr>
          <w:rFonts w:ascii="HY신명조" w:hAnsi="HY신명조" w:eastAsia="HY신명조"/>
          <w:b/>
          <w:color w:val="000000"/>
          <w:sz w:val="20"/>
        </w:rPr>
        <w:t>RQ1.</w:t>
      </w:r>
      <w:r>
        <w:rPr>
          <w:rFonts w:ascii="HY신명조" w:hAnsi="HY신명조" w:eastAsia="HY신명조"/>
          <w:color w:val="000000"/>
          <w:sz w:val="20"/>
        </w:rPr>
        <w:t xml:space="preserve"> 동일한 PII 유형·원천값에서 생성된 원형과 변이 사례를 비교할 때, 보호대상 문자열 자체의 문자·인코딩·표기 변형은 기존 다계층 가드레일의 미차단 가능성을 높이는가?</w:t>
      </w:r>
    </w:p>
    <w:p>
      <w:pPr>
        <w:widowControl/>
        <w:spacing w:before="0" w:after="60" w:line="331" w:lineRule="auto"/>
        <w:ind w:firstLine="397"/>
        <w:jc w:val="both"/>
      </w:pPr>
      <w:r>
        <w:rPr>
          <w:rFonts w:ascii="HY신명조" w:hAnsi="HY신명조" w:eastAsia="HY신명조"/>
          <w:b/>
          <w:color w:val="000000"/>
          <w:sz w:val="20"/>
        </w:rPr>
        <w:t>RQ2.</w:t>
      </w:r>
      <w:r>
        <w:rPr>
          <w:rFonts w:ascii="HY신명조" w:hAnsi="HY신명조" w:eastAsia="HY신명조"/>
          <w:color w:val="000000"/>
          <w:sz w:val="20"/>
        </w:rPr>
        <w:t xml:space="preserve"> 정규화 기반 Layer 0를 입력단에 추가하면 기존 계층이 놓친 변이 페이로드를 추가로 차단하는가?</w:t>
      </w:r>
    </w:p>
    <w:p>
      <w:pPr>
        <w:widowControl/>
        <w:spacing w:before="0" w:after="60" w:line="331" w:lineRule="auto"/>
        <w:ind w:firstLine="397"/>
        <w:jc w:val="both"/>
      </w:pPr>
      <w:r>
        <w:rPr>
          <w:rFonts w:ascii="HY신명조" w:hAnsi="HY신명조" w:eastAsia="HY신명조"/>
          <w:b/>
          <w:color w:val="000000"/>
          <w:sz w:val="20"/>
        </w:rPr>
        <w:t>RQ3.</w:t>
      </w:r>
      <w:r>
        <w:rPr>
          <w:rFonts w:ascii="HY신명조" w:hAnsi="HY신명조" w:eastAsia="HY신명조"/>
          <w:color w:val="000000"/>
          <w:sz w:val="20"/>
        </w:rPr>
        <w:t xml:space="preserve"> Layer 0의 효과를 개인정보 안전조치와 형사정책의 근거로 사용하기 위해 필요한 기술적·절차적 최소기준은 무엇인가?</w:t>
      </w:r>
    </w:p>
    <w:p>
      <w:pPr>
        <w:pStyle w:val="Heading2"/>
        <w:keepNext/>
        <w:keepLines/>
      </w:pPr>
      <w:r>
        <w:rPr>
          <w:rFonts w:ascii="HY견고딕" w:hAnsi="HY견고딕" w:eastAsia="HY견고딕"/>
          <w:b/>
          <w:color w:val="000000"/>
          <w:sz w:val="24"/>
        </w:rPr>
        <w:t>3. 연구의 범위와 기여</w:t>
      </w:r>
    </w:p>
    <w:p>
      <w:pPr>
        <w:widowControl/>
        <w:spacing w:before="0" w:after="60" w:line="331" w:lineRule="auto"/>
        <w:ind w:firstLine="397"/>
        <w:jc w:val="both"/>
      </w:pPr>
      <w:r>
        <w:rPr>
          <w:rFonts w:ascii="HY신명조" w:hAnsi="HY신명조" w:eastAsia="HY신명조"/>
          <w:color w:val="000000"/>
          <w:sz w:val="20"/>
        </w:rPr>
        <w:t>본 연구는 실제 서비스 이용자의 피해자화, 공격자의 동기, 실제 범죄 발생률을 측정하지 않는다. 실제 개인정보가 아닌 합성 페이로드와 저장된 시스템 출력, 코드 및 문서를 대상으로 하는 연구 산출물 감사다. 여기서 “유출 가능성”은 평가 대상 PII가 차단·마스킹되지 않은 채 가드레일 계층을 통과한 상태를 뜻하며, 실제 외부 전송이나 피해 발생을 뜻하지 않는다.</w:t>
      </w:r>
    </w:p>
    <w:p>
      <w:pPr>
        <w:widowControl/>
        <w:spacing w:before="0" w:after="60" w:line="331" w:lineRule="auto"/>
        <w:ind w:firstLine="397"/>
        <w:jc w:val="both"/>
      </w:pPr>
      <w:r>
        <w:rPr>
          <w:rFonts w:ascii="HY신명조" w:hAnsi="HY신명조" w:eastAsia="HY신명조"/>
          <w:color w:val="000000"/>
          <w:sz w:val="20"/>
        </w:rPr>
        <w:t>연구의 기여는 네 가지다. 첫째, 기존 평가기가 놓친 변이 후 보호대상 문자열을 9,964건에서 복원하는 감사용 평가기를 구현하였다. 둘째, 동일 PII 유형·원천값의 원형과 변이 사례 3,461쌍을 구성하고, 한국어·보호대상 변경 여부를 구분하여 변이 위험을 재추정하였다. 셋째, 기존 계층이 놓쳤으나 Layer 0 추가 구성이 차단한 1,354건과 그중 Layer 0의 직접 차단 1,353건을 확인하고, 합성 정상문 10,000건·공식 법령 1,519개·네 서비스 도메인 공식 문서 693개에서 과잉차단을 함께 측정하였다. 넷째, 법적 범주, 범죄학적 보호자 개념, 제품 지원 문서와 실험 설정을 분리하고 정책 연구를 위한 최소 보고·재현 기준을 제안하였다.</w:t>
      </w:r>
    </w:p>
    <w:p>
      <w:pPr>
        <w:pStyle w:val="Heading1"/>
        <w:keepNext/>
        <w:keepLines/>
      </w:pPr>
      <w:r>
        <w:rPr>
          <w:rFonts w:ascii="HY견고딕" w:hAnsi="HY견고딕" w:eastAsia="HY견고딕"/>
          <w:b/>
          <w:color w:val="000000"/>
          <w:sz w:val="28"/>
        </w:rPr>
        <w:t>II. 이론적·법적 배경</w:t>
      </w:r>
    </w:p>
    <w:p>
      <w:pPr>
        <w:pStyle w:val="Heading2"/>
        <w:keepNext/>
        <w:keepLines/>
      </w:pPr>
      <w:r>
        <w:rPr>
          <w:rFonts w:ascii="HY견고딕" w:hAnsi="HY견고딕" w:eastAsia="HY견고딕"/>
          <w:b/>
          <w:color w:val="000000"/>
          <w:sz w:val="24"/>
        </w:rPr>
        <w:t>1. 일상활동이론과 기술적 보호자</w:t>
      </w:r>
    </w:p>
    <w:p>
      <w:pPr>
        <w:widowControl/>
        <w:spacing w:before="0" w:after="60" w:line="331" w:lineRule="auto"/>
        <w:ind w:firstLine="397"/>
        <w:jc w:val="both"/>
      </w:pPr>
      <w:r>
        <w:rPr>
          <w:rFonts w:ascii="HY신명조" w:hAnsi="HY신명조" w:eastAsia="HY신명조"/>
          <w:color w:val="000000"/>
          <w:sz w:val="20"/>
        </w:rPr>
        <w:t>Cohen과 Felson(1979)은 범죄 기회를 동기화된 범죄자, 적합한 표적, 유능한 보호자의 부재가 시간과 공간에서 수렴하는 구조로 설명하였다. 이 접근은 범죄자의 성향만이 아니라 범죄가 가능해지는 일상적 조건에 주목한다. 상황적 범죄예방은 이러한 기회구조에 개입하여 범행의 노력과 위험을 높이고 보상을 줄이는 실천적 접근으로 발전하였다(Clarke, 1980; 1983; Felson &amp; Clarke, 1998).</w:t>
      </w:r>
    </w:p>
    <w:p>
      <w:pPr>
        <w:widowControl/>
        <w:spacing w:before="0" w:after="60" w:line="331" w:lineRule="auto"/>
        <w:ind w:firstLine="397"/>
        <w:jc w:val="both"/>
      </w:pPr>
      <w:r>
        <w:rPr>
          <w:rFonts w:ascii="HY신명조" w:hAnsi="HY신명조" w:eastAsia="HY신명조"/>
          <w:color w:val="000000"/>
          <w:sz w:val="20"/>
        </w:rPr>
        <w:t>온라인 환경에서 이 이론을 그대로 이전하는 데에는 한계가 있다. Yar(2005)는 가상공간에서는 물리적 시공간 수렴과 표적의 물리적 관성이 달라진다는 점을 지적하였다. Leukfeldt와 Yar(2016)는 가치·가시성·접근성·보호자의 효과가 사이버범죄 유형에 따라 일관되지 않음을 보였다. Williams(2016)는 온라인 신원도용 연구에서 보호자를 능동적 개인 보호자, 회피적 개인 보호자, 수동적 물리적 보호자 등으로 구분하였다. 국내 연구에서도 보안프로그램이나 감독의 효과는 연구와 피해유형에 따라 다르게 나타났다(이윤호·김도우·유영재, 2011; 박기태·조제성, 2017; 서지혜·최진선·박진수, 2020). 최근의 반복피해 연구는 학교·교사의 감독 수준이 낮을수록 온라인 괴롭힘 반복피해 가능성이 높아진다고 보고하였고(노희주·조윤오, 2025), VIVA 모델을 중심으로 한 국내 이론 연구는 온라인의 유동적 시공간에 맞춘 일상활동이론의 조정 필요성을 제기하였다(블라데미르 T. 콩고·여승준·최진혁, 2025).</w:t>
      </w:r>
    </w:p>
    <w:p>
      <w:pPr>
        <w:widowControl/>
        <w:spacing w:before="0" w:after="60" w:line="331" w:lineRule="auto"/>
        <w:ind w:firstLine="397"/>
        <w:jc w:val="both"/>
      </w:pPr>
      <w:r>
        <w:rPr>
          <w:rFonts w:ascii="HY신명조" w:hAnsi="HY신명조" w:eastAsia="HY신명조"/>
          <w:color w:val="000000"/>
          <w:sz w:val="20"/>
        </w:rPr>
        <w:t xml:space="preserve">이러한 논의를 바탕으로 본 연구는 가드레일을 실제 인간 보호자나 범죄 통제기관과 동일시하지 않는다. 가드레일은 특정 입력을 차단·마스킹하는 </w:t>
      </w:r>
      <w:r>
        <w:rPr>
          <w:rFonts w:ascii="HY신명조" w:hAnsi="HY신명조" w:eastAsia="HY신명조"/>
          <w:b/>
          <w:color w:val="000000"/>
          <w:sz w:val="20"/>
        </w:rPr>
        <w:t>수동적 기술 보호자의 역량 대리지표</w:t>
      </w:r>
      <w:r>
        <w:rPr>
          <w:rFonts w:ascii="HY신명조" w:hAnsi="HY신명조" w:eastAsia="HY신명조"/>
          <w:color w:val="000000"/>
          <w:sz w:val="20"/>
        </w:rPr>
        <w:t>다. 또한 변이 단계 L0~L5는 공격기법의 형식과 정교도를 나타낼 뿐 범죄자의 동기를 나타내지 않는다. 합성 페이로드가 가드레일을 우회했다는 사실도 실제 피해자화나 범죄 발생을 뜻하지 않는다.</w:t>
      </w:r>
    </w:p>
    <w:p>
      <w:pPr>
        <w:pStyle w:val="Heading2"/>
        <w:keepNext/>
        <w:keepLines/>
      </w:pPr>
      <w:r>
        <w:rPr>
          <w:rFonts w:ascii="HY견고딕" w:hAnsi="HY견고딕" w:eastAsia="HY견고딕"/>
          <w:b/>
          <w:color w:val="000000"/>
          <w:sz w:val="24"/>
        </w:rPr>
        <w:t>2. 상황적 범죄예방과 전이 개념의 한계</w:t>
      </w:r>
    </w:p>
    <w:p>
      <w:pPr>
        <w:widowControl/>
        <w:spacing w:before="0" w:after="60" w:line="331" w:lineRule="auto"/>
        <w:ind w:firstLine="397"/>
        <w:jc w:val="both"/>
      </w:pPr>
      <w:r>
        <w:rPr>
          <w:rFonts w:ascii="HY신명조" w:hAnsi="HY신명조" w:eastAsia="HY신명조"/>
          <w:color w:val="000000"/>
          <w:sz w:val="20"/>
        </w:rPr>
        <w:t xml:space="preserve">정규화·탐지 계층을 추가하는 것은 상황적 범죄예방의 표적 강화 또는 접근통제와 유사한 기능으로 해석할 수 있다. 그러나 특정 변이기법이나 RAG 문맥에서 우회가 남았다는 사실만으로 전이가 발생했다고 할 수 없다. Reppetto(1976)가 다룬 전이는 예방조치로 차단된 행위가 다른 장소, 시간, 표적 또는 수법으로 이동하는 현상이다. 전이를 확인하려면 방어 도입 전후 공격자의 실제 선택과 이동을 시간 순서에 따라 관찰해야 한다. 본 연구의 정적 벤치마크가 보여줄 수 있는 것은 전이가 아니라 </w:t>
      </w:r>
      <w:r>
        <w:rPr>
          <w:rFonts w:ascii="HY신명조" w:hAnsi="HY신명조" w:eastAsia="HY신명조"/>
          <w:b/>
          <w:color w:val="000000"/>
          <w:sz w:val="20"/>
        </w:rPr>
        <w:t>전술별 잔존 취약성</w:t>
      </w:r>
      <w:r>
        <w:rPr>
          <w:rFonts w:ascii="HY신명조" w:hAnsi="HY신명조" w:eastAsia="HY신명조"/>
          <w:color w:val="000000"/>
          <w:sz w:val="20"/>
        </w:rPr>
        <w:t>이다.</w:t>
      </w:r>
    </w:p>
    <w:p>
      <w:pPr>
        <w:pStyle w:val="Heading2"/>
        <w:keepNext/>
        <w:keepLines/>
      </w:pPr>
      <w:r>
        <w:rPr>
          <w:rFonts w:ascii="HY견고딕" w:hAnsi="HY견고딕" w:eastAsia="HY견고딕"/>
          <w:b/>
          <w:color w:val="000000"/>
          <w:sz w:val="24"/>
        </w:rPr>
        <w:t>3. 개인정보 보호법상 민감정보와 안전조치</w:t>
      </w:r>
    </w:p>
    <w:p>
      <w:pPr>
        <w:widowControl/>
        <w:spacing w:before="0" w:after="60" w:line="331" w:lineRule="auto"/>
        <w:ind w:firstLine="397"/>
        <w:jc w:val="both"/>
      </w:pPr>
      <w:r>
        <w:rPr>
          <w:rFonts w:ascii="HY신명조" w:hAnsi="HY신명조" w:eastAsia="HY신명조"/>
          <w:color w:val="000000"/>
          <w:sz w:val="20"/>
        </w:rPr>
        <w:t>기술 분야에서 사용하는 PII는 특정 개인을 식별하거나 식별 가능성을 높이는 넓은 범주의 정보를 가리킨다. 그러나 데이터셋의 모든 PII 유형이 개인정보 보호법 제23조의 민감정보인 것은 아니다. 제23조 제1항 본문과 개인정보 보호법 시행령 제18조는 사상·신념, 노동조합·정당 가입, 정치적 견해, 건강, 성생활, 유전정보, 범죄경력자료, 생체인식정보, 인종·민족정보 등 별도의 범위를 정한다. 주민등록번호·여권번호 등은 고유식별정보 관련 규율과 함께 검토해야 하며, 일반 개인정보도 별도 처리 원칙을 적용받는다.</w:t>
      </w:r>
    </w:p>
    <w:p>
      <w:pPr>
        <w:widowControl/>
        <w:spacing w:before="0" w:after="60" w:line="331" w:lineRule="auto"/>
        <w:ind w:firstLine="397"/>
        <w:jc w:val="both"/>
      </w:pPr>
      <w:r>
        <w:rPr>
          <w:rFonts w:ascii="HY신명조" w:hAnsi="HY신명조" w:eastAsia="HY신명조"/>
          <w:color w:val="000000"/>
          <w:sz w:val="20"/>
        </w:rPr>
        <w:t xml:space="preserve">제재 구조도 구분해야 한다. 제23조 제1항을 위반한 민감정보 처리는 제71조 </w:t>
      </w:r>
      <w:r>
        <w:rPr>
          <w:rFonts w:ascii="HY신명조" w:hAnsi="HY신명조" w:eastAsia="HY신명조"/>
          <w:b/>
          <w:color w:val="000000"/>
          <w:sz w:val="20"/>
        </w:rPr>
        <w:t>제4호</w:t>
      </w:r>
      <w:r>
        <w:rPr>
          <w:rFonts w:ascii="HY신명조" w:hAnsi="HY신명조" w:eastAsia="HY신명조"/>
          <w:color w:val="000000"/>
          <w:sz w:val="20"/>
        </w:rPr>
        <w:t>의 형사처벌 대상이 될 수 있다. 제23조 제2항·제29조 등의 안전조치 미이행은 제75조 제2항 제5호의 과태료 구조와 연결된다. 제64조의2의 전체 매출액 3% 이하 과징금은 무동의 민감정보 처리와 안전조치를 다하지 않은 상태에서의 유출 등 법률이 정한 사유별 요건에 따라 판단된다. 기술적 탐지 실패 하나만으로 형사처벌·과태료·과징금이 자동으로 성립한다고 서술해서는 안 된다.</w:t>
      </w:r>
    </w:p>
    <w:p>
      <w:pPr>
        <w:widowControl/>
        <w:spacing w:before="0" w:after="60" w:line="331" w:lineRule="auto"/>
        <w:ind w:firstLine="397"/>
        <w:jc w:val="both"/>
      </w:pPr>
      <w:r>
        <w:rPr>
          <w:rFonts w:ascii="HY신명조" w:hAnsi="HY신명조" w:eastAsia="HY신명조"/>
          <w:color w:val="000000"/>
          <w:sz w:val="20"/>
        </w:rPr>
        <w:t>개인정보 영향평가와 관련하여 제33조 제1항의 의무 대상은 일정한 공공기관 개인정보파일이다. 다만 같은 조 제11항은 민간 개인정보처리자도 개인정보파일 운용으로 정보주체의 권리침해가 우려되면 영향평가를 하기 위해 적극 노력하도록 한다. 따라서 민간 영향평가가 전혀 존재하지 않는다고 단정하기보다, 고위험 생성형 AI에 대한 노력의무를 구체적이고 검증 가능한 절차로 강화할 필요가 있다는 입법론으로 접근해야 한다.</w:t>
      </w:r>
    </w:p>
    <w:p>
      <w:pPr>
        <w:pStyle w:val="Heading2"/>
        <w:keepNext/>
        <w:keepLines/>
      </w:pPr>
      <w:r>
        <w:rPr>
          <w:rFonts w:ascii="HY견고딕" w:hAnsi="HY견고딕" w:eastAsia="HY견고딕"/>
          <w:b/>
          <w:color w:val="000000"/>
          <w:sz w:val="24"/>
        </w:rPr>
        <w:t>4. 인공지능기본법의 위험관리 구조</w:t>
      </w:r>
    </w:p>
    <w:p>
      <w:pPr>
        <w:widowControl/>
        <w:spacing w:before="0" w:after="60" w:line="331" w:lineRule="auto"/>
        <w:ind w:firstLine="397"/>
        <w:jc w:val="both"/>
      </w:pPr>
      <w:r>
        <w:rPr>
          <w:rFonts w:ascii="HY신명조" w:hAnsi="HY신명조" w:eastAsia="HY신명조"/>
          <w:color w:val="000000"/>
          <w:sz w:val="20"/>
        </w:rPr>
        <w:t>「인공지능 발전과 신뢰 기반 조성 등에 관한 기본법」의 법률 제21311호 통합본에는 2026년 7월 21일 시행된 일부 개정 조문이 포함되어 있다. 그러나 본 연구가 인용하는 제31조·제33조·제34조·제35조·제43조의 조문별 시행일은 국가법령정보센터 공식 XML에서 모두 2026년 1월 22일로 확인된다. 제31조는 생성형 AI 등의 고지·표시 의무를, 제33조는 고영향 AI 해당 여부의 사전 검토와 확인 절차를 규정한다. 위험관리, 설명 방안, 이용자 보호, 사람의 관리·감독, 문서 작성·보관 등 고영향 AI 사업자의 책무는 제34조에 있다. 제35조는 기본권 영향평가를 위해 노력하도록 정한다. 제43조의 과태료는 제31조 제1항 고지, 제36조 제1항 국내대리인, 제40조 제3항의 명령 불이행 등 열거된 사유에 적용된다.</w:t>
      </w:r>
    </w:p>
    <w:p>
      <w:pPr>
        <w:widowControl/>
        <w:spacing w:before="0" w:after="60" w:line="331" w:lineRule="auto"/>
        <w:ind w:firstLine="397"/>
        <w:jc w:val="both"/>
      </w:pPr>
      <w:r>
        <w:rPr>
          <w:rFonts w:ascii="HY신명조" w:hAnsi="HY신명조" w:eastAsia="HY신명조"/>
          <w:color w:val="000000"/>
          <w:sz w:val="20"/>
        </w:rPr>
        <w:t>따라서 제33조를 위험관리 의무 조문으로 인용하거나 제34조·제35조의 모든 의무에 제43조 과태료가 직접 연결된다고 서술해서는 안 된다. 기존 문서에 있던 “제재 최소 1년 유예”도 현행 조문과 부칙에서 근거를 확인할 수 없어 본 연구에서는 사용하지 않는다.</w:t>
      </w:r>
    </w:p>
    <w:p>
      <w:pPr>
        <w:pStyle w:val="Heading2"/>
        <w:keepNext/>
        <w:keepLines/>
      </w:pPr>
      <w:r>
        <w:rPr>
          <w:rFonts w:ascii="HY견고딕" w:hAnsi="HY견고딕" w:eastAsia="HY견고딕"/>
          <w:b/>
          <w:color w:val="000000"/>
          <w:sz w:val="24"/>
        </w:rPr>
        <w:t>5. 제품 지원 언어와 실험 설정</w:t>
      </w:r>
    </w:p>
    <w:p>
      <w:pPr>
        <w:widowControl/>
        <w:spacing w:before="0" w:after="60" w:line="331" w:lineRule="auto"/>
        <w:ind w:firstLine="397"/>
        <w:jc w:val="both"/>
      </w:pPr>
      <w:r>
        <w:rPr>
          <w:rFonts w:ascii="HY신명조" w:hAnsi="HY신명조" w:eastAsia="HY신명조"/>
          <w:color w:val="000000"/>
          <w:sz w:val="20"/>
        </w:rPr>
        <w:t>Amazon Bedrock Guardrails의 공식 문서는 sensitive information filter에서 한국어를 “Optimized and supported”로 명시한다. 그러므로 Bedrock이 한국어 PII를 지원하지 않는다거나 영어에만 튜닝되어 있다는 일반화는 현재 공식 문서와 맞지 않는다. 특정 실험에서 낮은 성능이 관측되었다면 그 결과는 평가일, AWS region, guardrail ID와 version, safeguard tier, 활성 policy와 entity, 요청·응답 적용 위치에 귀속해야 한다.</w:t>
      </w:r>
    </w:p>
    <w:p>
      <w:pPr>
        <w:widowControl/>
        <w:spacing w:before="0" w:after="60" w:line="331" w:lineRule="auto"/>
        <w:ind w:firstLine="397"/>
        <w:jc w:val="both"/>
      </w:pPr>
      <w:r>
        <w:rPr>
          <w:rFonts w:ascii="HY신명조" w:hAnsi="HY신명조" w:eastAsia="HY신명조"/>
          <w:color w:val="000000"/>
          <w:sz w:val="20"/>
        </w:rPr>
        <w:t>Presidio 역시 공식 문서가 제시하는 지원 엔터티, 프로젝트가 고정한 버전, 실제 활성화한 recognizer를 구분해야 한다. LiteLLM은 여러 가드레일을 연결하는 게이트웨이이므로 탐지 성능을 LiteLLM 자체의 능력으로 귀속해서도 안 된다. 제품 문서는 시간이 지나며 변경되므로 접근일과 실험 버전을 함께 기록해야 한다.</w:t>
      </w:r>
    </w:p>
    <w:p>
      <w:pPr>
        <w:pStyle w:val="Heading1"/>
        <w:keepNext/>
        <w:keepLines/>
      </w:pPr>
      <w:r>
        <w:rPr>
          <w:rFonts w:ascii="HY견고딕" w:hAnsi="HY견고딕" w:eastAsia="HY견고딕"/>
          <w:b/>
          <w:color w:val="000000"/>
          <w:sz w:val="28"/>
        </w:rPr>
        <w:t>III. 연구방법</w:t>
      </w:r>
    </w:p>
    <w:p>
      <w:pPr>
        <w:pStyle w:val="Heading2"/>
        <w:keepNext/>
        <w:keepLines/>
      </w:pPr>
      <w:r>
        <w:rPr>
          <w:rFonts w:ascii="HY견고딕" w:hAnsi="HY견고딕" w:eastAsia="HY견고딕"/>
          <w:b/>
          <w:color w:val="000000"/>
          <w:sz w:val="24"/>
        </w:rPr>
        <w:t>1. 감사 대상과 기준 ref</w:t>
      </w:r>
    </w:p>
    <w:p>
      <w:pPr>
        <w:widowControl/>
        <w:spacing w:before="0" w:after="60" w:line="331" w:lineRule="auto"/>
        <w:ind w:firstLine="397"/>
        <w:jc w:val="both"/>
      </w:pPr>
      <w:r>
        <w:rPr>
          <w:rFonts w:ascii="HY신명조" w:hAnsi="HY신명조" w:eastAsia="HY신명조"/>
          <w:color w:val="000000"/>
          <w:sz w:val="20"/>
        </w:rPr>
        <w:t>본 연구는 KPIIGD 조직의 네 저장소와 로컬 개인 포크를 검토하였다.</w:t>
      </w:r>
    </w:p>
    <w:p>
      <w:pPr>
        <w:spacing w:before="100" w:after="60"/>
        <w:jc w:val="center"/>
      </w:pPr>
      <w:r>
        <w:rPr>
          <w:rFonts w:ascii="HY견고딕" w:hAnsi="HY견고딕" w:eastAsia="HY견고딕"/>
          <w:b/>
          <w:color w:val="000000"/>
          <w:sz w:val="20"/>
        </w:rPr>
        <w:t>&lt;표 1&gt; 저장소별 감사 기준과 역할</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3815"/>
        <w:gridCol w:w="2472"/>
        <w:gridCol w:w="3683"/>
      </w:tblGrid>
      <w:tr>
        <w:trPr>
          <w:tblHeader w:val="true"/>
          <w:cantSplit/>
        </w:trPr>
        <w:tc>
          <w:tcPr>
            <w:tcW w:type="dxa" w:w="381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저장소</w:t>
            </w:r>
          </w:p>
        </w:tc>
        <w:tc>
          <w:tcPr>
            <w:tcW w:type="dxa" w:w="2472"/>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검증 기준</w:t>
            </w:r>
          </w:p>
        </w:tc>
        <w:tc>
          <w:tcPr>
            <w:tcW w:type="dxa" w:w="3683"/>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역할</w:t>
            </w:r>
          </w:p>
        </w:tc>
      </w:tr>
      <w:tr>
        <w:trPr>
          <w:cantSplit/>
        </w:trPr>
        <w:tc>
          <w:tcPr>
            <w:tcW w:type="dxa" w:w="3815"/>
            <w:vAlign w:val="center"/>
            <w:tcMar>
              <w:top w:w="70" w:type="dxa"/>
              <w:start w:w="100" w:type="dxa"/>
              <w:bottom w:w="70" w:type="dxa"/>
              <w:end w:w="100" w:type="dxa"/>
            </w:tcMar>
          </w:tcPr>
          <w:p>
            <w:pPr>
              <w:spacing w:after="0" w:line="252" w:lineRule="auto"/>
              <w:jc w:val="left"/>
            </w:pPr>
            <w:r>
              <w:rPr>
                <w:rFonts w:ascii="Consolas" w:hAnsi="Consolas" w:eastAsia="Consolas"/>
                <w:color w:val="000000"/>
                <w:sz w:val="16"/>
              </w:rPr>
              <w:t>KPIIGD/My-AI-Security-Project</w:t>
            </w:r>
          </w:p>
        </w:tc>
        <w:tc>
          <w:tcPr>
            <w:tcW w:type="dxa" w:w="2472"/>
            <w:vAlign w:val="center"/>
            <w:tcMar>
              <w:top w:w="70" w:type="dxa"/>
              <w:start w:w="100" w:type="dxa"/>
              <w:bottom w:w="70" w:type="dxa"/>
              <w:end w:w="100" w:type="dxa"/>
            </w:tcMar>
          </w:tcPr>
          <w:p>
            <w:pPr>
              <w:spacing w:after="0" w:line="252" w:lineRule="auto"/>
              <w:jc w:val="center"/>
            </w:pPr>
            <w:r>
              <w:rPr>
                <w:rFonts w:ascii="Consolas" w:hAnsi="Consolas" w:eastAsia="Consolas"/>
                <w:color w:val="000000"/>
                <w:sz w:val="16"/>
              </w:rPr>
              <w:t>694ca717dd47</w:t>
            </w:r>
          </w:p>
        </w:tc>
        <w:tc>
          <w:tcPr>
            <w:tcW w:type="dxa" w:w="3683"/>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코드·10,000건 데이터·저장 실험 결과</w:t>
            </w:r>
          </w:p>
        </w:tc>
      </w:tr>
      <w:tr>
        <w:trPr>
          <w:cantSplit/>
        </w:trPr>
        <w:tc>
          <w:tcPr>
            <w:tcW w:type="dxa" w:w="3815"/>
            <w:vAlign w:val="center"/>
            <w:tcMar>
              <w:top w:w="70" w:type="dxa"/>
              <w:start w:w="100" w:type="dxa"/>
              <w:bottom w:w="70" w:type="dxa"/>
              <w:end w:w="100" w:type="dxa"/>
            </w:tcMar>
          </w:tcPr>
          <w:p>
            <w:pPr>
              <w:spacing w:after="0" w:line="252" w:lineRule="auto"/>
              <w:jc w:val="left"/>
            </w:pPr>
            <w:r>
              <w:rPr>
                <w:rFonts w:ascii="Consolas" w:hAnsi="Consolas" w:eastAsia="Consolas"/>
                <w:color w:val="000000"/>
                <w:sz w:val="16"/>
              </w:rPr>
              <w:t>KPIIGD/My-AI-Security-Project-internal</w:t>
            </w:r>
          </w:p>
        </w:tc>
        <w:tc>
          <w:tcPr>
            <w:tcW w:type="dxa" w:w="2472"/>
            <w:vAlign w:val="center"/>
            <w:tcMar>
              <w:top w:w="70" w:type="dxa"/>
              <w:start w:w="100" w:type="dxa"/>
              <w:bottom w:w="70" w:type="dxa"/>
              <w:end w:w="100" w:type="dxa"/>
            </w:tcMar>
          </w:tcPr>
          <w:p>
            <w:pPr>
              <w:spacing w:after="0" w:line="252" w:lineRule="auto"/>
              <w:jc w:val="center"/>
            </w:pPr>
            <w:r>
              <w:rPr>
                <w:rFonts w:ascii="Consolas" w:hAnsi="Consolas" w:eastAsia="Consolas"/>
                <w:color w:val="000000"/>
                <w:sz w:val="16"/>
              </w:rPr>
              <w:t>6e9c6beef29d</w:t>
            </w:r>
          </w:p>
        </w:tc>
        <w:tc>
          <w:tcPr>
            <w:tcW w:type="dxa" w:w="3683"/>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논문 목차·내부 검증문서</w:t>
            </w:r>
          </w:p>
        </w:tc>
      </w:tr>
      <w:tr>
        <w:trPr>
          <w:cantSplit/>
        </w:trPr>
        <w:tc>
          <w:tcPr>
            <w:tcW w:type="dxa" w:w="3815"/>
            <w:vAlign w:val="center"/>
            <w:tcMar>
              <w:top w:w="70" w:type="dxa"/>
              <w:start w:w="100" w:type="dxa"/>
              <w:bottom w:w="70" w:type="dxa"/>
              <w:end w:w="100" w:type="dxa"/>
            </w:tcMar>
          </w:tcPr>
          <w:p>
            <w:pPr>
              <w:spacing w:after="0" w:line="252" w:lineRule="auto"/>
              <w:jc w:val="left"/>
            </w:pPr>
            <w:r>
              <w:rPr>
                <w:rFonts w:ascii="Consolas" w:hAnsi="Consolas" w:eastAsia="Consolas"/>
                <w:color w:val="000000"/>
                <w:sz w:val="16"/>
              </w:rPr>
              <w:t>KPIIGD/My-AI-Security-Project-data</w:t>
            </w:r>
          </w:p>
        </w:tc>
        <w:tc>
          <w:tcPr>
            <w:tcW w:type="dxa" w:w="2472"/>
            <w:vAlign w:val="center"/>
            <w:tcMar>
              <w:top w:w="70" w:type="dxa"/>
              <w:start w:w="100" w:type="dxa"/>
              <w:bottom w:w="70" w:type="dxa"/>
              <w:end w:w="100" w:type="dxa"/>
            </w:tcMar>
          </w:tcPr>
          <w:p>
            <w:pPr>
              <w:spacing w:after="0" w:line="252" w:lineRule="auto"/>
              <w:jc w:val="center"/>
            </w:pPr>
            <w:r>
              <w:rPr>
                <w:rFonts w:ascii="Consolas" w:hAnsi="Consolas" w:eastAsia="Consolas"/>
                <w:color w:val="000000"/>
                <w:sz w:val="16"/>
              </w:rPr>
              <w:t>cc6288d0d868</w:t>
            </w:r>
          </w:p>
        </w:tc>
        <w:tc>
          <w:tcPr>
            <w:tcW w:type="dxa" w:w="3683"/>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약한 라벨 큐레이션 결과</w:t>
            </w:r>
          </w:p>
        </w:tc>
      </w:tr>
      <w:tr>
        <w:trPr>
          <w:cantSplit/>
        </w:trPr>
        <w:tc>
          <w:tcPr>
            <w:tcW w:type="dxa" w:w="3815"/>
            <w:vAlign w:val="center"/>
            <w:tcMar>
              <w:top w:w="70" w:type="dxa"/>
              <w:start w:w="100" w:type="dxa"/>
              <w:bottom w:w="70" w:type="dxa"/>
              <w:end w:w="100" w:type="dxa"/>
            </w:tcMar>
          </w:tcPr>
          <w:p>
            <w:pPr>
              <w:spacing w:after="0" w:line="252" w:lineRule="auto"/>
              <w:jc w:val="left"/>
            </w:pPr>
            <w:r>
              <w:rPr>
                <w:rFonts w:ascii="Consolas" w:hAnsi="Consolas" w:eastAsia="Consolas"/>
                <w:color w:val="000000"/>
                <w:sz w:val="16"/>
              </w:rPr>
              <w:t>KPIIGD/ai-security-kb</w:t>
            </w:r>
          </w:p>
        </w:tc>
        <w:tc>
          <w:tcPr>
            <w:tcW w:type="dxa" w:w="2472"/>
            <w:vAlign w:val="center"/>
            <w:tcMar>
              <w:top w:w="70" w:type="dxa"/>
              <w:start w:w="100" w:type="dxa"/>
              <w:bottom w:w="70" w:type="dxa"/>
              <w:end w:w="100" w:type="dxa"/>
            </w:tcMar>
          </w:tcPr>
          <w:p>
            <w:pPr>
              <w:spacing w:after="0" w:line="252" w:lineRule="auto"/>
              <w:jc w:val="center"/>
            </w:pPr>
            <w:r>
              <w:rPr>
                <w:rFonts w:ascii="Consolas" w:hAnsi="Consolas" w:eastAsia="Consolas"/>
                <w:color w:val="000000"/>
                <w:sz w:val="16"/>
              </w:rPr>
              <w:t>72f8eb17a38c</w:t>
            </w:r>
          </w:p>
        </w:tc>
        <w:tc>
          <w:tcPr>
            <w:tcW w:type="dxa" w:w="3683"/>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지식베이스·과거 실험 기록</w:t>
            </w:r>
          </w:p>
        </w:tc>
      </w:tr>
    </w:tbl>
    <w:p>
      <w:pPr>
        <w:spacing w:after="20"/>
      </w:pPr>
    </w:p>
    <w:p>
      <w:pPr>
        <w:widowControl/>
        <w:spacing w:before="0" w:after="60" w:line="331" w:lineRule="auto"/>
        <w:jc w:val="left"/>
      </w:pPr>
      <w:r>
        <w:rPr>
          <w:rFonts w:ascii="HY신명조" w:hAnsi="HY신명조" w:eastAsia="HY신명조"/>
          <w:color w:val="000000"/>
          <w:sz w:val="17"/>
        </w:rPr>
        <w:t>자료: 본 연구의 Git 원격 참조 및 파일 대조 결과.</w:t>
      </w:r>
    </w:p>
    <w:p>
      <w:pPr>
        <w:widowControl/>
        <w:spacing w:before="0" w:after="60" w:line="331" w:lineRule="auto"/>
        <w:ind w:firstLine="397"/>
        <w:jc w:val="both"/>
      </w:pPr>
      <w:r>
        <w:rPr>
          <w:rFonts w:ascii="Consolas" w:hAnsi="Consolas" w:eastAsia="Consolas"/>
          <w:color w:val="000000"/>
          <w:sz w:val="19"/>
        </w:rPr>
        <w:t>kpiigd*</w:t>
      </w:r>
      <w:r>
        <w:rPr>
          <w:rFonts w:ascii="HY신명조" w:hAnsi="HY신명조" w:eastAsia="HY신명조"/>
          <w:color w:val="000000"/>
          <w:sz w:val="20"/>
        </w:rPr>
        <w:t xml:space="preserve"> 원격의 110개 ref(활성 브랜치 42개, 보존 PR head 68개)를 파일명과 핵심 증거를 기준으로 검색하였다. 두 참조 유형에는 같은 커밋이 중복될 수 있다. 공개 저장소에서는 39개 원격 브랜치를 별도로 확인하였다. 최신 논문 설계는 내부 저장소의 v2였고, 저장된 실험 결과의 기준은 공개 저장소 main이었다. 2026년 7월 26일 추가된 PR #88은 GitHub Actions의 </w:t>
      </w:r>
      <w:r>
        <w:rPr>
          <w:rFonts w:ascii="Consolas" w:hAnsi="Consolas" w:eastAsia="Consolas"/>
          <w:color w:val="000000"/>
          <w:sz w:val="19"/>
        </w:rPr>
        <w:t>setup-python</w:t>
      </w:r>
      <w:r>
        <w:rPr>
          <w:rFonts w:ascii="HY신명조" w:hAnsi="HY신명조" w:eastAsia="HY신명조"/>
          <w:color w:val="000000"/>
          <w:sz w:val="20"/>
        </w:rPr>
        <w:t xml:space="preserve"> 버전 한 줄만 바꾸므로 논문 데이터·코드·주장 기준선에는 영향을 주지 않았다.</w:t>
      </w:r>
    </w:p>
    <w:p>
      <w:pPr>
        <w:pStyle w:val="Heading2"/>
        <w:keepNext/>
        <w:keepLines/>
      </w:pPr>
      <w:r>
        <w:rPr>
          <w:rFonts w:ascii="HY견고딕" w:hAnsi="HY견고딕" w:eastAsia="HY견고딕"/>
          <w:b/>
          <w:color w:val="000000"/>
          <w:sz w:val="24"/>
        </w:rPr>
        <w:t>2. 분석 자료</w:t>
      </w:r>
    </w:p>
    <w:p>
      <w:pPr>
        <w:widowControl/>
        <w:spacing w:before="0" w:after="60" w:line="331" w:lineRule="auto"/>
        <w:ind w:firstLine="397"/>
        <w:jc w:val="both"/>
      </w:pPr>
      <w:r>
        <w:rPr>
          <w:rFonts w:ascii="HY신명조" w:hAnsi="HY신명조" w:eastAsia="HY신명조"/>
          <w:color w:val="000000"/>
          <w:sz w:val="20"/>
        </w:rPr>
        <w:t xml:space="preserve">핵심 데이터는 </w:t>
      </w:r>
      <w:r>
        <w:rPr>
          <w:rFonts w:ascii="Consolas" w:hAnsi="Consolas" w:eastAsia="Consolas"/>
          <w:color w:val="000000"/>
          <w:sz w:val="19"/>
        </w:rPr>
        <w:t>PII/results/data/payloads_10k.json</w:t>
      </w:r>
      <w:r>
        <w:rPr>
          <w:rFonts w:ascii="HY신명조" w:hAnsi="HY신명조" w:eastAsia="HY신명조"/>
          <w:color w:val="000000"/>
          <w:sz w:val="20"/>
        </w:rPr>
        <w:t>의 합성 페이로드 10,000건이다. 메타데이터와 전수 집계 결과는 다음과 같다.</w:t>
      </w:r>
    </w:p>
    <w:p>
      <w:pPr>
        <w:spacing w:before="100" w:after="60"/>
        <w:jc w:val="center"/>
      </w:pPr>
      <w:r>
        <w:rPr>
          <w:rFonts w:ascii="HY견고딕" w:hAnsi="HY견고딕" w:eastAsia="HY견고딕"/>
          <w:b/>
          <w:color w:val="000000"/>
          <w:sz w:val="20"/>
        </w:rPr>
        <w:t>&lt;표 2&gt; 합성 평가자료의 구성</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6719"/>
        <w:gridCol w:w="3251"/>
      </w:tblGrid>
      <w:tr>
        <w:trPr>
          <w:tblHeader w:val="true"/>
          <w:cantSplit/>
        </w:trPr>
        <w:tc>
          <w:tcPr>
            <w:tcW w:type="dxa" w:w="671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항목</w:t>
            </w:r>
          </w:p>
        </w:tc>
        <w:tc>
          <w:tcPr>
            <w:tcW w:type="dxa" w:w="325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값</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전체 payload</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10,000</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PII 유형</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95</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변이 이름</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36</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한국어</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6,513</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영어</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3,487</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원문 문자열이 변이 입력에 정확히 없음</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5,287</w:t>
            </w:r>
          </w:p>
        </w:tc>
      </w:tr>
    </w:tbl>
    <w:p>
      <w:pPr>
        <w:spacing w:after="20"/>
      </w:pPr>
    </w:p>
    <w:p>
      <w:pPr>
        <w:widowControl/>
        <w:spacing w:before="0" w:after="60" w:line="331" w:lineRule="auto"/>
        <w:jc w:val="left"/>
      </w:pPr>
      <w:r>
        <w:rPr>
          <w:rFonts w:ascii="HY신명조" w:hAnsi="HY신명조" w:eastAsia="HY신명조"/>
          <w:color w:val="000000"/>
          <w:sz w:val="17"/>
        </w:rPr>
        <w:t xml:space="preserve">자료: </w:t>
      </w:r>
      <w:r>
        <w:rPr>
          <w:rFonts w:ascii="Consolas" w:hAnsi="Consolas" w:eastAsia="Consolas"/>
          <w:color w:val="000000"/>
          <w:sz w:val="16"/>
        </w:rPr>
        <w:t>PII/results/data/payloads_10k.json</w:t>
      </w:r>
      <w:r>
        <w:rPr>
          <w:rFonts w:ascii="HY신명조" w:hAnsi="HY신명조" w:eastAsia="HY신명조"/>
          <w:color w:val="000000"/>
          <w:sz w:val="17"/>
        </w:rPr>
        <w:t xml:space="preserve"> 전수 집계.</w:t>
      </w:r>
    </w:p>
    <w:p>
      <w:pPr>
        <w:widowControl/>
        <w:spacing w:before="0" w:after="60" w:line="331" w:lineRule="auto"/>
        <w:ind w:firstLine="397"/>
        <w:jc w:val="both"/>
      </w:pPr>
      <w:r>
        <w:rPr>
          <w:rFonts w:ascii="HY신명조" w:hAnsi="HY신명조" w:eastAsia="HY신명조"/>
          <w:color w:val="000000"/>
          <w:sz w:val="20"/>
        </w:rPr>
        <w:t>방어구성은 A(L1+L2+L3), B(A+L4), C(L0+L1+L2+L3), D(C+L4) 네 가지다. 각 사례에는 레이어별 출력과 action이 저장되어 있어 평가 함수만 다시 적용하는 민감도 분석이 가능하다.</w:t>
      </w:r>
    </w:p>
    <w:p>
      <w:pPr>
        <w:pStyle w:val="Heading2"/>
        <w:keepNext/>
        <w:keepLines/>
      </w:pPr>
      <w:r>
        <w:rPr>
          <w:rFonts w:ascii="HY견고딕" w:hAnsi="HY견고딕" w:eastAsia="HY견고딕"/>
          <w:b/>
          <w:color w:val="000000"/>
          <w:sz w:val="24"/>
        </w:rPr>
        <w:t>3. 변이 후 보호대상 복원과 미차단 판정</w:t>
      </w:r>
    </w:p>
    <w:p>
      <w:pPr>
        <w:widowControl/>
        <w:spacing w:before="0" w:after="60" w:line="331" w:lineRule="auto"/>
        <w:ind w:firstLine="397"/>
        <w:jc w:val="both"/>
      </w:pPr>
      <w:r>
        <w:rPr>
          <w:rFonts w:ascii="HY신명조" w:hAnsi="HY신명조" w:eastAsia="HY신명조"/>
          <w:color w:val="000000"/>
          <w:sz w:val="20"/>
        </w:rPr>
        <w:t xml:space="preserve">기존 평가기는 변이 전 </w:t>
      </w:r>
      <w:r>
        <w:rPr>
          <w:rFonts w:ascii="Consolas" w:hAnsi="Consolas" w:eastAsia="Consolas"/>
          <w:color w:val="000000"/>
          <w:sz w:val="19"/>
        </w:rPr>
        <w:t>pii_value</w:t>
      </w:r>
      <w:r>
        <w:rPr>
          <w:rFonts w:ascii="HY신명조" w:hAnsi="HY신명조" w:eastAsia="HY신명조"/>
          <w:color w:val="000000"/>
          <w:sz w:val="20"/>
        </w:rPr>
        <w:t xml:space="preserve">를 출력에서 찾았으므로 전각·수학문자·원문자·결합문자·구분자·한글 숫자 등으로 값 자체가 바뀐 사례를 안정적으로 추적하지 못했다. 본 연구는 </w:t>
      </w:r>
      <w:r>
        <w:rPr>
          <w:rFonts w:ascii="Consolas" w:hAnsi="Consolas" w:eastAsia="Consolas"/>
          <w:color w:val="000000"/>
          <w:sz w:val="19"/>
        </w:rPr>
        <w:t>paper/analyze_postmutation_gold.py</w:t>
      </w:r>
      <w:r>
        <w:rPr>
          <w:rFonts w:ascii="HY신명조" w:hAnsi="HY신명조" w:eastAsia="HY신명조"/>
          <w:color w:val="000000"/>
          <w:sz w:val="20"/>
        </w:rPr>
        <w:t>에 감사용 평가기를 별도로 구현하였다. 복원 순서는 다음과 같다.</w:t>
      </w:r>
    </w:p>
    <w:p>
      <w:pPr>
        <w:pStyle w:val="ListNumber"/>
        <w:widowControl/>
        <w:spacing w:before="0" w:after="60" w:line="331" w:lineRule="auto"/>
        <w:jc w:val="both"/>
      </w:pPr>
      <w:r>
        <w:rPr>
          <w:rFonts w:ascii="HY신명조" w:hAnsi="HY신명조" w:eastAsia="HY신명조"/>
          <w:color w:val="000000"/>
          <w:sz w:val="20"/>
        </w:rPr>
        <w:t>원래 값이 변이 입력에 그대로 있으면 그 문자열을 사용한다.</w:t>
      </w:r>
    </w:p>
    <w:p>
      <w:pPr>
        <w:pStyle w:val="ListNumber"/>
        <w:widowControl/>
        <w:spacing w:before="0" w:after="60" w:line="331" w:lineRule="auto"/>
        <w:jc w:val="both"/>
      </w:pPr>
      <w:r>
        <w:rPr>
          <w:rFonts w:ascii="HY신명조" w:hAnsi="HY신명조" w:eastAsia="HY신명조"/>
          <w:color w:val="000000"/>
          <w:sz w:val="20"/>
        </w:rPr>
        <w:t>fuzzer 코드에 정의된 결정론적 변이이면 동일 함수를 원래 값에 적용한다.</w:t>
      </w:r>
    </w:p>
    <w:p>
      <w:pPr>
        <w:pStyle w:val="ListNumber"/>
        <w:widowControl/>
        <w:spacing w:before="0" w:after="60" w:line="331" w:lineRule="auto"/>
        <w:jc w:val="both"/>
      </w:pPr>
      <w:r>
        <w:rPr>
          <w:rFonts w:ascii="HY신명조" w:hAnsi="HY신명조" w:eastAsia="HY신명조"/>
          <w:color w:val="000000"/>
          <w:sz w:val="20"/>
        </w:rPr>
        <w:t>임의 위치에 결합문자나 zero-width 문자가 들어간 경우에는 NFKC, 결합·비가시문자 제거, 숫자 동치화 후 원래 값과 고유하게 대응하는 입력 구간을 역매핑한다.</w:t>
      </w:r>
    </w:p>
    <w:p>
      <w:pPr>
        <w:pStyle w:val="ListNumber"/>
        <w:widowControl/>
        <w:spacing w:before="0" w:after="60" w:line="331" w:lineRule="auto"/>
        <w:jc w:val="both"/>
      </w:pPr>
      <w:r>
        <w:rPr>
          <w:rFonts w:ascii="HY신명조" w:hAnsi="HY신명조" w:eastAsia="HY신명조"/>
          <w:color w:val="000000"/>
          <w:sz w:val="20"/>
        </w:rPr>
        <w:t>대응 구간이 없거나 둘 이상이면 자동 확정하지 않고 분석에서 제외한다.</w:t>
      </w:r>
    </w:p>
    <w:p>
      <w:pPr>
        <w:widowControl/>
        <w:spacing w:before="0" w:after="60" w:line="331" w:lineRule="auto"/>
        <w:ind w:firstLine="397"/>
        <w:jc w:val="both"/>
      </w:pPr>
      <w:r>
        <w:rPr>
          <w:rFonts w:ascii="HY신명조" w:hAnsi="HY신명조" w:eastAsia="HY신명조"/>
          <w:color w:val="000000"/>
          <w:sz w:val="20"/>
        </w:rPr>
        <w:t>이 절차로 문자 그대로 추적한 4,713건, 결정론적 변이로 복원한 3,927건, 정규화 후 고유 정렬로 복원한 1,324건을 합쳐 9,964건(99.64%)의 변이 후 보호대상 문자열을 확정하였다. 저장된 AWS key 표식과 실제 변이 문자열이 대응하지 않거나 code-switch로 보호대상 자체가 달라진 36건은 제외하였다.</w:t>
      </w:r>
    </w:p>
    <w:p>
      <w:pPr>
        <w:widowControl/>
        <w:spacing w:before="0" w:after="60" w:line="331" w:lineRule="auto"/>
        <w:ind w:firstLine="397"/>
        <w:jc w:val="both"/>
      </w:pPr>
      <w:r>
        <w:rPr>
          <w:rFonts w:ascii="HY신명조" w:hAnsi="HY신명조" w:eastAsia="HY신명조"/>
          <w:color w:val="000000"/>
          <w:sz w:val="20"/>
        </w:rPr>
        <w:t xml:space="preserve">각 구성에서 하나 이상의 레이어가 </w:t>
      </w:r>
      <w:r>
        <w:rPr>
          <w:rFonts w:ascii="Consolas" w:hAnsi="Consolas" w:eastAsia="Consolas"/>
          <w:color w:val="000000"/>
          <w:sz w:val="19"/>
        </w:rPr>
        <w:t>[BLOCKED]</w:t>
      </w:r>
      <w:r>
        <w:rPr>
          <w:rFonts w:ascii="HY신명조" w:hAnsi="HY신명조" w:eastAsia="HY신명조"/>
          <w:color w:val="000000"/>
          <w:sz w:val="20"/>
        </w:rPr>
        <w:t>를 반환하거나, 입력과 다른 출력을 반환하면서 복원된 보호대상이 출력에서 사라진 경우를 차단으로 분류하였다. 단, Layer 0가 전각·원문자 등을 원래 표기로 정규화했을 뿐 보호대상 값이 남은 경우에는 차단으로 계산하지 않았다. 이를 위해 변이 후 문자열, 원래 값으로 복원된 문자열, 구두점·비가시문자를 제거한 정규형을 함께 검사하였다. 나이·CVV처럼 정규형이 짧아 전체 출력에서 우연히 일치할 수 있는 값은 정확 문자열 일치만 허용하였다.</w:t>
      </w:r>
    </w:p>
    <w:p>
      <w:pPr>
        <w:pStyle w:val="Heading2"/>
        <w:keepNext/>
        <w:keepLines/>
      </w:pPr>
      <w:r>
        <w:rPr>
          <w:rFonts w:ascii="HY견고딕" w:hAnsi="HY견고딕" w:eastAsia="HY견고딕"/>
          <w:b/>
          <w:color w:val="000000"/>
          <w:sz w:val="24"/>
        </w:rPr>
        <w:t>4. 동일 원천값 짝비교와 불확실성 추정</w:t>
      </w:r>
    </w:p>
    <w:p>
      <w:pPr>
        <w:widowControl/>
        <w:spacing w:before="0" w:after="60" w:line="331" w:lineRule="auto"/>
        <w:ind w:firstLine="397"/>
        <w:jc w:val="both"/>
      </w:pPr>
      <w:r>
        <w:rPr>
          <w:rFonts w:ascii="HY신명조" w:hAnsi="HY신명조" w:eastAsia="HY신명조"/>
          <w:color w:val="000000"/>
          <w:sz w:val="20"/>
        </w:rPr>
        <w:t xml:space="preserve">변이 효과를 추정하기 위해 PII 유형과 원천 </w:t>
      </w:r>
      <w:r>
        <w:rPr>
          <w:rFonts w:ascii="Consolas" w:hAnsi="Consolas" w:eastAsia="Consolas"/>
          <w:color w:val="000000"/>
          <w:sz w:val="19"/>
        </w:rPr>
        <w:t>pii_value</w:t>
      </w:r>
      <w:r>
        <w:rPr>
          <w:rFonts w:ascii="HY신명조" w:hAnsi="HY신명조" w:eastAsia="HY신명조"/>
          <w:color w:val="000000"/>
          <w:sz w:val="20"/>
        </w:rPr>
        <w:t>가 같고, 원형 L0 사례가 하나만 존재하는 변이 사례를 연결하였다. 그 결과 931개 원천 그룹에서 3,461개의 원형–변이 쌍을 구성하였다. 하나의 원형에서 여러 변이가 만들어지므로 각 쌍을 독립 관측치로 가정하지 않았다. 원천 그룹마다 ‘변이 미차단 평균−원형 미차단’ 위험차를 계산하고, 각 원천 그룹에 같은 가중치를 부여한 뒤 고정 seed로 그룹을 10,000회 재표집하여 95% 부트스트랩 구간을 구하였다.</w:t>
      </w:r>
    </w:p>
    <w:p>
      <w:pPr>
        <w:widowControl/>
        <w:spacing w:before="0" w:after="60" w:line="331" w:lineRule="auto"/>
        <w:ind w:firstLine="397"/>
        <w:jc w:val="both"/>
      </w:pPr>
      <w:r>
        <w:rPr>
          <w:rFonts w:ascii="HY신명조" w:hAnsi="HY신명조" w:eastAsia="HY신명조"/>
          <w:color w:val="000000"/>
          <w:sz w:val="20"/>
        </w:rPr>
        <w:t>분석은 전체 쌍, 한국어 쌍, 보호대상 값 자체가 바뀐 쌍, 보호대상은 그대로이고 주변 문맥만 바뀐 쌍으로 나누었다. 이 구분은 ‘변형하면 더 쉽게 유출된다’는 주장이 실제 PII 값의 난독화 효과인지, 단순한 문맥·표본구성 차이인지 판별하기 위한 것이다.</w:t>
      </w:r>
    </w:p>
    <w:p>
      <w:pPr>
        <w:widowControl/>
        <w:spacing w:before="0" w:after="60" w:line="331" w:lineRule="auto"/>
        <w:ind w:firstLine="397"/>
        <w:jc w:val="both"/>
      </w:pPr>
      <w:r>
        <w:rPr>
          <w:rFonts w:ascii="HY신명조" w:hAnsi="HY신명조" w:eastAsia="HY신명조"/>
          <w:color w:val="000000"/>
          <w:sz w:val="20"/>
        </w:rPr>
        <w:t xml:space="preserve">Layer 0의 추가효과는 같은 사례 ID의 A와 C를 짝지어 비교하였다. A는 기존 3계층, C는 Layer 0와 기존 3계층의 결합이다. A만 미차단이고 C는 차단인 사례에서 Layer 0 개별 결과가 실제 </w:t>
      </w:r>
      <w:r>
        <w:rPr>
          <w:rFonts w:ascii="Consolas" w:hAnsi="Consolas" w:eastAsia="Consolas"/>
          <w:color w:val="000000"/>
          <w:sz w:val="19"/>
        </w:rPr>
        <w:t>action=BLOCK</w:t>
      </w:r>
      <w:r>
        <w:rPr>
          <w:rFonts w:ascii="HY신명조" w:hAnsi="HY신명조" w:eastAsia="HY신명조"/>
          <w:color w:val="000000"/>
          <w:sz w:val="20"/>
        </w:rPr>
        <w:t xml:space="preserve">, </w:t>
      </w:r>
      <w:r>
        <w:rPr>
          <w:rFonts w:ascii="Consolas" w:hAnsi="Consolas" w:eastAsia="Consolas"/>
          <w:color w:val="000000"/>
          <w:sz w:val="19"/>
        </w:rPr>
        <w:t>output=[BLOCKED]</w:t>
      </w:r>
      <w:r>
        <w:rPr>
          <w:rFonts w:ascii="HY신명조" w:hAnsi="HY신명조" w:eastAsia="HY신명조"/>
          <w:color w:val="000000"/>
          <w:sz w:val="20"/>
        </w:rPr>
        <w:t>인지 별도로 검사하였다.</w:t>
      </w:r>
    </w:p>
    <w:p>
      <w:pPr>
        <w:widowControl/>
        <w:spacing w:before="0" w:after="60" w:line="331" w:lineRule="auto"/>
        <w:ind w:firstLine="397"/>
        <w:jc w:val="both"/>
      </w:pPr>
      <w:r>
        <w:rPr>
          <w:rFonts w:ascii="HY신명조" w:hAnsi="HY신명조" w:eastAsia="HY신명조"/>
          <w:color w:val="000000"/>
          <w:sz w:val="20"/>
        </w:rPr>
        <w:t xml:space="preserve">오탐에 대한 보조검사는 네 단계로 수행하였다. 첫째, 저장소의 </w:t>
      </w:r>
      <w:r>
        <w:rPr>
          <w:rFonts w:ascii="Consolas" w:hAnsi="Consolas" w:eastAsia="Consolas"/>
          <w:color w:val="000000"/>
          <w:sz w:val="19"/>
        </w:rPr>
        <w:t>normal_kr_10k.json</w:t>
      </w:r>
      <w:r>
        <w:rPr>
          <w:rFonts w:ascii="HY신명조" w:hAnsi="HY신명조" w:eastAsia="HY신명조"/>
          <w:color w:val="000000"/>
          <w:sz w:val="20"/>
        </w:rPr>
        <w:t xml:space="preserve">을 동일 Layer 0 normalizer와 detector에 직접 입력하였다. 이 자료는 합성 정상 한국어 10,000건이며 직접적인 이름·전화번호·이메일·주소·계좌번호 등 PII 유사패턴을 생성 단계에서 제외한다. 둘째, 후속 v0.2 평가자료의 명시적 hard-negative 4건을 같은 Legacy Layer 0에 적용하였다. 셋째, 국가법령정보센터 LAW OPEN DATA의 공식 XML에서 개인정보 보호법(ID 011357), 인공지능기본법(ID 014820), 대한민국헌법(ID 001444)의 </w:t>
      </w:r>
      <w:r>
        <w:rPr>
          <w:rFonts w:ascii="Consolas" w:hAnsi="Consolas" w:eastAsia="Consolas"/>
          <w:color w:val="000000"/>
          <w:sz w:val="19"/>
        </w:rPr>
        <w:t>조문내용</w:t>
      </w:r>
      <w:r>
        <w:rPr>
          <w:rFonts w:ascii="HY신명조" w:hAnsi="HY신명조" w:eastAsia="HY신명조"/>
          <w:color w:val="000000"/>
          <w:sz w:val="20"/>
        </w:rPr>
        <w:t>·</w:t>
      </w:r>
      <w:r>
        <w:rPr>
          <w:rFonts w:ascii="Consolas" w:hAnsi="Consolas" w:eastAsia="Consolas"/>
          <w:color w:val="000000"/>
          <w:sz w:val="19"/>
        </w:rPr>
        <w:t>항내용</w:t>
      </w:r>
      <w:r>
        <w:rPr>
          <w:rFonts w:ascii="HY신명조" w:hAnsi="HY신명조" w:eastAsia="HY신명조"/>
          <w:color w:val="000000"/>
          <w:sz w:val="20"/>
        </w:rPr>
        <w:t>·</w:t>
      </w:r>
      <w:r>
        <w:rPr>
          <w:rFonts w:ascii="Consolas" w:hAnsi="Consolas" w:eastAsia="Consolas"/>
          <w:color w:val="000000"/>
          <w:sz w:val="19"/>
        </w:rPr>
        <w:t>호내용</w:t>
      </w:r>
      <w:r>
        <w:rPr>
          <w:rFonts w:ascii="HY신명조" w:hAnsi="HY신명조" w:eastAsia="HY신명조"/>
          <w:color w:val="000000"/>
          <w:sz w:val="20"/>
        </w:rPr>
        <w:t>·</w:t>
      </w:r>
      <w:r>
        <w:rPr>
          <w:rFonts w:ascii="Consolas" w:hAnsi="Consolas" w:eastAsia="Consolas"/>
          <w:color w:val="000000"/>
          <w:sz w:val="19"/>
        </w:rPr>
        <w:t>목내용</w:t>
      </w:r>
      <w:r>
        <w:rPr>
          <w:rFonts w:ascii="HY신명조" w:hAnsi="HY신명조" w:eastAsia="HY신명조"/>
          <w:color w:val="000000"/>
          <w:sz w:val="20"/>
        </w:rPr>
        <w:t xml:space="preserve">을 추출하였다. 연락처·메타데이터·별표·부칙·개정이유는 제외하고, 20자 이상 문장을 법령별 완전일치 중복 제거하여 비식별 조문 단위 1,519개를 구성하였다. </w:t>
      </w:r>
      <w:r>
        <w:rPr>
          <w:rFonts w:ascii="Consolas" w:hAnsi="Consolas" w:eastAsia="Consolas"/>
          <w:color w:val="000000"/>
          <w:sz w:val="19"/>
        </w:rPr>
        <w:t>paper/audit_public_law_hard_negatives.py</w:t>
      </w:r>
      <w:r>
        <w:rPr>
          <w:rFonts w:ascii="HY신명조" w:hAnsi="HY신명조" w:eastAsia="HY신명조"/>
          <w:color w:val="000000"/>
          <w:sz w:val="20"/>
        </w:rPr>
        <w:t>는 원문을 출력하지 않고 법령 XML·코드·평가자료의 SHA-256과 집계만 출력한다.</w:t>
      </w:r>
    </w:p>
    <w:p>
      <w:pPr>
        <w:widowControl/>
        <w:spacing w:before="0" w:after="60" w:line="331" w:lineRule="auto"/>
        <w:ind w:firstLine="397"/>
        <w:jc w:val="both"/>
      </w:pPr>
      <w:r>
        <w:rPr>
          <w:rFonts w:ascii="HY신명조" w:hAnsi="HY신명조" w:eastAsia="HY신명조"/>
          <w:color w:val="000000"/>
          <w:sz w:val="20"/>
        </w:rPr>
        <w:t xml:space="preserve">넷째, </w:t>
      </w:r>
      <w:r>
        <w:rPr>
          <w:rFonts w:ascii="Consolas" w:hAnsi="Consolas" w:eastAsia="Consolas"/>
          <w:color w:val="000000"/>
          <w:sz w:val="19"/>
        </w:rPr>
        <w:t>paper/audit_public_service_hard_negatives.py</w:t>
      </w:r>
      <w:r>
        <w:rPr>
          <w:rFonts w:ascii="HY신명조" w:hAnsi="HY신명조" w:eastAsia="HY신명조"/>
          <w:color w:val="000000"/>
          <w:sz w:val="20"/>
        </w:rPr>
        <w:t xml:space="preserve">로 질병관리청 국가건강정보포털 5개 페이지, 금융위원회 금융교육 8개 페이지, AWS Support 4개 페이지, Python 3.13 한국어 자습서 4개 페이지의 본문을 직접 수집하였다. 본문 컨테이너 안의 제목·문단·목록·표 셀 중 20자 이상 한국어 단위만 남기고, 연락처 메타데이터, URL·이메일·전화번호·주민등록번호·카드번호·IP·MAC·AWS 키와 같은 직접 식별자형 문자열 및 완전일치 중복을 제외하였다. 최종 693개 문단의 출처 URL과 본문 SHA-256을 </w:t>
      </w:r>
      <w:r>
        <w:rPr>
          <w:rFonts w:ascii="Consolas" w:hAnsi="Consolas" w:eastAsia="Consolas"/>
          <w:color w:val="000000"/>
          <w:sz w:val="19"/>
        </w:rPr>
        <w:t>paper/public_service_hard_negative_audit.json</w:t>
      </w:r>
      <w:r>
        <w:rPr>
          <w:rFonts w:ascii="HY신명조" w:hAnsi="HY신명조" w:eastAsia="HY신명조"/>
          <w:color w:val="000000"/>
          <w:sz w:val="20"/>
        </w:rPr>
        <w:t xml:space="preserve">에 고정하였다. 탐지된 48건의 원문·위치·해시는 </w:t>
      </w:r>
      <w:r>
        <w:rPr>
          <w:rFonts w:ascii="Consolas" w:hAnsi="Consolas" w:eastAsia="Consolas"/>
          <w:color w:val="000000"/>
          <w:sz w:val="19"/>
        </w:rPr>
        <w:t>--review</w:t>
      </w:r>
      <w:r>
        <w:rPr>
          <w:rFonts w:ascii="HY신명조" w:hAnsi="HY신명조" w:eastAsia="HY신명조"/>
          <w:color w:val="000000"/>
          <w:sz w:val="20"/>
        </w:rPr>
        <w:t xml:space="preserve">로 재현되며 </w:t>
      </w:r>
      <w:r>
        <w:rPr>
          <w:rFonts w:ascii="Consolas" w:hAnsi="Consolas" w:eastAsia="Consolas"/>
          <w:color w:val="000000"/>
          <w:sz w:val="19"/>
        </w:rPr>
        <w:t>paper/서비스도메인_오탐_2인독립검토표.md</w:t>
      </w:r>
      <w:r>
        <w:rPr>
          <w:rFonts w:ascii="HY신명조" w:hAnsi="HY신명조" w:eastAsia="HY신명조"/>
          <w:color w:val="000000"/>
          <w:sz w:val="20"/>
        </w:rPr>
        <w:t>에서 독립 판정하도록 하였다. 이 자료 역시 공식 공개문서의 목적표본이지 실제 운영 트래픽의 확률표본이 아니다.</w:t>
      </w:r>
    </w:p>
    <w:p>
      <w:pPr>
        <w:widowControl/>
        <w:spacing w:before="0" w:after="60" w:line="331" w:lineRule="auto"/>
        <w:ind w:firstLine="397"/>
        <w:jc w:val="both"/>
      </w:pPr>
      <w:r>
        <w:rPr>
          <w:rFonts w:ascii="HY신명조" w:hAnsi="HY신명조" w:eastAsia="HY신명조"/>
          <w:color w:val="000000"/>
          <w:sz w:val="20"/>
        </w:rPr>
        <w:t xml:space="preserve">기존 </w:t>
      </w:r>
      <w:r>
        <w:rPr>
          <w:rFonts w:ascii="Consolas" w:hAnsi="Consolas" w:eastAsia="Consolas"/>
          <w:color w:val="000000"/>
          <w:sz w:val="19"/>
        </w:rPr>
        <w:t>run_e_final_4way.py</w:t>
      </w:r>
      <w:r>
        <w:rPr>
          <w:rFonts w:ascii="HY신명조" w:hAnsi="HY신명조" w:eastAsia="HY신명조"/>
          <w:color w:val="000000"/>
          <w:sz w:val="20"/>
        </w:rPr>
        <w:t xml:space="preserve">와 </w:t>
      </w:r>
      <w:r>
        <w:rPr>
          <w:rFonts w:ascii="Consolas" w:hAnsi="Consolas" w:eastAsia="Consolas"/>
          <w:color w:val="000000"/>
          <w:sz w:val="19"/>
        </w:rPr>
        <w:t>analyze_true_detection.py</w:t>
      </w:r>
      <w:r>
        <w:rPr>
          <w:rFonts w:ascii="HY신명조" w:hAnsi="HY신명조" w:eastAsia="HY신명조"/>
          <w:color w:val="000000"/>
          <w:sz w:val="20"/>
        </w:rPr>
        <w:t>의 판정은 평가기 민감도를 보여주는 보조분석으로 유지하였다. 두 구현 모두 변이 후 gold를 직접 사용하지 않으므로 새 평가 결과보다 우선하지 않는다.</w:t>
      </w:r>
    </w:p>
    <w:p>
      <w:pPr>
        <w:pStyle w:val="Heading2"/>
        <w:keepNext/>
        <w:keepLines/>
      </w:pPr>
      <w:r>
        <w:rPr>
          <w:rFonts w:ascii="HY견고딕" w:hAnsi="HY견고딕" w:eastAsia="HY견고딕"/>
          <w:b/>
          <w:color w:val="000000"/>
          <w:sz w:val="24"/>
        </w:rPr>
        <w:t>5. 데이터·코드 재현성 검사</w:t>
      </w:r>
    </w:p>
    <w:p>
      <w:pPr>
        <w:widowControl/>
        <w:spacing w:before="0" w:after="60" w:line="331" w:lineRule="auto"/>
        <w:ind w:firstLine="397"/>
        <w:jc w:val="both"/>
      </w:pPr>
      <w:r>
        <w:rPr>
          <w:rFonts w:ascii="HY신명조" w:hAnsi="HY신명조" w:eastAsia="HY신명조"/>
          <w:color w:val="000000"/>
          <w:sz w:val="20"/>
        </w:rPr>
        <w:t>다음 항목을 독립적으로 검사하였다.</w:t>
      </w:r>
    </w:p>
    <w:p>
      <w:pPr>
        <w:pStyle w:val="ListNumber"/>
        <w:widowControl/>
        <w:spacing w:before="0" w:after="60" w:line="331" w:lineRule="auto"/>
        <w:jc w:val="both"/>
      </w:pPr>
      <w:r>
        <w:rPr>
          <w:rFonts w:ascii="Consolas" w:hAnsi="Consolas" w:eastAsia="Consolas"/>
          <w:color w:val="000000"/>
          <w:sz w:val="19"/>
        </w:rPr>
        <w:t>payloads_10k.json</w:t>
      </w:r>
      <w:r>
        <w:rPr>
          <w:rFonts w:ascii="HY신명조" w:hAnsi="HY신명조" w:eastAsia="HY신명조"/>
          <w:color w:val="000000"/>
          <w:sz w:val="20"/>
        </w:rPr>
        <w:t>이라는 이름을 가진 파일들의 실제 payload 수와 메타데이터</w:t>
      </w:r>
    </w:p>
    <w:p>
      <w:pPr>
        <w:pStyle w:val="ListNumber"/>
        <w:widowControl/>
        <w:spacing w:before="0" w:after="60" w:line="331" w:lineRule="auto"/>
        <w:jc w:val="both"/>
      </w:pPr>
      <w:r>
        <w:rPr>
          <w:rFonts w:ascii="HY신명조" w:hAnsi="HY신명조" w:eastAsia="HY신명조"/>
          <w:color w:val="000000"/>
          <w:sz w:val="20"/>
        </w:rPr>
        <w:t>fuzzer의 기본 코퍼스 정책과 누락 시 동작</w:t>
      </w:r>
    </w:p>
    <w:p>
      <w:pPr>
        <w:pStyle w:val="ListNumber"/>
        <w:widowControl/>
        <w:spacing w:before="0" w:after="60" w:line="331" w:lineRule="auto"/>
        <w:jc w:val="both"/>
      </w:pPr>
      <w:r>
        <w:rPr>
          <w:rFonts w:ascii="HY신명조" w:hAnsi="HY신명조" w:eastAsia="HY신명조"/>
          <w:color w:val="000000"/>
          <w:sz w:val="20"/>
        </w:rPr>
        <w:t>모든 확인 ref에서 이름·주소 코퍼스의 존재 여부</w:t>
      </w:r>
    </w:p>
    <w:p>
      <w:pPr>
        <w:pStyle w:val="ListNumber"/>
        <w:widowControl/>
        <w:spacing w:before="0" w:after="60" w:line="331" w:lineRule="auto"/>
        <w:jc w:val="both"/>
      </w:pPr>
      <w:r>
        <w:rPr>
          <w:rFonts w:ascii="Consolas" w:hAnsi="Consolas" w:eastAsia="Consolas"/>
          <w:color w:val="000000"/>
          <w:sz w:val="19"/>
        </w:rPr>
        <w:t>Makefile</w:t>
      </w:r>
      <w:r>
        <w:rPr>
          <w:rFonts w:ascii="HY신명조" w:hAnsi="HY신명조" w:eastAsia="HY신명조"/>
          <w:color w:val="000000"/>
          <w:sz w:val="20"/>
        </w:rPr>
        <w:t xml:space="preserve">의 </w:t>
      </w:r>
      <w:r>
        <w:rPr>
          <w:rFonts w:ascii="Consolas" w:hAnsi="Consolas" w:eastAsia="Consolas"/>
          <w:color w:val="000000"/>
          <w:sz w:val="19"/>
        </w:rPr>
        <w:t>sample</w:t>
      </w:r>
      <w:r>
        <w:rPr>
          <w:rFonts w:ascii="HY신명조" w:hAnsi="HY신명조" w:eastAsia="HY신명조"/>
          <w:color w:val="000000"/>
          <w:sz w:val="20"/>
        </w:rPr>
        <w:t xml:space="preserve"> target과 </w:t>
      </w:r>
      <w:r>
        <w:rPr>
          <w:rFonts w:ascii="Consolas" w:hAnsi="Consolas" w:eastAsia="Consolas"/>
          <w:color w:val="000000"/>
          <w:sz w:val="19"/>
        </w:rPr>
        <w:t>sample_10k.py</w:t>
      </w:r>
      <w:r>
        <w:rPr>
          <w:rFonts w:ascii="HY신명조" w:hAnsi="HY신명조" w:eastAsia="HY신명조"/>
          <w:color w:val="000000"/>
          <w:sz w:val="20"/>
        </w:rPr>
        <w:t>의 표본 생성 경로</w:t>
      </w:r>
    </w:p>
    <w:p>
      <w:pPr>
        <w:pStyle w:val="ListNumber"/>
        <w:widowControl/>
        <w:spacing w:before="0" w:after="60" w:line="331" w:lineRule="auto"/>
        <w:jc w:val="both"/>
      </w:pPr>
      <w:r>
        <w:rPr>
          <w:rFonts w:ascii="HY신명조" w:hAnsi="HY신명조" w:eastAsia="HY신명조"/>
          <w:color w:val="000000"/>
          <w:sz w:val="20"/>
        </w:rPr>
        <w:t>격리 환경의 Layer 0·fuzzer 테스트</w:t>
      </w:r>
    </w:p>
    <w:p>
      <w:pPr>
        <w:pStyle w:val="ListNumber"/>
        <w:widowControl/>
        <w:spacing w:before="0" w:after="60" w:line="331" w:lineRule="auto"/>
        <w:jc w:val="both"/>
      </w:pPr>
      <w:r>
        <w:rPr>
          <w:rFonts w:ascii="HY신명조" w:hAnsi="HY신명조" w:eastAsia="HY신명조"/>
          <w:color w:val="000000"/>
          <w:sz w:val="20"/>
        </w:rPr>
        <w:t>정규식 패턴과 키워드 카테고리 수</w:t>
      </w:r>
    </w:p>
    <w:p>
      <w:pPr>
        <w:pStyle w:val="ListNumber"/>
        <w:widowControl/>
        <w:spacing w:before="0" w:after="60" w:line="331" w:lineRule="auto"/>
        <w:jc w:val="both"/>
      </w:pPr>
      <w:r>
        <w:rPr>
          <w:rFonts w:ascii="HY신명조" w:hAnsi="HY신명조" w:eastAsia="HY신명조"/>
          <w:color w:val="000000"/>
          <w:sz w:val="20"/>
        </w:rPr>
        <w:t>VIN 제9자리 체크디지트</w:t>
      </w:r>
    </w:p>
    <w:p>
      <w:pPr>
        <w:pStyle w:val="ListNumber"/>
        <w:widowControl/>
        <w:spacing w:before="0" w:after="60" w:line="331" w:lineRule="auto"/>
        <w:jc w:val="both"/>
      </w:pPr>
      <w:r>
        <w:rPr>
          <w:rFonts w:ascii="HY신명조" w:hAnsi="HY신명조" w:eastAsia="HY신명조"/>
          <w:color w:val="000000"/>
          <w:sz w:val="20"/>
        </w:rPr>
        <w:t>레이어별 저장 지연시간과 비용 귀속</w:t>
      </w:r>
    </w:p>
    <w:p>
      <w:pPr>
        <w:widowControl/>
        <w:spacing w:before="0" w:after="60" w:line="331" w:lineRule="auto"/>
        <w:ind w:firstLine="397"/>
        <w:jc w:val="both"/>
      </w:pPr>
      <w:r>
        <w:rPr>
          <w:rFonts w:ascii="HY신명조" w:hAnsi="HY신명조" w:eastAsia="HY신명조"/>
          <w:color w:val="000000"/>
          <w:sz w:val="20"/>
        </w:rPr>
        <w:t>VIN은 NHTSA와 49 CFR Part 565의 문자값·위치별 가중치를 이용하여 Python과 PowerShell 두 구현으로 각각 계산하였다. 체크디지트 통과 여부는 형식 규칙의 검사일 뿐 실제 제조사에 배정된 VIN임을 입증하지 않는다.</w:t>
      </w:r>
    </w:p>
    <w:p>
      <w:pPr>
        <w:pStyle w:val="Heading2"/>
        <w:keepNext/>
        <w:keepLines/>
      </w:pPr>
      <w:r>
        <w:rPr>
          <w:rFonts w:ascii="HY견고딕" w:hAnsi="HY견고딕" w:eastAsia="HY견고딕"/>
          <w:b/>
          <w:color w:val="000000"/>
          <w:sz w:val="24"/>
        </w:rPr>
        <w:t>6. 법령·제품·문헌 검증</w:t>
      </w:r>
    </w:p>
    <w:p>
      <w:pPr>
        <w:widowControl/>
        <w:spacing w:before="0" w:after="60" w:line="331" w:lineRule="auto"/>
        <w:ind w:firstLine="397"/>
        <w:jc w:val="both"/>
      </w:pPr>
      <w:r>
        <w:rPr>
          <w:rFonts w:ascii="HY신명조" w:hAnsi="HY신명조" w:eastAsia="HY신명조"/>
          <w:color w:val="000000"/>
          <w:sz w:val="20"/>
        </w:rPr>
        <w:t>법령은 국가법령정보센터 현행 조문과 LAW OPEN DATA XML을 기준으로 확인하고, 인공지능기본법은 법령 전체의 통합본 표시와 개별 조문의 시행일을 분리해 대조하였다. 제품 지원 범위는 AWS와 Presidio 프로젝트의 현행 공식 문서를 우선하였다. 학술문헌은 DOI와 출판사 페이지 또는 KCI 공식 레코드에서 제목·저자·연도·권호·쪽수의 실재를 대조하였다. 제품 블로그와 학술논문은 참고문헌에서 구분하였다.</w:t>
      </w:r>
    </w:p>
    <w:p>
      <w:pPr>
        <w:pStyle w:val="Heading2"/>
        <w:keepNext/>
        <w:keepLines/>
      </w:pPr>
      <w:r>
        <w:rPr>
          <w:rFonts w:ascii="HY견고딕" w:hAnsi="HY견고딕" w:eastAsia="HY견고딕"/>
          <w:b/>
          <w:color w:val="000000"/>
          <w:sz w:val="24"/>
        </w:rPr>
        <w:t>7. 연구윤리</w:t>
      </w:r>
    </w:p>
    <w:p>
      <w:pPr>
        <w:widowControl/>
        <w:spacing w:before="0" w:after="60" w:line="331" w:lineRule="auto"/>
        <w:ind w:firstLine="397"/>
        <w:jc w:val="both"/>
      </w:pPr>
      <w:r>
        <w:rPr>
          <w:rFonts w:ascii="HY신명조" w:hAnsi="HY신명조" w:eastAsia="HY신명조"/>
          <w:color w:val="000000"/>
          <w:sz w:val="20"/>
        </w:rPr>
        <w:t>감사 대상은 합성 데이터, 코드, 저장된 시스템 출력 및 공개·접근권한이 있는 저장소 문서다. 실제 정보주체의 개인정보나 피해경험을 수집하지 않았다. 합성 데이터라 하더라도 실재하는 키·식별자처럼 오인되거나 악용될 수 있으므로, 공개 전 비식별·비밀검사와 라이선스 확인이 필요하다.</w:t>
      </w:r>
    </w:p>
    <w:p>
      <w:pPr>
        <w:widowControl/>
        <w:spacing w:before="0" w:after="60" w:line="331" w:lineRule="auto"/>
        <w:ind w:firstLine="397"/>
        <w:jc w:val="both"/>
      </w:pPr>
      <w:r>
        <w:rPr>
          <w:rFonts w:ascii="HY신명조" w:hAnsi="HY신명조" w:eastAsia="HY신명조"/>
          <w:color w:val="000000"/>
          <w:sz w:val="20"/>
        </w:rPr>
        <w:t>본 연구는 사람을 연구대상으로 하지 않고 성별·젠더 변수를 포함하지 않은 시스템 감사이므로 성별 기초통계와 성별 분리분석은 적용 대상이 아니다. 재현 코드와 집계 결과는 검증 기준 커밋과 함께 제시하되 원문 개인정보형 문자열은 재노출하지 않는다. 이해상충과 연구비 지원 여부는 투고 전 전체 저자가 확인하여 논문 및 저자점검표에 최종 기재해야 한다.</w:t>
      </w:r>
    </w:p>
    <w:p>
      <w:pPr>
        <w:pStyle w:val="Heading1"/>
        <w:keepNext/>
        <w:keepLines/>
      </w:pPr>
      <w:r>
        <w:rPr>
          <w:rFonts w:ascii="HY견고딕" w:hAnsi="HY견고딕" w:eastAsia="HY견고딕"/>
          <w:b/>
          <w:color w:val="000000"/>
          <w:sz w:val="28"/>
        </w:rPr>
        <w:t>IV. 분석결과</w:t>
      </w:r>
    </w:p>
    <w:p>
      <w:pPr>
        <w:pStyle w:val="Heading2"/>
        <w:keepNext/>
        <w:keepLines/>
      </w:pPr>
      <w:r>
        <w:rPr>
          <w:rFonts w:ascii="HY견고딕" w:hAnsi="HY견고딕" w:eastAsia="HY견고딕"/>
          <w:b/>
          <w:color w:val="000000"/>
          <w:sz w:val="24"/>
        </w:rPr>
        <w:t>1. 기존 다계층 가드레일의 유출 가능성</w:t>
      </w:r>
    </w:p>
    <w:p>
      <w:pPr>
        <w:widowControl/>
        <w:spacing w:before="0" w:after="60" w:line="331" w:lineRule="auto"/>
        <w:ind w:firstLine="397"/>
        <w:jc w:val="both"/>
      </w:pPr>
      <w:r>
        <w:rPr>
          <w:rFonts w:ascii="HY신명조" w:hAnsi="HY신명조" w:eastAsia="HY신명조"/>
          <w:color w:val="000000"/>
          <w:sz w:val="20"/>
        </w:rPr>
        <w:t>변이 후 보호대상을 복원한 9,964건에 새 평가기를 적용한 결과는 다음과 같다.</w:t>
      </w:r>
    </w:p>
    <w:p>
      <w:pPr>
        <w:spacing w:before="100" w:after="60"/>
        <w:jc w:val="center"/>
      </w:pPr>
      <w:r>
        <w:rPr>
          <w:rFonts w:ascii="HY견고딕" w:hAnsi="HY견고딕" w:eastAsia="HY견고딕"/>
          <w:b/>
          <w:color w:val="000000"/>
          <w:sz w:val="20"/>
        </w:rPr>
        <w:t>&lt;표 3&gt; 방어구성별 사후변형 평가 결과</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3506"/>
        <w:gridCol w:w="2154"/>
        <w:gridCol w:w="2154"/>
        <w:gridCol w:w="2156"/>
      </w:tblGrid>
      <w:tr>
        <w:trPr>
          <w:tblHeader w:val="true"/>
          <w:cantSplit/>
        </w:trPr>
        <w:tc>
          <w:tcPr>
            <w:tcW w:type="dxa" w:w="3506"/>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구성</w:t>
            </w:r>
          </w:p>
        </w:tc>
        <w:tc>
          <w:tcPr>
            <w:tcW w:type="dxa" w:w="2154"/>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차단</w:t>
            </w:r>
          </w:p>
        </w:tc>
        <w:tc>
          <w:tcPr>
            <w:tcW w:type="dxa" w:w="2154"/>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미차단</w:t>
            </w:r>
          </w:p>
        </w:tc>
        <w:tc>
          <w:tcPr>
            <w:tcW w:type="dxa" w:w="2156"/>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미차단율</w:t>
            </w:r>
          </w:p>
        </w:tc>
      </w:tr>
      <w:tr>
        <w:trPr>
          <w:cantSplit/>
        </w:trPr>
        <w:tc>
          <w:tcPr>
            <w:tcW w:type="dxa" w:w="3506"/>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A: Presidio+Bedrock+Lakera</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7,904</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2,060</w:t>
            </w:r>
          </w:p>
        </w:tc>
        <w:tc>
          <w:tcPr>
            <w:tcW w:type="dxa" w:w="215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20.67%</w:t>
            </w:r>
          </w:p>
        </w:tc>
      </w:tr>
      <w:tr>
        <w:trPr>
          <w:cantSplit/>
        </w:trPr>
        <w:tc>
          <w:tcPr>
            <w:tcW w:type="dxa" w:w="3506"/>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B: A+LLM 판별기</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9,074</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890</w:t>
            </w:r>
          </w:p>
        </w:tc>
        <w:tc>
          <w:tcPr>
            <w:tcW w:type="dxa" w:w="215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8.93%</w:t>
            </w:r>
          </w:p>
        </w:tc>
      </w:tr>
      <w:tr>
        <w:trPr>
          <w:cantSplit/>
        </w:trPr>
        <w:tc>
          <w:tcPr>
            <w:tcW w:type="dxa" w:w="3506"/>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C: Layer 0+A</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9,258</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706</w:t>
            </w:r>
          </w:p>
        </w:tc>
        <w:tc>
          <w:tcPr>
            <w:tcW w:type="dxa" w:w="215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7.09%</w:t>
            </w:r>
          </w:p>
        </w:tc>
      </w:tr>
      <w:tr>
        <w:trPr>
          <w:cantSplit/>
        </w:trPr>
        <w:tc>
          <w:tcPr>
            <w:tcW w:type="dxa" w:w="3506"/>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D: Layer 0+A+LLM 판별기</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9,652</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312</w:t>
            </w:r>
          </w:p>
        </w:tc>
        <w:tc>
          <w:tcPr>
            <w:tcW w:type="dxa" w:w="215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3.13%</w:t>
            </w:r>
          </w:p>
        </w:tc>
      </w:tr>
    </w:tbl>
    <w:p>
      <w:pPr>
        <w:spacing w:after="20"/>
      </w:pPr>
    </w:p>
    <w:p>
      <w:pPr>
        <w:widowControl/>
        <w:spacing w:before="0" w:after="60" w:line="331" w:lineRule="auto"/>
        <w:jc w:val="left"/>
      </w:pPr>
      <w:r>
        <w:rPr>
          <w:rFonts w:ascii="HY신명조" w:hAnsi="HY신명조" w:eastAsia="HY신명조"/>
          <w:color w:val="000000"/>
          <w:sz w:val="17"/>
        </w:rPr>
        <w:t>자료: 네 방어구성의 저장 결과에 변이 후 보호대상 평가기를 적용한 재계산.</w:t>
      </w:r>
    </w:p>
    <w:p>
      <w:pPr>
        <w:widowControl/>
        <w:spacing w:before="0" w:after="60" w:line="331" w:lineRule="auto"/>
        <w:ind w:firstLine="397"/>
        <w:jc w:val="both"/>
      </w:pPr>
      <w:r>
        <w:rPr>
          <w:rFonts w:ascii="HY신명조" w:hAnsi="HY신명조" w:eastAsia="HY신명조"/>
          <w:color w:val="000000"/>
          <w:sz w:val="20"/>
        </w:rPr>
        <w:t xml:space="preserve">기존 3계층을 통과한 2,060건은 변이 후 보호대상이 입력에서 복원되었지만 관련 계층에서 차단·제거되지 않은 사례다. 본 연구의 정의에서 이는 PII가 다음 처리 단계 또는 외부 모델로 전달될 수 있는 </w:t>
      </w:r>
      <w:r>
        <w:rPr>
          <w:rFonts w:ascii="HY신명조" w:hAnsi="HY신명조" w:eastAsia="HY신명조"/>
          <w:b/>
          <w:color w:val="000000"/>
          <w:sz w:val="20"/>
        </w:rPr>
        <w:t>기술적 유출 가능성</w:t>
      </w:r>
      <w:r>
        <w:rPr>
          <w:rFonts w:ascii="HY신명조" w:hAnsi="HY신명조" w:eastAsia="HY신명조"/>
          <w:color w:val="000000"/>
          <w:sz w:val="20"/>
        </w:rPr>
        <w:t>을 의미한다. 실제 네트워크 전송이나 정보주체의 피해 발생을 관찰한 것은 아니지만, 기존 다계층 가드레일만으로 모든 변이 PII가 차단된다는 가정은 지지되지 않는다.</w:t>
      </w:r>
    </w:p>
    <w:p>
      <w:pPr>
        <w:pStyle w:val="Heading2"/>
        <w:keepNext/>
        <w:keepLines/>
      </w:pPr>
      <w:r>
        <w:rPr>
          <w:rFonts w:ascii="HY견고딕" w:hAnsi="HY견고딕" w:eastAsia="HY견고딕"/>
          <w:b/>
          <w:color w:val="000000"/>
          <w:sz w:val="24"/>
        </w:rPr>
        <w:t>2. 변이 입력의 위험 증가와 Layer 0의 추가 차단</w:t>
      </w:r>
    </w:p>
    <w:p>
      <w:pPr>
        <w:widowControl/>
        <w:spacing w:before="0" w:after="60" w:line="331" w:lineRule="auto"/>
        <w:ind w:firstLine="397"/>
        <w:jc w:val="both"/>
      </w:pPr>
      <w:r>
        <w:rPr>
          <w:rFonts w:ascii="HY신명조" w:hAnsi="HY신명조" w:eastAsia="HY신명조"/>
          <w:color w:val="000000"/>
          <w:sz w:val="20"/>
        </w:rPr>
        <w:t>동일 PII 유형·원천값의 원형과 변이 사례를 짝지은 결과는 다음과 같다.</w:t>
      </w:r>
    </w:p>
    <w:p>
      <w:pPr>
        <w:spacing w:before="100" w:after="60"/>
        <w:jc w:val="center"/>
      </w:pPr>
      <w:r>
        <w:rPr>
          <w:rFonts w:ascii="HY견고딕" w:hAnsi="HY견고딕" w:eastAsia="HY견고딕"/>
          <w:b/>
          <w:color w:val="000000"/>
          <w:sz w:val="20"/>
        </w:rPr>
        <w:t>&lt;표 4&gt; 동일 원천값 원형–변이 짝비교</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2025"/>
        <w:gridCol w:w="1327"/>
        <w:gridCol w:w="1351"/>
        <w:gridCol w:w="1511"/>
        <w:gridCol w:w="1511"/>
        <w:gridCol w:w="2245"/>
      </w:tblGrid>
      <w:tr>
        <w:trPr>
          <w:tblHeader w:val="true"/>
          <w:cantSplit/>
        </w:trPr>
        <w:tc>
          <w:tcPr>
            <w:tcW w:type="dxa" w:w="202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분석집합</w:t>
            </w:r>
          </w:p>
        </w:tc>
        <w:tc>
          <w:tcPr>
            <w:tcW w:type="dxa" w:w="1327"/>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쌍</w:t>
            </w:r>
          </w:p>
        </w:tc>
        <w:tc>
          <w:tcPr>
            <w:tcW w:type="dxa" w:w="135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원천 그룹</w:t>
            </w:r>
          </w:p>
        </w:tc>
        <w:tc>
          <w:tcPr>
            <w:tcW w:type="dxa" w:w="151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원형 미차단율</w:t>
            </w:r>
          </w:p>
        </w:tc>
        <w:tc>
          <w:tcPr>
            <w:tcW w:type="dxa" w:w="151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변이 미차단율</w:t>
            </w:r>
          </w:p>
        </w:tc>
        <w:tc>
          <w:tcPr>
            <w:tcW w:type="dxa" w:w="224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그룹 평균 위험차(95% 부트스트랩 구간)</w:t>
            </w:r>
          </w:p>
        </w:tc>
      </w:tr>
      <w:tr>
        <w:trPr>
          <w:cantSplit/>
        </w:trPr>
        <w:tc>
          <w:tcPr>
            <w:tcW w:type="dxa" w:w="202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전체</w:t>
            </w:r>
          </w:p>
        </w:tc>
        <w:tc>
          <w:tcPr>
            <w:tcW w:type="dxa" w:w="132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3,461</w:t>
            </w:r>
          </w:p>
        </w:tc>
        <w:tc>
          <w:tcPr>
            <w:tcW w:type="dxa" w:w="13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931</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16.30%</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21.90%</w:t>
            </w:r>
          </w:p>
        </w:tc>
        <w:tc>
          <w:tcPr>
            <w:tcW w:type="dxa" w:w="224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+2.91%p (+1.89~+3.94)</w:t>
            </w:r>
          </w:p>
        </w:tc>
      </w:tr>
      <w:tr>
        <w:trPr>
          <w:cantSplit/>
        </w:trPr>
        <w:tc>
          <w:tcPr>
            <w:tcW w:type="dxa" w:w="202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한국어</w:t>
            </w:r>
          </w:p>
        </w:tc>
        <w:tc>
          <w:tcPr>
            <w:tcW w:type="dxa" w:w="132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2,305</w:t>
            </w:r>
          </w:p>
        </w:tc>
        <w:tc>
          <w:tcPr>
            <w:tcW w:type="dxa" w:w="13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311</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24.47%</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32.28%</w:t>
            </w:r>
          </w:p>
        </w:tc>
        <w:tc>
          <w:tcPr>
            <w:tcW w:type="dxa" w:w="224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+6.86%p (+4.06~+9.69)</w:t>
            </w:r>
          </w:p>
        </w:tc>
      </w:tr>
      <w:tr>
        <w:trPr>
          <w:cantSplit/>
        </w:trPr>
        <w:tc>
          <w:tcPr>
            <w:tcW w:type="dxa" w:w="202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보호대상 값 자체 변경</w:t>
            </w:r>
          </w:p>
        </w:tc>
        <w:tc>
          <w:tcPr>
            <w:tcW w:type="dxa" w:w="132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2,160</w:t>
            </w:r>
          </w:p>
        </w:tc>
        <w:tc>
          <w:tcPr>
            <w:tcW w:type="dxa" w:w="13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868</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9.12%</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18.75%</w:t>
            </w:r>
          </w:p>
        </w:tc>
        <w:tc>
          <w:tcPr>
            <w:tcW w:type="dxa" w:w="224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+5.35%p (+3.83~+6.89)</w:t>
            </w:r>
          </w:p>
        </w:tc>
      </w:tr>
      <w:tr>
        <w:trPr>
          <w:cantSplit/>
        </w:trPr>
        <w:tc>
          <w:tcPr>
            <w:tcW w:type="dxa" w:w="202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보호대상 값 보존·주변만 변경</w:t>
            </w:r>
          </w:p>
        </w:tc>
        <w:tc>
          <w:tcPr>
            <w:tcW w:type="dxa" w:w="132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1,301</w:t>
            </w:r>
          </w:p>
        </w:tc>
        <w:tc>
          <w:tcPr>
            <w:tcW w:type="dxa" w:w="13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331</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28.21%</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27.13%</w:t>
            </w:r>
          </w:p>
        </w:tc>
        <w:tc>
          <w:tcPr>
            <w:tcW w:type="dxa" w:w="224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-0.65%p (-2.42~+1.14)</w:t>
            </w:r>
          </w:p>
        </w:tc>
      </w:tr>
    </w:tbl>
    <w:p>
      <w:pPr>
        <w:spacing w:after="20"/>
      </w:pPr>
    </w:p>
    <w:p>
      <w:pPr>
        <w:widowControl/>
        <w:spacing w:before="0" w:after="60" w:line="331" w:lineRule="auto"/>
        <w:jc w:val="left"/>
      </w:pPr>
      <w:r>
        <w:rPr>
          <w:rFonts w:ascii="HY신명조" w:hAnsi="HY신명조" w:eastAsia="HY신명조"/>
          <w:color w:val="000000"/>
          <w:sz w:val="17"/>
        </w:rPr>
        <w:t xml:space="preserve">자료: </w:t>
      </w:r>
      <w:r>
        <w:rPr>
          <w:rFonts w:ascii="Consolas" w:hAnsi="Consolas" w:eastAsia="Consolas"/>
          <w:color w:val="000000"/>
          <w:sz w:val="16"/>
        </w:rPr>
        <w:t>paper/analyze_postmutation_gold.py</w:t>
      </w:r>
      <w:r>
        <w:rPr>
          <w:rFonts w:ascii="HY신명조" w:hAnsi="HY신명조" w:eastAsia="HY신명조"/>
          <w:color w:val="000000"/>
          <w:sz w:val="17"/>
        </w:rPr>
        <w:t>; 원천 그룹 동일가중, seed 20260726, 10,000회 군집 부트스트랩.</w:t>
      </w:r>
    </w:p>
    <w:p>
      <w:pPr>
        <w:widowControl/>
        <w:spacing w:before="0" w:after="60" w:line="331" w:lineRule="auto"/>
        <w:ind w:firstLine="397"/>
        <w:jc w:val="both"/>
      </w:pPr>
      <w:r>
        <w:rPr>
          <w:rFonts w:ascii="HY신명조" w:hAnsi="HY신명조" w:eastAsia="HY신명조"/>
          <w:color w:val="000000"/>
          <w:sz w:val="20"/>
        </w:rPr>
        <w:t>한국어 2,305쌍 중 원형은 차단되었으나 변이본은 미차단된 사례가 281건, 반대 방향은 101건이었다. 보호대상 값 자체가 바뀐 2,160쌍에서는 변이로 악화된 사례가 261건, 개선된 사례가 53건이었다. 반면 보호대상 문자열은 그대로이고 이름·레이블·문맥만 바뀐 1,301쌍에서는 악화 34건, 개선 48건으로 증가가 확인되지 않았다.</w:t>
      </w:r>
    </w:p>
    <w:p>
      <w:pPr>
        <w:widowControl/>
        <w:spacing w:before="0" w:after="60" w:line="331" w:lineRule="auto"/>
        <w:ind w:firstLine="397"/>
        <w:jc w:val="both"/>
      </w:pPr>
      <w:r>
        <w:rPr>
          <w:rFonts w:ascii="HY신명조" w:hAnsi="HY신명조" w:eastAsia="HY신명조"/>
          <w:color w:val="000000"/>
          <w:sz w:val="20"/>
        </w:rPr>
        <w:t xml:space="preserve">변이기법별 기술통계도 이 구분과 일치한다. 한국어 </w:t>
      </w:r>
      <w:r>
        <w:rPr>
          <w:rFonts w:ascii="Consolas" w:hAnsi="Consolas" w:eastAsia="Consolas"/>
          <w:color w:val="000000"/>
          <w:sz w:val="19"/>
        </w:rPr>
        <w:t>soft_hyphen</w:t>
      </w:r>
      <w:r>
        <w:rPr>
          <w:rFonts w:ascii="HY신명조" w:hAnsi="HY신명조" w:eastAsia="HY신명조"/>
          <w:color w:val="000000"/>
          <w:sz w:val="20"/>
        </w:rPr>
        <w:t xml:space="preserve">은 원형 21.2%에서 변이 61.6%, </w:t>
      </w:r>
      <w:r>
        <w:rPr>
          <w:rFonts w:ascii="Consolas" w:hAnsi="Consolas" w:eastAsia="Consolas"/>
          <w:color w:val="000000"/>
          <w:sz w:val="19"/>
        </w:rPr>
        <w:t>combining</w:t>
      </w:r>
      <w:r>
        <w:rPr>
          <w:rFonts w:ascii="HY신명조" w:hAnsi="HY신명조" w:eastAsia="HY신명조"/>
          <w:color w:val="000000"/>
          <w:sz w:val="20"/>
        </w:rPr>
        <w:t xml:space="preserve">은 19.5%에서 45.1%, </w:t>
      </w:r>
      <w:r>
        <w:rPr>
          <w:rFonts w:ascii="Consolas" w:hAnsi="Consolas" w:eastAsia="Consolas"/>
          <w:color w:val="000000"/>
          <w:sz w:val="19"/>
        </w:rPr>
        <w:t>fullwidth</w:t>
      </w:r>
      <w:r>
        <w:rPr>
          <w:rFonts w:ascii="HY신명조" w:hAnsi="HY신명조" w:eastAsia="HY신명조"/>
          <w:color w:val="000000"/>
          <w:sz w:val="20"/>
        </w:rPr>
        <w:t xml:space="preserve">는 18.3%에서 40.4%, </w:t>
      </w:r>
      <w:r>
        <w:rPr>
          <w:rFonts w:ascii="Consolas" w:hAnsi="Consolas" w:eastAsia="Consolas"/>
          <w:color w:val="000000"/>
          <w:sz w:val="19"/>
        </w:rPr>
        <w:t>homoglyph</w:t>
      </w:r>
      <w:r>
        <w:rPr>
          <w:rFonts w:ascii="HY신명조" w:hAnsi="HY신명조" w:eastAsia="HY신명조"/>
          <w:color w:val="000000"/>
          <w:sz w:val="20"/>
        </w:rPr>
        <w:t xml:space="preserve">는 18.2%에서 40.0%, </w:t>
      </w:r>
      <w:r>
        <w:rPr>
          <w:rFonts w:ascii="Consolas" w:hAnsi="Consolas" w:eastAsia="Consolas"/>
          <w:color w:val="000000"/>
          <w:sz w:val="19"/>
        </w:rPr>
        <w:t>kr_digits</w:t>
      </w:r>
      <w:r>
        <w:rPr>
          <w:rFonts w:ascii="HY신명조" w:hAnsi="HY신명조" w:eastAsia="HY신명조"/>
          <w:color w:val="000000"/>
          <w:sz w:val="20"/>
        </w:rPr>
        <w:t xml:space="preserve">는 20.9%에서 52.7%로 미차단율이 높아졌다. 반면 </w:t>
      </w:r>
      <w:r>
        <w:rPr>
          <w:rFonts w:ascii="Consolas" w:hAnsi="Consolas" w:eastAsia="Consolas"/>
          <w:color w:val="000000"/>
          <w:sz w:val="19"/>
        </w:rPr>
        <w:t>ctx_json</w:t>
      </w:r>
      <w:r>
        <w:rPr>
          <w:rFonts w:ascii="HY신명조" w:hAnsi="HY신명조" w:eastAsia="HY신명조"/>
          <w:color w:val="000000"/>
          <w:sz w:val="20"/>
        </w:rPr>
        <w:t xml:space="preserve">, </w:t>
      </w:r>
      <w:r>
        <w:rPr>
          <w:rFonts w:ascii="Consolas" w:hAnsi="Consolas" w:eastAsia="Consolas"/>
          <w:color w:val="000000"/>
          <w:sz w:val="19"/>
        </w:rPr>
        <w:t>ctx_rag</w:t>
      </w:r>
      <w:r>
        <w:rPr>
          <w:rFonts w:ascii="HY신명조" w:hAnsi="HY신명조" w:eastAsia="HY신명조"/>
          <w:color w:val="000000"/>
          <w:sz w:val="20"/>
        </w:rPr>
        <w:t xml:space="preserve">, </w:t>
      </w:r>
      <w:r>
        <w:rPr>
          <w:rFonts w:ascii="Consolas" w:hAnsi="Consolas" w:eastAsia="Consolas"/>
          <w:color w:val="000000"/>
          <w:sz w:val="19"/>
        </w:rPr>
        <w:t>houyi</w:t>
      </w:r>
      <w:r>
        <w:rPr>
          <w:rFonts w:ascii="HY신명조" w:hAnsi="HY신명조" w:eastAsia="HY신명조"/>
          <w:color w:val="000000"/>
          <w:sz w:val="20"/>
        </w:rPr>
        <w:t xml:space="preserve">, </w:t>
      </w:r>
      <w:r>
        <w:rPr>
          <w:rFonts w:ascii="Consolas" w:hAnsi="Consolas" w:eastAsia="Consolas"/>
          <w:color w:val="000000"/>
          <w:sz w:val="19"/>
        </w:rPr>
        <w:t>code_switch</w:t>
      </w:r>
      <w:r>
        <w:rPr>
          <w:rFonts w:ascii="HY신명조" w:hAnsi="HY신명조" w:eastAsia="HY신명조"/>
          <w:color w:val="000000"/>
          <w:sz w:val="20"/>
        </w:rPr>
        <w:t xml:space="preserve">처럼 보호대상 값을 보존한 변이는 증가가 일관되지 않았다. 따라서 RQ1에 대한 답은 “모든 변이가 위험을 높인다”가 아니라, </w:t>
      </w:r>
      <w:r>
        <w:rPr>
          <w:rFonts w:ascii="HY신명조" w:hAnsi="HY신명조" w:eastAsia="HY신명조"/>
          <w:b/>
          <w:color w:val="000000"/>
          <w:sz w:val="20"/>
        </w:rPr>
        <w:t>PII 값 자체를 바꾸는 문자·인코딩·표기 변이가 기존 계층의 미차단 위험을 높인다</w:t>
      </w:r>
      <w:r>
        <w:rPr>
          <w:rFonts w:ascii="HY신명조" w:hAnsi="HY신명조" w:eastAsia="HY신명조"/>
          <w:color w:val="000000"/>
          <w:sz w:val="20"/>
        </w:rPr>
        <w:t>는 것이다.</w:t>
      </w:r>
    </w:p>
    <w:p>
      <w:pPr>
        <w:widowControl/>
        <w:spacing w:before="0" w:after="60" w:line="331" w:lineRule="auto"/>
        <w:ind w:firstLine="397"/>
        <w:jc w:val="both"/>
      </w:pPr>
      <w:r>
        <w:rPr>
          <w:rFonts w:ascii="HY신명조" w:hAnsi="HY신명조" w:eastAsia="HY신명조"/>
          <w:color w:val="000000"/>
          <w:sz w:val="20"/>
        </w:rPr>
        <w:t xml:space="preserve">구성 A와 C의 짝비교에서는 A만 미차단이고 C는 차단인 사례가 1,354건이었으며, 반대 방향은 없었다. 이 중 1,353건은 Layer 0의 개별 결과가 </w:t>
      </w:r>
      <w:r>
        <w:rPr>
          <w:rFonts w:ascii="Consolas" w:hAnsi="Consolas" w:eastAsia="Consolas"/>
          <w:color w:val="000000"/>
          <w:sz w:val="19"/>
        </w:rPr>
        <w:t>action=BLOCK</w:t>
      </w:r>
      <w:r>
        <w:rPr>
          <w:rFonts w:ascii="HY신명조" w:hAnsi="HY신명조" w:eastAsia="HY신명조"/>
          <w:color w:val="000000"/>
          <w:sz w:val="20"/>
        </w:rPr>
        <w:t xml:space="preserve">, </w:t>
      </w:r>
      <w:r>
        <w:rPr>
          <w:rFonts w:ascii="Consolas" w:hAnsi="Consolas" w:eastAsia="Consolas"/>
          <w:color w:val="000000"/>
          <w:sz w:val="19"/>
        </w:rPr>
        <w:t>output=[BLOCKED]</w:t>
      </w:r>
      <w:r>
        <w:rPr>
          <w:rFonts w:ascii="HY신명조" w:hAnsi="HY신명조" w:eastAsia="HY신명조"/>
          <w:color w:val="000000"/>
          <w:sz w:val="20"/>
        </w:rPr>
        <w:t>였다. 나머지 1건은 저장된 후속 계층 판정 차이로 귀속되었다. 이는 Layer 0가 단순 정규화로 문자열 모양만 바꾼 결과가 아니라, 대부분의 추가효과에서 입력단 직접 차단을 수행했음을 보여준다.</w:t>
      </w:r>
    </w:p>
    <w:p>
      <w:pPr>
        <w:widowControl/>
        <w:spacing w:before="0" w:after="60" w:line="331" w:lineRule="auto"/>
        <w:ind w:firstLine="397"/>
        <w:jc w:val="both"/>
      </w:pPr>
      <w:r>
        <w:rPr>
          <w:rFonts w:ascii="HY신명조" w:hAnsi="HY신명조" w:eastAsia="HY신명조"/>
          <w:color w:val="000000"/>
          <w:sz w:val="20"/>
        </w:rPr>
        <w:t xml:space="preserve">이 결과는 RQ2에 대해 정규화·키워드·패턴 탐지를 입력 전에 수행하는 Layer 0가 기존 계층의 누락을 실질적으로 줄였다고 답한다. Layer 0는 기존 상용 가드레일을 대체하는 단독 제품이 아니라 </w:t>
      </w:r>
      <w:r>
        <w:rPr>
          <w:rFonts w:ascii="HY신명조" w:hAnsi="HY신명조" w:eastAsia="HY신명조"/>
          <w:b/>
          <w:color w:val="000000"/>
          <w:sz w:val="20"/>
        </w:rPr>
        <w:t>한국어 입력을 위한 필수 심층방어 계층</w:t>
      </w:r>
      <w:r>
        <w:rPr>
          <w:rFonts w:ascii="HY신명조" w:hAnsi="HY신명조" w:eastAsia="HY신명조"/>
          <w:color w:val="000000"/>
          <w:sz w:val="20"/>
        </w:rPr>
        <w:t>으로 배치할 필요가 있다.</w:t>
      </w:r>
    </w:p>
    <w:p>
      <w:pPr>
        <w:pStyle w:val="Heading2"/>
        <w:keepNext/>
        <w:keepLines/>
      </w:pPr>
      <w:r>
        <w:rPr>
          <w:rFonts w:ascii="HY견고딕" w:hAnsi="HY견고딕" w:eastAsia="HY견고딕"/>
          <w:b/>
          <w:color w:val="000000"/>
          <w:sz w:val="24"/>
        </w:rPr>
        <w:t>3. 전체 데이터에서 변이 후 정답 추적의 실패</w:t>
      </w:r>
    </w:p>
    <w:p>
      <w:pPr>
        <w:widowControl/>
        <w:spacing w:before="0" w:after="60" w:line="331" w:lineRule="auto"/>
        <w:ind w:firstLine="397"/>
        <w:jc w:val="both"/>
      </w:pPr>
      <w:r>
        <w:rPr>
          <w:rFonts w:ascii="HY신명조" w:hAnsi="HY신명조" w:eastAsia="HY신명조"/>
          <w:color w:val="000000"/>
          <w:sz w:val="20"/>
        </w:rPr>
        <w:t xml:space="preserve">10,000건 중 원래 </w:t>
      </w:r>
      <w:r>
        <w:rPr>
          <w:rFonts w:ascii="Consolas" w:hAnsi="Consolas" w:eastAsia="Consolas"/>
          <w:color w:val="000000"/>
          <w:sz w:val="19"/>
        </w:rPr>
        <w:t>pii_value</w:t>
      </w:r>
      <w:r>
        <w:rPr>
          <w:rFonts w:ascii="HY신명조" w:hAnsi="HY신명조" w:eastAsia="HY신명조"/>
          <w:color w:val="000000"/>
          <w:sz w:val="20"/>
        </w:rPr>
        <w:t>가 변이 입력에 정확히 존재하지 않은 사례는 5,287건(52.87%)이었다. 기존 원문·숫자 완화 규칙은 2,647건(26.47%)을 추적하지 못했다. 새 평가기는 fuzzer 변이와 입력 구간 역매핑을 이용하여 이 중 대부분을 복원하였다.</w:t>
      </w:r>
    </w:p>
    <w:p>
      <w:pPr>
        <w:spacing w:before="100" w:after="60"/>
        <w:jc w:val="center"/>
      </w:pPr>
      <w:r>
        <w:rPr>
          <w:rFonts w:ascii="HY견고딕" w:hAnsi="HY견고딕" w:eastAsia="HY견고딕"/>
          <w:b/>
          <w:color w:val="000000"/>
          <w:sz w:val="20"/>
        </w:rPr>
        <w:t>&lt;표 5&gt; 변이 후 보호대상 복원 방식</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4463"/>
        <w:gridCol w:w="2718"/>
        <w:gridCol w:w="2789"/>
      </w:tblGrid>
      <w:tr>
        <w:trPr>
          <w:tblHeader w:val="true"/>
          <w:cantSplit/>
        </w:trPr>
        <w:tc>
          <w:tcPr>
            <w:tcW w:type="dxa" w:w="4463"/>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복원 방식</w:t>
            </w:r>
          </w:p>
        </w:tc>
        <w:tc>
          <w:tcPr>
            <w:tcW w:type="dxa" w:w="2718"/>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사례 수</w:t>
            </w:r>
          </w:p>
        </w:tc>
        <w:tc>
          <w:tcPr>
            <w:tcW w:type="dxa" w:w="278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전체 대비</w:t>
            </w:r>
          </w:p>
        </w:tc>
      </w:tr>
      <w:tr>
        <w:trPr>
          <w:cantSplit/>
        </w:trPr>
        <w:tc>
          <w:tcPr>
            <w:tcW w:type="dxa" w:w="446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원문 직접 확인</w:t>
            </w:r>
          </w:p>
        </w:tc>
        <w:tc>
          <w:tcPr>
            <w:tcW w:type="dxa" w:w="271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4,713</w:t>
            </w:r>
          </w:p>
        </w:tc>
        <w:tc>
          <w:tcPr>
            <w:tcW w:type="dxa" w:w="278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47.13%</w:t>
            </w:r>
          </w:p>
        </w:tc>
      </w:tr>
      <w:tr>
        <w:trPr>
          <w:cantSplit/>
        </w:trPr>
        <w:tc>
          <w:tcPr>
            <w:tcW w:type="dxa" w:w="446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결정론적 변이 재생성</w:t>
            </w:r>
          </w:p>
        </w:tc>
        <w:tc>
          <w:tcPr>
            <w:tcW w:type="dxa" w:w="271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3,927</w:t>
            </w:r>
          </w:p>
        </w:tc>
        <w:tc>
          <w:tcPr>
            <w:tcW w:type="dxa" w:w="278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39.27%</w:t>
            </w:r>
          </w:p>
        </w:tc>
      </w:tr>
      <w:tr>
        <w:trPr>
          <w:cantSplit/>
        </w:trPr>
        <w:tc>
          <w:tcPr>
            <w:tcW w:type="dxa" w:w="446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정규화 후 고유 구간 역매핑</w:t>
            </w:r>
          </w:p>
        </w:tc>
        <w:tc>
          <w:tcPr>
            <w:tcW w:type="dxa" w:w="271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1,324</w:t>
            </w:r>
          </w:p>
        </w:tc>
        <w:tc>
          <w:tcPr>
            <w:tcW w:type="dxa" w:w="278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13.24%</w:t>
            </w:r>
          </w:p>
        </w:tc>
      </w:tr>
      <w:tr>
        <w:trPr>
          <w:cantSplit/>
        </w:trPr>
        <w:tc>
          <w:tcPr>
            <w:tcW w:type="dxa" w:w="446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복원 불가·분석 제외</w:t>
            </w:r>
          </w:p>
        </w:tc>
        <w:tc>
          <w:tcPr>
            <w:tcW w:type="dxa" w:w="271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36</w:t>
            </w:r>
          </w:p>
        </w:tc>
        <w:tc>
          <w:tcPr>
            <w:tcW w:type="dxa" w:w="278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0.36%</w:t>
            </w:r>
          </w:p>
        </w:tc>
      </w:tr>
    </w:tbl>
    <w:p>
      <w:pPr>
        <w:spacing w:after="20"/>
      </w:pPr>
    </w:p>
    <w:p>
      <w:pPr>
        <w:widowControl/>
        <w:spacing w:before="0" w:after="60" w:line="331" w:lineRule="auto"/>
        <w:jc w:val="left"/>
      </w:pPr>
      <w:r>
        <w:rPr>
          <w:rFonts w:ascii="HY신명조" w:hAnsi="HY신명조" w:eastAsia="HY신명조"/>
          <w:color w:val="000000"/>
          <w:sz w:val="17"/>
        </w:rPr>
        <w:t xml:space="preserve">자료: </w:t>
      </w:r>
      <w:r>
        <w:rPr>
          <w:rFonts w:ascii="Consolas" w:hAnsi="Consolas" w:eastAsia="Consolas"/>
          <w:color w:val="000000"/>
          <w:sz w:val="16"/>
        </w:rPr>
        <w:t>paper/analyze_postmutation_gold.py</w:t>
      </w:r>
      <w:r>
        <w:rPr>
          <w:rFonts w:ascii="HY신명조" w:hAnsi="HY신명조" w:eastAsia="HY신명조"/>
          <w:color w:val="000000"/>
          <w:sz w:val="17"/>
        </w:rPr>
        <w:t xml:space="preserve"> 전수 복원 결과.</w:t>
      </w:r>
    </w:p>
    <w:p>
      <w:pPr>
        <w:widowControl/>
        <w:spacing w:before="0" w:after="60" w:line="331" w:lineRule="auto"/>
        <w:ind w:firstLine="397"/>
        <w:jc w:val="both"/>
      </w:pPr>
      <w:r>
        <w:rPr>
          <w:rFonts w:ascii="HY신명조" w:hAnsi="HY신명조" w:eastAsia="HY신명조"/>
          <w:color w:val="000000"/>
          <w:sz w:val="20"/>
        </w:rPr>
        <w:t>복원 불가 36건은 저장된 AWS key 표식과 변이 입력의 실제 문자열이 대응하지 않은 31건, code-switch로 보호대상 표현 자체가 달라진 음성기록 5건이었다. 이 사례를 임의로 성공 또는 실패 처리하지 않은 것은 불확실한 라벨이 전체 성능에 섞이는 것을 막기 위한 것이다.</w:t>
      </w:r>
    </w:p>
    <w:p>
      <w:pPr>
        <w:pStyle w:val="Heading2"/>
        <w:keepNext/>
        <w:keepLines/>
      </w:pPr>
      <w:r>
        <w:rPr>
          <w:rFonts w:ascii="HY견고딕" w:hAnsi="HY견고딕" w:eastAsia="HY견고딕"/>
          <w:b/>
          <w:color w:val="000000"/>
          <w:sz w:val="24"/>
        </w:rPr>
        <w:t>4. 방어구성별 저장 판정과 평가기 민감도</w:t>
      </w:r>
    </w:p>
    <w:p>
      <w:pPr>
        <w:widowControl/>
        <w:spacing w:before="0" w:after="60" w:line="331" w:lineRule="auto"/>
        <w:ind w:firstLine="397"/>
        <w:jc w:val="both"/>
      </w:pPr>
      <w:r>
        <w:rPr>
          <w:rFonts w:ascii="HY신명조" w:hAnsi="HY신명조" w:eastAsia="HY신명조"/>
          <w:color w:val="000000"/>
          <w:sz w:val="20"/>
        </w:rPr>
        <w:t>최종 논문 수치를 만든 평가기와 정규화를 추가한 다른 평가기를 동일 결과에 적용한 값은 표 6과 같다.</w:t>
      </w:r>
    </w:p>
    <w:p>
      <w:pPr>
        <w:spacing w:before="100" w:after="60"/>
        <w:jc w:val="center"/>
      </w:pPr>
      <w:r>
        <w:rPr>
          <w:rFonts w:ascii="HY견고딕" w:hAnsi="HY견고딕" w:eastAsia="HY견고딕"/>
          <w:b/>
          <w:color w:val="000000"/>
          <w:sz w:val="20"/>
        </w:rPr>
        <w:t>&lt;표 6&gt; 저장 판정의 평가기 민감도</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2281"/>
        <w:gridCol w:w="2775"/>
        <w:gridCol w:w="2775"/>
        <w:gridCol w:w="2139"/>
      </w:tblGrid>
      <w:tr>
        <w:trPr>
          <w:tblHeader w:val="true"/>
          <w:cantSplit/>
        </w:trPr>
        <w:tc>
          <w:tcPr>
            <w:tcW w:type="dxa" w:w="228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구성</w:t>
            </w:r>
          </w:p>
        </w:tc>
        <w:tc>
          <w:tcPr>
            <w:tcW w:type="dxa" w:w="277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최종 평가기 TRUE</w:t>
            </w:r>
          </w:p>
        </w:tc>
        <w:tc>
          <w:tcPr>
            <w:tcW w:type="dxa" w:w="277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다른 평가기 TRUE</w:t>
            </w:r>
          </w:p>
        </w:tc>
        <w:tc>
          <w:tcPr>
            <w:tcW w:type="dxa" w:w="213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차이</w:t>
            </w:r>
          </w:p>
        </w:tc>
      </w:tr>
      <w:tr>
        <w:trPr>
          <w:cantSplit/>
        </w:trPr>
        <w:tc>
          <w:tcPr>
            <w:tcW w:type="dxa" w:w="228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A baseline</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8,015</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7,901</w:t>
            </w:r>
          </w:p>
        </w:tc>
        <w:tc>
          <w:tcPr>
            <w:tcW w:type="dxa" w:w="213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-114</w:t>
            </w:r>
          </w:p>
        </w:tc>
      </w:tr>
      <w:tr>
        <w:trPr>
          <w:cantSplit/>
        </w:trPr>
        <w:tc>
          <w:tcPr>
            <w:tcW w:type="dxa" w:w="228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B +L4</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9,096</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9,067</w:t>
            </w:r>
          </w:p>
        </w:tc>
        <w:tc>
          <w:tcPr>
            <w:tcW w:type="dxa" w:w="213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-29</w:t>
            </w:r>
          </w:p>
        </w:tc>
      </w:tr>
      <w:tr>
        <w:trPr>
          <w:cantSplit/>
        </w:trPr>
        <w:tc>
          <w:tcPr>
            <w:tcW w:type="dxa" w:w="228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C +L0</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9,432</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9,373</w:t>
            </w:r>
          </w:p>
        </w:tc>
        <w:tc>
          <w:tcPr>
            <w:tcW w:type="dxa" w:w="213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-59</w:t>
            </w:r>
          </w:p>
        </w:tc>
      </w:tr>
      <w:tr>
        <w:trPr>
          <w:cantSplit/>
        </w:trPr>
        <w:tc>
          <w:tcPr>
            <w:tcW w:type="dxa" w:w="228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D full</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9,723</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9,711</w:t>
            </w:r>
          </w:p>
        </w:tc>
        <w:tc>
          <w:tcPr>
            <w:tcW w:type="dxa" w:w="213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-12</w:t>
            </w:r>
          </w:p>
        </w:tc>
      </w:tr>
    </w:tbl>
    <w:p>
      <w:pPr>
        <w:spacing w:after="20"/>
      </w:pPr>
    </w:p>
    <w:p>
      <w:pPr>
        <w:widowControl/>
        <w:spacing w:before="0" w:after="60" w:line="331" w:lineRule="auto"/>
        <w:jc w:val="left"/>
      </w:pPr>
      <w:r>
        <w:rPr>
          <w:rFonts w:ascii="HY신명조" w:hAnsi="HY신명조" w:eastAsia="HY신명조"/>
          <w:color w:val="000000"/>
          <w:sz w:val="17"/>
        </w:rPr>
        <w:t>자료: 동일 저장 결과에 두 평가 함수를 각각 적용한 감사 재계산.</w:t>
      </w:r>
    </w:p>
    <w:p>
      <w:pPr>
        <w:widowControl/>
        <w:spacing w:before="0" w:after="60" w:line="331" w:lineRule="auto"/>
        <w:ind w:firstLine="397"/>
        <w:jc w:val="both"/>
      </w:pPr>
      <w:r>
        <w:rPr>
          <w:rFonts w:ascii="HY신명조" w:hAnsi="HY신명조" w:eastAsia="HY신명조"/>
          <w:color w:val="000000"/>
          <w:sz w:val="20"/>
        </w:rPr>
        <w:t>새 평가기의 차단 수는 A 7,904건, B 9,074건, C 9,258건, D 9,652건으로 기존 headline보다 각각 111건, 22건, 174건, 71건 낮았다. 이는 변이된 보호대상이 출력에 남았지만 기존 평가기가 성공으로 계산한 사례가 포함되었음을 보여준다.</w:t>
      </w:r>
    </w:p>
    <w:p>
      <w:pPr>
        <w:widowControl/>
        <w:spacing w:before="0" w:after="60" w:line="331" w:lineRule="auto"/>
        <w:ind w:firstLine="397"/>
        <w:jc w:val="both"/>
      </w:pPr>
      <w:r>
        <w:rPr>
          <w:rFonts w:ascii="HY신명조" w:hAnsi="HY신명조" w:eastAsia="HY신명조"/>
          <w:color w:val="000000"/>
          <w:sz w:val="20"/>
        </w:rPr>
        <w:t>기존 B 대 C McNemar 계산의 불일치 셀과 매우 작은 p-value는 계산 자체보다 종속변수의 타당성이 문제였다. 본 연구는 이를 대체하여 동일 원천값의 반복 변이를 원천 그룹 단위로 재표집하고 위험차의 부트스트랩 구간을 보고하였다. 다만 저장된 상용 제품 결과의 호출 설정과 시간 의존성은 그대로 남으므로 B와 C의 수치 차이를 제품의 보편적 우월성으로 일반화하지 않는다.</w:t>
      </w:r>
    </w:p>
    <w:p>
      <w:pPr>
        <w:pStyle w:val="Heading2"/>
        <w:keepNext/>
        <w:keepLines/>
      </w:pPr>
      <w:r>
        <w:rPr>
          <w:rFonts w:ascii="HY견고딕" w:hAnsi="HY견고딕" w:eastAsia="HY견고딕"/>
          <w:b/>
          <w:color w:val="000000"/>
          <w:sz w:val="24"/>
        </w:rPr>
        <w:t>5. Layer 0의 정상문장·법령·서비스 도메인 하드 네거티브 오탐</w:t>
      </w:r>
    </w:p>
    <w:p>
      <w:pPr>
        <w:widowControl/>
        <w:spacing w:before="0" w:after="60" w:line="331" w:lineRule="auto"/>
        <w:ind w:firstLine="397"/>
        <w:jc w:val="both"/>
      </w:pPr>
      <w:r>
        <w:rPr>
          <w:rFonts w:ascii="HY신명조" w:hAnsi="HY신명조" w:eastAsia="HY신명조"/>
          <w:color w:val="000000"/>
          <w:sz w:val="20"/>
        </w:rPr>
        <w:t>동일한 Layer 0 normalizer와 detector를 세 자료에 실행한 결과는 다음과 같다.</w:t>
      </w:r>
    </w:p>
    <w:p>
      <w:pPr>
        <w:spacing w:before="100" w:after="60"/>
        <w:jc w:val="center"/>
      </w:pPr>
      <w:r>
        <w:rPr>
          <w:rFonts w:ascii="HY견고딕" w:hAnsi="HY견고딕" w:eastAsia="HY견고딕"/>
          <w:b/>
          <w:color w:val="000000"/>
          <w:sz w:val="20"/>
        </w:rPr>
        <w:t>&lt;표 7&gt; Layer 0 하드 네거티브 감사</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2293"/>
        <w:gridCol w:w="1566"/>
        <w:gridCol w:w="1828"/>
        <w:gridCol w:w="1566"/>
        <w:gridCol w:w="2717"/>
      </w:tblGrid>
      <w:tr>
        <w:trPr>
          <w:tblHeader w:val="true"/>
          <w:cantSplit/>
        </w:trPr>
        <w:tc>
          <w:tcPr>
            <w:tcW w:type="dxa" w:w="2293"/>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평가자료</w:t>
            </w:r>
          </w:p>
        </w:tc>
        <w:tc>
          <w:tcPr>
            <w:tcW w:type="dxa" w:w="1566"/>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문서 단위</w:t>
            </w:r>
          </w:p>
        </w:tc>
        <w:tc>
          <w:tcPr>
            <w:tcW w:type="dxa" w:w="1828"/>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탐지·차단 후보</w:t>
            </w:r>
          </w:p>
        </w:tc>
        <w:tc>
          <w:tcPr>
            <w:tcW w:type="dxa" w:w="1566"/>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문서 비율</w:t>
            </w:r>
          </w:p>
        </w:tc>
        <w:tc>
          <w:tcPr>
            <w:tcW w:type="dxa" w:w="2717"/>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주요 탐지유형</w:t>
            </w:r>
          </w:p>
        </w:tc>
      </w:tr>
      <w:tr>
        <w:trPr>
          <w:cantSplit/>
        </w:trPr>
        <w:tc>
          <w:tcPr>
            <w:tcW w:type="dxa" w:w="229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합성 정상 한국어</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10,000</w:t>
            </w:r>
          </w:p>
        </w:tc>
        <w:tc>
          <w:tcPr>
            <w:tcW w:type="dxa" w:w="182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0</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0.00%</w:t>
            </w:r>
          </w:p>
        </w:tc>
        <w:tc>
          <w:tcPr>
            <w:tcW w:type="dxa" w:w="271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없음</w:t>
            </w:r>
          </w:p>
        </w:tc>
      </w:tr>
      <w:tr>
        <w:trPr>
          <w:cantSplit/>
        </w:trPr>
        <w:tc>
          <w:tcPr>
            <w:tcW w:type="dxa" w:w="229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명시적 hard-negative fixture</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4</w:t>
            </w:r>
          </w:p>
        </w:tc>
        <w:tc>
          <w:tcPr>
            <w:tcW w:type="dxa" w:w="182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25.00%</w:t>
            </w:r>
          </w:p>
        </w:tc>
        <w:tc>
          <w:tcPr>
            <w:tcW w:type="dxa" w:w="271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한국 전화번호 1</w:t>
            </w:r>
          </w:p>
        </w:tc>
      </w:tr>
      <w:tr>
        <w:trPr>
          <w:cantSplit/>
        </w:trPr>
        <w:tc>
          <w:tcPr>
            <w:tcW w:type="dxa" w:w="229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공식 법령 조문</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1,519</w:t>
            </w:r>
          </w:p>
        </w:tc>
        <w:tc>
          <w:tcPr>
            <w:tcW w:type="dxa" w:w="182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29</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1.91%</w:t>
            </w:r>
          </w:p>
        </w:tc>
        <w:tc>
          <w:tcPr>
            <w:tcW w:type="dxa" w:w="271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부서 18, 국적 11</w:t>
            </w:r>
          </w:p>
        </w:tc>
      </w:tr>
      <w:tr>
        <w:trPr>
          <w:cantSplit/>
        </w:trPr>
        <w:tc>
          <w:tcPr>
            <w:tcW w:type="dxa" w:w="229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공식 서비스 도메인 문서</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693</w:t>
            </w:r>
          </w:p>
        </w:tc>
        <w:tc>
          <w:tcPr>
            <w:tcW w:type="dxa" w:w="182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48</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6.93%</w:t>
            </w:r>
          </w:p>
        </w:tc>
        <w:tc>
          <w:tcPr>
            <w:tcW w:type="dxa" w:w="271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진단 41, 정신건강 7, 처방 4, 알레르기 1, 학점 5</w:t>
            </w:r>
          </w:p>
        </w:tc>
      </w:tr>
    </w:tbl>
    <w:p>
      <w:pPr>
        <w:spacing w:after="20"/>
      </w:pPr>
    </w:p>
    <w:p>
      <w:pPr>
        <w:widowControl/>
        <w:spacing w:before="0" w:after="60" w:line="331" w:lineRule="auto"/>
        <w:jc w:val="left"/>
      </w:pPr>
      <w:r>
        <w:rPr>
          <w:rFonts w:ascii="HY신명조" w:hAnsi="HY신명조" w:eastAsia="HY신명조"/>
          <w:color w:val="000000"/>
          <w:sz w:val="17"/>
        </w:rPr>
        <w:t xml:space="preserve">자료: 합성 정상문 자료와 </w:t>
      </w:r>
      <w:r>
        <w:rPr>
          <w:rFonts w:ascii="Consolas" w:hAnsi="Consolas" w:eastAsia="Consolas"/>
          <w:color w:val="000000"/>
          <w:sz w:val="16"/>
        </w:rPr>
        <w:t>audit_public_law_hard_negatives.py</w:t>
      </w:r>
      <w:r>
        <w:rPr>
          <w:rFonts w:ascii="HY신명조" w:hAnsi="HY신명조" w:eastAsia="HY신명조"/>
          <w:color w:val="000000"/>
          <w:sz w:val="17"/>
        </w:rPr>
        <w:t xml:space="preserve">, </w:t>
      </w:r>
      <w:r>
        <w:rPr>
          <w:rFonts w:ascii="Consolas" w:hAnsi="Consolas" w:eastAsia="Consolas"/>
          <w:color w:val="000000"/>
          <w:sz w:val="16"/>
        </w:rPr>
        <w:t>audit_public_service_hard_negatives.py</w:t>
      </w:r>
      <w:r>
        <w:rPr>
          <w:rFonts w:ascii="HY신명조" w:hAnsi="HY신명조" w:eastAsia="HY신명조"/>
          <w:color w:val="000000"/>
          <w:sz w:val="17"/>
        </w:rPr>
        <w:t xml:space="preserve"> 재계산.</w:t>
      </w:r>
    </w:p>
    <w:p>
      <w:pPr>
        <w:widowControl/>
        <w:spacing w:before="0" w:after="60" w:line="331" w:lineRule="auto"/>
        <w:ind w:firstLine="397"/>
        <w:jc w:val="both"/>
      </w:pPr>
      <w:r>
        <w:rPr>
          <w:rFonts w:ascii="HY신명조" w:hAnsi="HY신명조" w:eastAsia="HY신명조"/>
          <w:color w:val="000000"/>
          <w:sz w:val="20"/>
        </w:rPr>
        <w:t>공식 법령 조문에서는 개인정보 보호법 842개 중 2개, 인공지능기본법 382개 중 18개, 대한민국헌법 295개 중 9개가 탐지되었다. 실제 식별값이 아니라 일반 법률문맥의 “대한민국”을 국적으로, “연구소”를 부서로 탐지한 키워드 단독 판정이었다. 명시적 hard negative에서는 예시용 전화번호 한 건을 실제 전화번호처럼 탐지하였다. 현 구현은 threshold 1에서 탐지 하나만 있어도 입력을 차단하므로 이 사례들은 가용성을 해칠 수 있는 과잉차단 후보다.</w:t>
      </w:r>
    </w:p>
    <w:p>
      <w:pPr>
        <w:widowControl/>
        <w:spacing w:before="0" w:after="60" w:line="331" w:lineRule="auto"/>
        <w:ind w:firstLine="397"/>
        <w:jc w:val="both"/>
      </w:pPr>
      <w:r>
        <w:rPr>
          <w:rFonts w:ascii="HY신명조" w:hAnsi="HY신명조" w:eastAsia="HY신명조"/>
          <w:color w:val="000000"/>
          <w:sz w:val="20"/>
        </w:rPr>
        <w:t xml:space="preserve">서비스 도메인에서는 의료 265개 중 44개(16.60%)가 주로 </w:t>
      </w:r>
      <w:r>
        <w:rPr>
          <w:rFonts w:ascii="Consolas" w:hAnsi="Consolas" w:eastAsia="Consolas"/>
          <w:color w:val="000000"/>
          <w:sz w:val="19"/>
        </w:rPr>
        <w:t>diagnosis</w:t>
      </w:r>
      <w:r>
        <w:rPr>
          <w:rFonts w:ascii="HY신명조" w:hAnsi="HY신명조" w:eastAsia="HY신명조"/>
          <w:color w:val="000000"/>
          <w:sz w:val="20"/>
        </w:rPr>
        <w:t xml:space="preserve">로, 개발문서 255개 중 4개(1.57%)가 프로그래밍 예문의 A/B/C 표기를 </w:t>
      </w:r>
      <w:r>
        <w:rPr>
          <w:rFonts w:ascii="Consolas" w:hAnsi="Consolas" w:eastAsia="Consolas"/>
          <w:color w:val="000000"/>
          <w:sz w:val="19"/>
        </w:rPr>
        <w:t>course_grade</w:t>
      </w:r>
      <w:r>
        <w:rPr>
          <w:rFonts w:ascii="HY신명조" w:hAnsi="HY신명조" w:eastAsia="HY신명조"/>
          <w:color w:val="000000"/>
          <w:sz w:val="20"/>
        </w:rPr>
        <w:t>로 탐지하였다. 금융 29개와 AWS 지원문서 144개에서는 탐지가 없었다. 의료 일반교육에서 질환·처방 용어가 등장했다는 사실만으로 개인의 건강정보라고 판정한 결과는 값의 존재와 개인 귀속을 구분하지 못하는 현재 사전·패턴 구조의 취약점을 보여준다.</w:t>
      </w:r>
    </w:p>
    <w:p>
      <w:pPr>
        <w:widowControl/>
        <w:spacing w:before="0" w:after="60" w:line="331" w:lineRule="auto"/>
        <w:ind w:firstLine="397"/>
        <w:jc w:val="both"/>
      </w:pPr>
      <w:r>
        <w:rPr>
          <w:rFonts w:ascii="HY신명조" w:hAnsi="HY신명조" w:eastAsia="HY신명조"/>
          <w:color w:val="000000"/>
          <w:sz w:val="20"/>
        </w:rPr>
        <w:t>합성 정상문장 생성기는 직접적인 PII 유사패턴을 의도적으로 피하므로 0%는 회귀검사 결과일 뿐이다. 반대로 4건 fixture의 25%는 분모가 너무 작다. 법령 1.91%와 서비스 문서 6.93%는 실제 공개문서에서 어휘적 과잉차단이 존재하고 도메인별 차이가 크다는 증거지만, 확률표본이 아니고 48건의 2인 독립 판정도 끝나지 않았으므로 실서비스 오탐률로 일반화할 수 없다. 네 결과를 함께 보면 Layer 0의 추가 차단 효과와 키워드 탐지의 문맥 한계를 동시에 보고해야 한다.</w:t>
      </w:r>
    </w:p>
    <w:p>
      <w:pPr>
        <w:pStyle w:val="Heading2"/>
        <w:keepNext/>
        <w:keepLines/>
      </w:pPr>
      <w:r>
        <w:rPr>
          <w:rFonts w:ascii="HY견고딕" w:hAnsi="HY견고딕" w:eastAsia="HY견고딕"/>
          <w:b/>
          <w:color w:val="000000"/>
          <w:sz w:val="24"/>
        </w:rPr>
        <w:t>6. 표본 파일과 생성 경로의 충돌</w:t>
      </w:r>
    </w:p>
    <w:p>
      <w:pPr>
        <w:widowControl/>
        <w:spacing w:before="0" w:after="60" w:line="331" w:lineRule="auto"/>
        <w:ind w:firstLine="397"/>
        <w:jc w:val="both"/>
      </w:pPr>
      <w:r>
        <w:rPr>
          <w:rFonts w:ascii="HY신명조" w:hAnsi="HY신명조" w:eastAsia="HY신명조"/>
          <w:color w:val="000000"/>
          <w:sz w:val="20"/>
        </w:rPr>
        <w:t>저장소에는 이름이 같은 두 표본 파일이 있다.</w:t>
      </w:r>
    </w:p>
    <w:p>
      <w:pPr>
        <w:spacing w:before="100" w:after="60"/>
        <w:jc w:val="center"/>
      </w:pPr>
      <w:r>
        <w:rPr>
          <w:rFonts w:ascii="HY견고딕" w:hAnsi="HY견고딕" w:eastAsia="HY견고딕"/>
          <w:b/>
          <w:color w:val="000000"/>
          <w:sz w:val="20"/>
        </w:rPr>
        <w:t>&lt;표 8&gt; 동명 평가자료 파일의 충돌</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4140"/>
        <w:gridCol w:w="2588"/>
        <w:gridCol w:w="3242"/>
      </w:tblGrid>
      <w:tr>
        <w:trPr>
          <w:tblHeader w:val="true"/>
          <w:cantSplit/>
        </w:trPr>
        <w:tc>
          <w:tcPr>
            <w:tcW w:type="dxa" w:w="4140"/>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경로</w:t>
            </w:r>
          </w:p>
        </w:tc>
        <w:tc>
          <w:tcPr>
            <w:tcW w:type="dxa" w:w="2588"/>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실제 payload</w:t>
            </w:r>
          </w:p>
        </w:tc>
        <w:tc>
          <w:tcPr>
            <w:tcW w:type="dxa" w:w="3242"/>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메타데이터상 PII 유형</w:t>
            </w:r>
          </w:p>
        </w:tc>
      </w:tr>
      <w:tr>
        <w:trPr>
          <w:cantSplit/>
        </w:trPr>
        <w:tc>
          <w:tcPr>
            <w:tcW w:type="dxa" w:w="4140"/>
            <w:vAlign w:val="center"/>
            <w:tcMar>
              <w:top w:w="70" w:type="dxa"/>
              <w:start w:w="100" w:type="dxa"/>
              <w:bottom w:w="70" w:type="dxa"/>
              <w:end w:w="100" w:type="dxa"/>
            </w:tcMar>
          </w:tcPr>
          <w:p>
            <w:pPr>
              <w:spacing w:after="0" w:line="252" w:lineRule="auto"/>
              <w:jc w:val="left"/>
            </w:pPr>
            <w:r>
              <w:rPr>
                <w:rFonts w:ascii="Consolas" w:hAnsi="Consolas" w:eastAsia="Consolas"/>
                <w:color w:val="000000"/>
                <w:sz w:val="16"/>
              </w:rPr>
              <w:t>PII/results/data/payloads_10k.json</w:t>
            </w:r>
          </w:p>
        </w:tc>
        <w:tc>
          <w:tcPr>
            <w:tcW w:type="dxa" w:w="258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10,000</w:t>
            </w:r>
          </w:p>
        </w:tc>
        <w:tc>
          <w:tcPr>
            <w:tcW w:type="dxa" w:w="3242"/>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95</w:t>
            </w:r>
          </w:p>
        </w:tc>
      </w:tr>
      <w:tr>
        <w:trPr>
          <w:cantSplit/>
        </w:trPr>
        <w:tc>
          <w:tcPr>
            <w:tcW w:type="dxa" w:w="4140"/>
            <w:vAlign w:val="center"/>
            <w:tcMar>
              <w:top w:w="70" w:type="dxa"/>
              <w:start w:w="100" w:type="dxa"/>
              <w:bottom w:w="70" w:type="dxa"/>
              <w:end w:w="100" w:type="dxa"/>
            </w:tcMar>
          </w:tcPr>
          <w:p>
            <w:pPr>
              <w:spacing w:after="0" w:line="252" w:lineRule="auto"/>
              <w:jc w:val="left"/>
            </w:pPr>
            <w:r>
              <w:rPr>
                <w:rFonts w:ascii="Consolas" w:hAnsi="Consolas" w:eastAsia="Consolas"/>
                <w:color w:val="000000"/>
                <w:sz w:val="16"/>
              </w:rPr>
              <w:t>PII/evaluation/payloads_10k.json</w:t>
            </w:r>
          </w:p>
        </w:tc>
        <w:tc>
          <w:tcPr>
            <w:tcW w:type="dxa" w:w="258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3,538</w:t>
            </w:r>
          </w:p>
        </w:tc>
        <w:tc>
          <w:tcPr>
            <w:tcW w:type="dxa" w:w="3242"/>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91</w:t>
            </w:r>
          </w:p>
        </w:tc>
      </w:tr>
    </w:tbl>
    <w:p>
      <w:pPr>
        <w:spacing w:after="20"/>
      </w:pPr>
    </w:p>
    <w:p>
      <w:pPr>
        <w:widowControl/>
        <w:spacing w:before="0" w:after="60" w:line="331" w:lineRule="auto"/>
        <w:jc w:val="left"/>
      </w:pPr>
      <w:r>
        <w:rPr>
          <w:rFonts w:ascii="HY신명조" w:hAnsi="HY신명조" w:eastAsia="HY신명조"/>
          <w:color w:val="000000"/>
          <w:sz w:val="17"/>
        </w:rPr>
        <w:t>자료: 저장소에 포함된 두 JSON 파일의 실제 전수 집계.</w:t>
      </w:r>
    </w:p>
    <w:p>
      <w:pPr>
        <w:widowControl/>
        <w:spacing w:before="0" w:after="60" w:line="331" w:lineRule="auto"/>
        <w:ind w:firstLine="397"/>
        <w:jc w:val="both"/>
      </w:pPr>
      <w:r>
        <w:rPr>
          <w:rFonts w:ascii="Consolas" w:hAnsi="Consolas" w:eastAsia="Consolas"/>
          <w:color w:val="000000"/>
          <w:sz w:val="19"/>
        </w:rPr>
        <w:t>Makefile</w:t>
      </w:r>
      <w:r>
        <w:rPr>
          <w:rFonts w:ascii="HY신명조" w:hAnsi="HY신명조" w:eastAsia="HY신명조"/>
          <w:color w:val="000000"/>
          <w:sz w:val="20"/>
        </w:rPr>
        <w:t xml:space="preserve">의 </w:t>
      </w:r>
      <w:r>
        <w:rPr>
          <w:rFonts w:ascii="Consolas" w:hAnsi="Consolas" w:eastAsia="Consolas"/>
          <w:color w:val="000000"/>
          <w:sz w:val="19"/>
        </w:rPr>
        <w:t>sample</w:t>
      </w:r>
      <w:r>
        <w:rPr>
          <w:rFonts w:ascii="HY신명조" w:hAnsi="HY신명조" w:eastAsia="HY신명조"/>
          <w:color w:val="000000"/>
          <w:sz w:val="20"/>
        </w:rPr>
        <w:t xml:space="preserve"> target은 fuzzer를 </w:t>
      </w:r>
      <w:r>
        <w:rPr>
          <w:rFonts w:ascii="Consolas" w:hAnsi="Consolas" w:eastAsia="Consolas"/>
          <w:color w:val="000000"/>
          <w:sz w:val="19"/>
        </w:rPr>
        <w:t>--count 3</w:t>
      </w:r>
      <w:r>
        <w:rPr>
          <w:rFonts w:ascii="HY신명조" w:hAnsi="HY신명조" w:eastAsia="HY신명조"/>
          <w:color w:val="000000"/>
          <w:sz w:val="20"/>
        </w:rPr>
        <w:t xml:space="preserve">으로 실행한 뒤 </w:t>
      </w:r>
      <w:r>
        <w:rPr>
          <w:rFonts w:ascii="Consolas" w:hAnsi="Consolas" w:eastAsia="Consolas"/>
          <w:color w:val="000000"/>
          <w:sz w:val="19"/>
        </w:rPr>
        <w:t>sample_10k.py</w:t>
      </w:r>
      <w:r>
        <w:rPr>
          <w:rFonts w:ascii="HY신명조" w:hAnsi="HY신명조" w:eastAsia="HY신명조"/>
          <w:color w:val="000000"/>
          <w:sz w:val="20"/>
        </w:rPr>
        <w:t>를 호출한다. 그러나 입력 집합이 3,538건이면 표본 스크립트는 존재하지 않는 행을 만들어내지 않으므로 결과도 3,538건에 그친다. 파일명만으로는 어느 자료가 논문의 10,000건인지 구분하기 어렵고, 현재 명령으로 저장 결과를 재생성할 수도 없다.</w:t>
      </w:r>
    </w:p>
    <w:p>
      <w:pPr>
        <w:pStyle w:val="Heading2"/>
        <w:keepNext/>
        <w:keepLines/>
      </w:pPr>
      <w:r>
        <w:rPr>
          <w:rFonts w:ascii="HY견고딕" w:hAnsi="HY견고딕" w:eastAsia="HY견고딕"/>
          <w:b/>
          <w:color w:val="000000"/>
          <w:sz w:val="24"/>
        </w:rPr>
        <w:t>7. 필수 코퍼스 누락과 테스트 실패</w:t>
      </w:r>
    </w:p>
    <w:p>
      <w:pPr>
        <w:widowControl/>
        <w:spacing w:before="0" w:after="60" w:line="331" w:lineRule="auto"/>
        <w:ind w:firstLine="397"/>
        <w:jc w:val="both"/>
      </w:pPr>
      <w:r>
        <w:rPr>
          <w:rFonts w:ascii="HY신명조" w:hAnsi="HY신명조" w:eastAsia="HY신명조"/>
          <w:color w:val="000000"/>
          <w:sz w:val="20"/>
        </w:rPr>
        <w:t xml:space="preserve">fuzzer v4의 기본 정책은 </w:t>
      </w:r>
      <w:r>
        <w:rPr>
          <w:rFonts w:ascii="Consolas" w:hAnsi="Consolas" w:eastAsia="Consolas"/>
          <w:color w:val="000000"/>
          <w:sz w:val="19"/>
        </w:rPr>
        <w:t>corpus_policy=required</w:t>
      </w:r>
      <w:r>
        <w:rPr>
          <w:rFonts w:ascii="HY신명조" w:hAnsi="HY신명조" w:eastAsia="HY신명조"/>
          <w:color w:val="000000"/>
          <w:sz w:val="20"/>
        </w:rPr>
        <w:t>이며 다음 파일을 요구한다.</w:t>
      </w:r>
    </w:p>
    <w:p>
      <w:pPr>
        <w:pStyle w:val="ListBullet"/>
        <w:widowControl/>
        <w:spacing w:before="0" w:after="60" w:line="331" w:lineRule="auto"/>
        <w:jc w:val="both"/>
      </w:pPr>
      <w:r>
        <w:rPr>
          <w:rFonts w:ascii="Consolas" w:hAnsi="Consolas" w:eastAsia="Consolas"/>
          <w:color w:val="000000"/>
          <w:sz w:val="19"/>
        </w:rPr>
        <w:t>PII/fuzzer/data/tagged_korean_names.jsonl</w:t>
      </w:r>
    </w:p>
    <w:p>
      <w:pPr>
        <w:pStyle w:val="ListBullet"/>
        <w:widowControl/>
        <w:spacing w:before="0" w:after="60" w:line="331" w:lineRule="auto"/>
        <w:jc w:val="both"/>
      </w:pPr>
      <w:r>
        <w:rPr>
          <w:rFonts w:ascii="Consolas" w:hAnsi="Consolas" w:eastAsia="Consolas"/>
          <w:color w:val="000000"/>
          <w:sz w:val="19"/>
        </w:rPr>
        <w:t>PII/fuzzer/data/tagged_korean_addresses.jsonl</w:t>
      </w:r>
    </w:p>
    <w:p>
      <w:pPr>
        <w:widowControl/>
        <w:spacing w:before="0" w:after="60" w:line="331" w:lineRule="auto"/>
        <w:ind w:firstLine="397"/>
        <w:jc w:val="both"/>
      </w:pPr>
      <w:r>
        <w:rPr>
          <w:rFonts w:ascii="HY신명조" w:hAnsi="HY신명조" w:eastAsia="HY신명조"/>
          <w:color w:val="000000"/>
          <w:sz w:val="20"/>
        </w:rPr>
        <w:t xml:space="preserve">두 파일은 확인한 4개 저장소와 110개 원격 ref 어디에도 없었다. fuzzer는 기본 정책에서 파일이 없으면 </w:t>
      </w:r>
      <w:r>
        <w:rPr>
          <w:rFonts w:ascii="Consolas" w:hAnsi="Consolas" w:eastAsia="Consolas"/>
          <w:color w:val="000000"/>
          <w:sz w:val="19"/>
        </w:rPr>
        <w:t>RuntimeError</w:t>
      </w:r>
      <w:r>
        <w:rPr>
          <w:rFonts w:ascii="HY신명조" w:hAnsi="HY신명조" w:eastAsia="HY신명조"/>
          <w:color w:val="000000"/>
          <w:sz w:val="20"/>
        </w:rPr>
        <w:t xml:space="preserve">를 발생시킨다. </w:t>
      </w:r>
      <w:r>
        <w:rPr>
          <w:rFonts w:ascii="Consolas" w:hAnsi="Consolas" w:eastAsia="Consolas"/>
          <w:color w:val="000000"/>
          <w:sz w:val="19"/>
        </w:rPr>
        <w:t>Makefile</w:t>
      </w:r>
      <w:r>
        <w:rPr>
          <w:rFonts w:ascii="HY신명조" w:hAnsi="HY신명조" w:eastAsia="HY신명조"/>
          <w:color w:val="000000"/>
          <w:sz w:val="20"/>
        </w:rPr>
        <w:t xml:space="preserve">의 </w:t>
      </w:r>
      <w:r>
        <w:rPr>
          <w:rFonts w:ascii="Consolas" w:hAnsi="Consolas" w:eastAsia="Consolas"/>
          <w:color w:val="000000"/>
          <w:sz w:val="19"/>
        </w:rPr>
        <w:t>sample</w:t>
      </w:r>
      <w:r>
        <w:rPr>
          <w:rFonts w:ascii="HY신명조" w:hAnsi="HY신명조" w:eastAsia="HY신명조"/>
          <w:color w:val="000000"/>
          <w:sz w:val="20"/>
        </w:rPr>
        <w:t xml:space="preserve"> target도 두 코퍼스를 생성하지 않는다.</w:t>
      </w:r>
    </w:p>
    <w:p>
      <w:pPr>
        <w:widowControl/>
        <w:spacing w:before="0" w:after="60" w:line="331" w:lineRule="auto"/>
        <w:ind w:firstLine="397"/>
        <w:jc w:val="both"/>
      </w:pPr>
      <w:r>
        <w:rPr>
          <w:rFonts w:ascii="HY신명조" w:hAnsi="HY신명조" w:eastAsia="HY신명조"/>
          <w:color w:val="000000"/>
          <w:sz w:val="20"/>
        </w:rPr>
        <w:t>최신 공개 코드를 격리 환경에서 실행한 결과 Layer 0·fuzzer 테스트는 123건 통과, 8건 실패였다. 실패한 8건은 account, medical record, prescription, transaction의 입력·출력 테스트였으며 모두 이름 코퍼스 부재와 연결되었다. 그러므로 “단일 명령으로 완전 재현 가능”하다는 기존 서술은 현재 저장소 상태와 맞지 않는다.</w:t>
      </w:r>
    </w:p>
    <w:p>
      <w:pPr>
        <w:pStyle w:val="Heading2"/>
        <w:keepNext/>
        <w:keepLines/>
      </w:pPr>
      <w:r>
        <w:rPr>
          <w:rFonts w:ascii="HY견고딕" w:hAnsi="HY견고딕" w:eastAsia="HY견고딕"/>
          <w:b/>
          <w:color w:val="000000"/>
          <w:sz w:val="24"/>
        </w:rPr>
        <w:t>8. 체크섬과 데이터 유효성</w:t>
      </w:r>
    </w:p>
    <w:p>
      <w:pPr>
        <w:widowControl/>
        <w:spacing w:before="0" w:after="60" w:line="331" w:lineRule="auto"/>
        <w:ind w:firstLine="397"/>
        <w:jc w:val="both"/>
      </w:pPr>
      <w:r>
        <w:rPr>
          <w:rFonts w:ascii="HY신명조" w:hAnsi="HY신명조" w:eastAsia="HY신명조"/>
          <w:color w:val="000000"/>
          <w:sz w:val="20"/>
        </w:rPr>
        <w:t xml:space="preserve">10,000건 데이터에는 VIN 유형 72개 행, 고유 원본값 10개가 포함되어 있고 모두 </w:t>
      </w:r>
      <w:r>
        <w:rPr>
          <w:rFonts w:ascii="Consolas" w:hAnsi="Consolas" w:eastAsia="Consolas"/>
          <w:color w:val="000000"/>
          <w:sz w:val="19"/>
        </w:rPr>
        <w:t>rule_valid: true</w:t>
      </w:r>
      <w:r>
        <w:rPr>
          <w:rFonts w:ascii="HY신명조" w:hAnsi="HY신명조" w:eastAsia="HY신명조"/>
          <w:color w:val="000000"/>
          <w:sz w:val="20"/>
        </w:rPr>
        <w:t>로 표기되어 있다. 그러나 NHTSA/49 CFR Part 565의 제9자리 체크디지트 방식으로 전수 계산한 결과 72개 행 모두 실패하였다. 동일한 결과가 서로 독립된 Python과 PowerShell 구현에서 확인되었다.</w:t>
      </w:r>
    </w:p>
    <w:p>
      <w:pPr>
        <w:widowControl/>
        <w:spacing w:before="0" w:after="60" w:line="331" w:lineRule="auto"/>
        <w:ind w:firstLine="397"/>
        <w:jc w:val="both"/>
      </w:pPr>
      <w:r>
        <w:rPr>
          <w:rFonts w:ascii="HY신명조" w:hAnsi="HY신명조" w:eastAsia="HY신명조"/>
          <w:color w:val="000000"/>
          <w:sz w:val="20"/>
        </w:rPr>
        <w:t>이는 “모든 합성 식별자가 유효하다”는 데이터 생성 원칙과 충돌한다. 체크섬 오류가 방어구성 간 상대 비교에 어떤 방향의 편향을 주는지는 이 감사만으로 확정할 수 없다. 다만 현실적으로 존재 가능한 형식과 무작위 문자열을 탐지하는 난이도는 다를 수 있으므로, validity-first라는 명칭과 외적타당도 주장에는 직접적인 영향을 준다.</w:t>
      </w:r>
    </w:p>
    <w:p>
      <w:pPr>
        <w:pStyle w:val="Heading2"/>
        <w:keepNext/>
        <w:keepLines/>
      </w:pPr>
      <w:r>
        <w:rPr>
          <w:rFonts w:ascii="HY견고딕" w:hAnsi="HY견고딕" w:eastAsia="HY견고딕"/>
          <w:b/>
          <w:color w:val="000000"/>
          <w:sz w:val="24"/>
        </w:rPr>
        <w:t>9. 탐지기 수, 지연시간 및 비용</w:t>
      </w:r>
    </w:p>
    <w:p>
      <w:pPr>
        <w:widowControl/>
        <w:spacing w:before="0" w:after="60" w:line="331" w:lineRule="auto"/>
        <w:ind w:firstLine="397"/>
        <w:jc w:val="both"/>
      </w:pPr>
      <w:r>
        <w:rPr>
          <w:rFonts w:ascii="HY신명조" w:hAnsi="HY신명조" w:eastAsia="HY신명조"/>
          <w:color w:val="000000"/>
          <w:sz w:val="20"/>
        </w:rPr>
        <w:t>코드의 AST를 기준으로 Layer 0의 정규식 패턴은 45개이고 키워드 카테고리는 22개다. 기존 문서의 “42개 정규식”과 일치하지 않는다.</w:t>
      </w:r>
    </w:p>
    <w:p>
      <w:pPr>
        <w:widowControl/>
        <w:spacing w:before="0" w:after="60" w:line="331" w:lineRule="auto"/>
        <w:ind w:firstLine="397"/>
        <w:jc w:val="both"/>
      </w:pPr>
      <w:r>
        <w:rPr>
          <w:rFonts w:ascii="HY신명조" w:hAnsi="HY신명조" w:eastAsia="HY신명조"/>
          <w:color w:val="000000"/>
          <w:sz w:val="20"/>
        </w:rPr>
        <w:t>저장된 레이어별 지연시간 10,000건을 재계산한 결과는 다음과 같다.</w:t>
      </w:r>
    </w:p>
    <w:p>
      <w:pPr>
        <w:spacing w:before="100" w:after="60"/>
        <w:jc w:val="center"/>
      </w:pPr>
      <w:r>
        <w:rPr>
          <w:rFonts w:ascii="HY견고딕" w:hAnsi="HY견고딕" w:eastAsia="HY견고딕"/>
          <w:b/>
          <w:color w:val="000000"/>
          <w:sz w:val="20"/>
        </w:rPr>
        <w:t>&lt;표 9&gt; Layer 0와 LLM 판별기의 지연시간</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655"/>
        <w:gridCol w:w="1693"/>
        <w:gridCol w:w="1655"/>
        <w:gridCol w:w="1655"/>
        <w:gridCol w:w="1655"/>
        <w:gridCol w:w="1657"/>
      </w:tblGrid>
      <w:tr>
        <w:trPr>
          <w:tblHeader w:val="true"/>
          <w:cantSplit/>
        </w:trPr>
        <w:tc>
          <w:tcPr>
            <w:tcW w:type="dxa" w:w="165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레이어</w:t>
            </w:r>
          </w:p>
        </w:tc>
        <w:tc>
          <w:tcPr>
            <w:tcW w:type="dxa" w:w="1693"/>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평균</w:t>
            </w:r>
          </w:p>
        </w:tc>
        <w:tc>
          <w:tcPr>
            <w:tcW w:type="dxa" w:w="165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중앙값</w:t>
            </w:r>
          </w:p>
        </w:tc>
        <w:tc>
          <w:tcPr>
            <w:tcW w:type="dxa" w:w="165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p99</w:t>
            </w:r>
          </w:p>
        </w:tc>
        <w:tc>
          <w:tcPr>
            <w:tcW w:type="dxa" w:w="165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최소</w:t>
            </w:r>
          </w:p>
        </w:tc>
        <w:tc>
          <w:tcPr>
            <w:tcW w:type="dxa" w:w="1657"/>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최대</w:t>
            </w:r>
          </w:p>
        </w:tc>
      </w:tr>
      <w:tr>
        <w:trPr>
          <w:cantSplit/>
        </w:trPr>
        <w:tc>
          <w:tcPr>
            <w:tcW w:type="dxa" w:w="165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L0</w:t>
            </w:r>
          </w:p>
        </w:tc>
        <w:tc>
          <w:tcPr>
            <w:tcW w:type="dxa" w:w="1693"/>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52.21ms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48ms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135ms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8ms</w:t>
            </w:r>
          </w:p>
        </w:tc>
        <w:tc>
          <w:tcPr>
            <w:tcW w:type="dxa" w:w="165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959ms</w:t>
            </w:r>
          </w:p>
        </w:tc>
      </w:tr>
      <w:tr>
        <w:trPr>
          <w:cantSplit/>
        </w:trPr>
        <w:tc>
          <w:tcPr>
            <w:tcW w:type="dxa" w:w="165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L4</w:t>
            </w:r>
          </w:p>
        </w:tc>
        <w:tc>
          <w:tcPr>
            <w:tcW w:type="dxa" w:w="1693"/>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1542.09ms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1257ms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4164ms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688ms</w:t>
            </w:r>
          </w:p>
        </w:tc>
        <w:tc>
          <w:tcPr>
            <w:tcW w:type="dxa" w:w="165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7530ms</w:t>
            </w:r>
          </w:p>
        </w:tc>
      </w:tr>
    </w:tbl>
    <w:p>
      <w:pPr>
        <w:spacing w:after="20"/>
      </w:pPr>
    </w:p>
    <w:p>
      <w:pPr>
        <w:widowControl/>
        <w:spacing w:before="0" w:after="60" w:line="331" w:lineRule="auto"/>
        <w:jc w:val="left"/>
      </w:pPr>
      <w:r>
        <w:rPr>
          <w:rFonts w:ascii="HY신명조" w:hAnsi="HY신명조" w:eastAsia="HY신명조"/>
          <w:color w:val="000000"/>
          <w:sz w:val="17"/>
        </w:rPr>
        <w:t>자료: 저장된 레이어별 지연시간 10,000건 전수 집계.</w:t>
      </w:r>
    </w:p>
    <w:p>
      <w:pPr>
        <w:widowControl/>
        <w:spacing w:before="0" w:after="60" w:line="331" w:lineRule="auto"/>
        <w:ind w:firstLine="397"/>
        <w:jc w:val="both"/>
      </w:pPr>
      <w:r>
        <w:rPr>
          <w:rFonts w:ascii="HY신명조" w:hAnsi="HY신명조" w:eastAsia="HY신명조"/>
          <w:color w:val="000000"/>
          <w:sz w:val="20"/>
        </w:rPr>
        <w:t xml:space="preserve">평균의 단순 비는 약 29.54배다. 기존 초록과 결론의 “Layer 0 평균 10ms”, “L4가 약 220배”는 같은 원시자료에서 재현되지 않는다. 또한 구성 C에는 L4가 포함되지 않으므로 </w:t>
      </w:r>
      <w:r>
        <w:rPr>
          <w:rFonts w:ascii="Consolas" w:hAnsi="Consolas" w:eastAsia="Consolas"/>
          <w:color w:val="000000"/>
          <w:sz w:val="19"/>
        </w:rPr>
        <w:t>$0.08</w:t>
      </w:r>
      <w:r>
        <w:rPr>
          <w:rFonts w:ascii="HY신명조" w:hAnsi="HY신명조" w:eastAsia="HY신명조"/>
          <w:color w:val="000000"/>
          <w:sz w:val="20"/>
        </w:rPr>
        <w:t xml:space="preserve">을 C의 L4 비용으로 귀속할 수 없다. </w:t>
      </w:r>
      <w:r>
        <w:rPr>
          <w:rFonts w:ascii="Consolas" w:hAnsi="Consolas" w:eastAsia="Consolas"/>
          <w:color w:val="000000"/>
          <w:sz w:val="19"/>
        </w:rPr>
        <w:t>$0.08</w:t>
      </w:r>
      <w:r>
        <w:rPr>
          <w:rFonts w:ascii="HY신명조" w:hAnsi="HY신명조" w:eastAsia="HY신명조"/>
          <w:color w:val="000000"/>
          <w:sz w:val="20"/>
        </w:rPr>
        <w:t>은 약 568회의 L4 호출을 기록한 Smart Cascade 설명과 더 잘 대응하지만, 최종 비용표는 실제 호출 수, 모델 단가, 토큰 수, 캐시, 평가일과 환율을 이용해 다시 만들어야 한다.</w:t>
      </w:r>
    </w:p>
    <w:p>
      <w:pPr>
        <w:pStyle w:val="Heading2"/>
        <w:keepNext/>
        <w:keepLines/>
      </w:pPr>
      <w:r>
        <w:rPr>
          <w:rFonts w:ascii="HY견고딕" w:hAnsi="HY견고딕" w:eastAsia="HY견고딕"/>
          <w:b/>
          <w:color w:val="000000"/>
          <w:sz w:val="24"/>
        </w:rPr>
        <w:t>10. 제품·법·이론 주장 검증</w:t>
      </w:r>
    </w:p>
    <w:p>
      <w:pPr>
        <w:widowControl/>
        <w:spacing w:before="0" w:after="60" w:line="331" w:lineRule="auto"/>
        <w:ind w:firstLine="397"/>
        <w:jc w:val="both"/>
      </w:pPr>
      <w:r>
        <w:rPr>
          <w:rFonts w:ascii="HY신명조" w:hAnsi="HY신명조" w:eastAsia="HY신명조"/>
          <w:color w:val="000000"/>
          <w:sz w:val="20"/>
        </w:rPr>
        <w:t>공식 AWS 문서에서 Bedrock Guardrails의 sensitive information filter는 한국어를 “Optimized and supported”로 제시한다. 따라서 저장 결과가 낮게 나타나더라도 “Bedrock은 한국어 PII를 지원하지 않는다”는 결론은 성립하지 않는다. 실험 설정과 제품 일반 능력을 분리해야 한다.</w:t>
      </w:r>
    </w:p>
    <w:p>
      <w:pPr>
        <w:widowControl/>
        <w:spacing w:before="0" w:after="60" w:line="331" w:lineRule="auto"/>
        <w:ind w:firstLine="397"/>
        <w:jc w:val="both"/>
      </w:pPr>
      <w:r>
        <w:rPr>
          <w:rFonts w:ascii="HY신명조" w:hAnsi="HY신명조" w:eastAsia="HY신명조"/>
          <w:color w:val="000000"/>
          <w:sz w:val="20"/>
        </w:rPr>
        <w:t xml:space="preserve">법조문 검증에서는 </w:t>
      </w:r>
      <w:r>
        <w:rPr>
          <w:rFonts w:ascii="Consolas" w:hAnsi="Consolas" w:eastAsia="Consolas"/>
          <w:color w:val="000000"/>
          <w:sz w:val="19"/>
        </w:rPr>
        <w:t>§71④</w:t>
      </w:r>
      <w:r>
        <w:rPr>
          <w:rFonts w:ascii="HY신명조" w:hAnsi="HY신명조" w:eastAsia="HY신명조"/>
          <w:color w:val="000000"/>
          <w:sz w:val="20"/>
        </w:rPr>
        <w:t>가 조문 항을 뜻하는 잘못된 표기임을 확인하였다. 정확한 인용은 제71조 제4호다. 인공지능기본법 제33조를 위험관리 의무로 설명한 부분도 제34조로 수정해야 한다. 법률 제21311호의 일부 개정 조문은 2026년 7월 21일 시행되지만, 본문이 인용한 제31조·제33조·제34조·제35조·제43조의 조문별 시행일은 모두 2026년 1월 22일이다. “제재 최소 1년 유예”는 근거를 확인하지 못했다.</w:t>
      </w:r>
    </w:p>
    <w:p>
      <w:pPr>
        <w:widowControl/>
        <w:spacing w:before="0" w:after="60" w:line="331" w:lineRule="auto"/>
        <w:ind w:firstLine="397"/>
        <w:jc w:val="both"/>
      </w:pPr>
      <w:r>
        <w:rPr>
          <w:rFonts w:ascii="HY신명조" w:hAnsi="HY신명조" w:eastAsia="HY신명조"/>
          <w:color w:val="000000"/>
          <w:sz w:val="20"/>
        </w:rPr>
        <w:t>범죄학 핵심 문헌은 실재하지만, 문헌의 존재가 조작화를 정당화하지는 않는다. 특히 “변이 수준=동기화된 범죄자”, “잔존 우회=전이”는 측정 대상과 이론 개념이 일치하지 않는다. 현재 증거로 가능한 가장 강한 표현은 “일상활동이론의 보호자 개념을 활용한 가드레일 역량 감사”다.</w:t>
      </w:r>
    </w:p>
    <w:p>
      <w:pPr>
        <w:pStyle w:val="Heading1"/>
        <w:keepNext/>
        <w:keepLines/>
      </w:pPr>
      <w:r>
        <w:rPr>
          <w:rFonts w:ascii="HY견고딕" w:hAnsi="HY견고딕" w:eastAsia="HY견고딕"/>
          <w:b/>
          <w:color w:val="000000"/>
          <w:sz w:val="28"/>
        </w:rPr>
        <w:t>V. 논의</w:t>
      </w:r>
    </w:p>
    <w:p>
      <w:pPr>
        <w:pStyle w:val="Heading2"/>
        <w:keepNext/>
        <w:keepLines/>
      </w:pPr>
      <w:r>
        <w:rPr>
          <w:rFonts w:ascii="HY견고딕" w:hAnsi="HY견고딕" w:eastAsia="HY견고딕"/>
          <w:b/>
          <w:color w:val="000000"/>
          <w:sz w:val="24"/>
        </w:rPr>
        <w:t>1. Layer 0가 필요한 이유</w:t>
      </w:r>
    </w:p>
    <w:p>
      <w:pPr>
        <w:widowControl/>
        <w:spacing w:before="0" w:after="60" w:line="331" w:lineRule="auto"/>
        <w:ind w:firstLine="397"/>
        <w:jc w:val="both"/>
      </w:pPr>
      <w:r>
        <w:rPr>
          <w:rFonts w:ascii="HY신명조" w:hAnsi="HY신명조" w:eastAsia="HY신명조"/>
          <w:color w:val="000000"/>
          <w:sz w:val="20"/>
        </w:rPr>
        <w:t>변이 후 보호대상을 복원한 9,964건에서도 기존 3계층은 2,060건을 차단하지 못했다. 동일 원천값의 한국어 사례에서는 미차단율이 원형 24.47%에서 변이 32.28%로 증가했고, 보호대상 값 자체가 바뀐 쌍에서는 9.12%에서 18.75%로 증가하였다. 이는 전각·동형문자·결합문자·soft hyphen·한글 숫자처럼 PII 자체를 바꾸는 변형이 후속 계층의 가시성을 낮출 수 있음을 보여준다.</w:t>
      </w:r>
    </w:p>
    <w:p>
      <w:pPr>
        <w:widowControl/>
        <w:spacing w:before="0" w:after="60" w:line="331" w:lineRule="auto"/>
        <w:ind w:firstLine="397"/>
        <w:jc w:val="both"/>
      </w:pPr>
      <w:r>
        <w:rPr>
          <w:rFonts w:ascii="HY신명조" w:hAnsi="HY신명조" w:eastAsia="HY신명조"/>
          <w:color w:val="000000"/>
          <w:sz w:val="20"/>
        </w:rPr>
        <w:t xml:space="preserve">Layer 0의 역할은 상용 가드레일을 대체하는 것이 아니다. 후속 계층이 처리하기 전에 한국어 입력을 정규화하고, 한국어 문맥 키워드와 명시적 패턴을 이용해 고위험 입력을 차단하는 것이다. 추가 차단 1,354건 중 1,353건이 Layer 0의 명시적 </w:t>
      </w:r>
      <w:r>
        <w:rPr>
          <w:rFonts w:ascii="Consolas" w:hAnsi="Consolas" w:eastAsia="Consolas"/>
          <w:color w:val="000000"/>
          <w:sz w:val="19"/>
        </w:rPr>
        <w:t>BLOCK/[BLOCKED]</w:t>
      </w:r>
      <w:r>
        <w:rPr>
          <w:rFonts w:ascii="HY신명조" w:hAnsi="HY신명조" w:eastAsia="HY신명조"/>
          <w:color w:val="000000"/>
          <w:sz w:val="20"/>
        </w:rPr>
        <w:t xml:space="preserve"> 결과였다는 점은 이 계층이 단순한 출력 후처리가 아니라 독립된 첫 방어선으로 작동했음을 보여준다.</w:t>
      </w:r>
    </w:p>
    <w:p>
      <w:pPr>
        <w:widowControl/>
        <w:spacing w:before="0" w:after="60" w:line="331" w:lineRule="auto"/>
        <w:ind w:firstLine="397"/>
        <w:jc w:val="both"/>
      </w:pPr>
      <w:r>
        <w:rPr>
          <w:rFonts w:ascii="HY신명조" w:hAnsi="HY신명조" w:eastAsia="HY신명조"/>
          <w:color w:val="000000"/>
          <w:sz w:val="20"/>
        </w:rPr>
        <w:t>심층방어 관점에서 Layer 0가 필요한 이유는 다음과 같다.</w:t>
      </w:r>
    </w:p>
    <w:p>
      <w:pPr>
        <w:pStyle w:val="ListNumber"/>
        <w:widowControl/>
        <w:spacing w:before="0" w:after="60" w:line="331" w:lineRule="auto"/>
        <w:jc w:val="both"/>
      </w:pPr>
      <w:r>
        <w:rPr>
          <w:rFonts w:ascii="HY신명조" w:hAnsi="HY신명조" w:eastAsia="HY신명조"/>
          <w:color w:val="000000"/>
          <w:sz w:val="20"/>
        </w:rPr>
        <w:t>자모·한자·약어·혼용어·문맥 삽입 등 한국어 특유 변형을 후속 제품에 전달하기 전에 정규화한다.</w:t>
      </w:r>
    </w:p>
    <w:p>
      <w:pPr>
        <w:pStyle w:val="ListNumber"/>
        <w:widowControl/>
        <w:spacing w:before="0" w:after="60" w:line="331" w:lineRule="auto"/>
        <w:jc w:val="both"/>
      </w:pPr>
      <w:r>
        <w:rPr>
          <w:rFonts w:ascii="HY신명조" w:hAnsi="HY신명조" w:eastAsia="HY신명조"/>
          <w:color w:val="000000"/>
          <w:sz w:val="20"/>
        </w:rPr>
        <w:t>외부 모델 호출 전에 차단하므로 PII가 외부 API로 전달될 기회를 줄인다.</w:t>
      </w:r>
    </w:p>
    <w:p>
      <w:pPr>
        <w:pStyle w:val="ListNumber"/>
        <w:widowControl/>
        <w:spacing w:before="0" w:after="60" w:line="331" w:lineRule="auto"/>
        <w:jc w:val="both"/>
      </w:pPr>
      <w:r>
        <w:rPr>
          <w:rFonts w:ascii="HY신명조" w:hAnsi="HY신명조" w:eastAsia="HY신명조"/>
          <w:color w:val="000000"/>
          <w:sz w:val="20"/>
        </w:rPr>
        <w:t>결정론적 규칙과 사전은 판정 근거를 기록하고 사후 감사할 수 있다.</w:t>
      </w:r>
    </w:p>
    <w:p>
      <w:pPr>
        <w:pStyle w:val="ListNumber"/>
        <w:widowControl/>
        <w:spacing w:before="0" w:after="60" w:line="331" w:lineRule="auto"/>
        <w:jc w:val="both"/>
      </w:pPr>
      <w:r>
        <w:rPr>
          <w:rFonts w:ascii="HY신명조" w:hAnsi="HY신명조" w:eastAsia="HY신명조"/>
          <w:color w:val="000000"/>
          <w:sz w:val="20"/>
        </w:rPr>
        <w:t>외부 연결이나 LLM 호출이 제한되는 폐쇄망에서도 작동할 수 있다.</w:t>
      </w:r>
    </w:p>
    <w:p>
      <w:pPr>
        <w:pStyle w:val="ListNumber"/>
        <w:widowControl/>
        <w:spacing w:before="0" w:after="60" w:line="331" w:lineRule="auto"/>
        <w:jc w:val="both"/>
      </w:pPr>
      <w:r>
        <w:rPr>
          <w:rFonts w:ascii="HY신명조" w:hAnsi="HY신명조" w:eastAsia="HY신명조"/>
          <w:color w:val="000000"/>
          <w:sz w:val="20"/>
        </w:rPr>
        <w:t>후속 Presidio·Bedrock·Lakera·LLM 판별기와 서로 다른 실패양상을 가져 단일 장애점을 줄인다.</w:t>
      </w:r>
    </w:p>
    <w:p>
      <w:pPr>
        <w:widowControl/>
        <w:spacing w:before="0" w:after="60" w:line="331" w:lineRule="auto"/>
        <w:ind w:firstLine="397"/>
        <w:jc w:val="both"/>
      </w:pPr>
      <w:r>
        <w:rPr>
          <w:rFonts w:ascii="HY신명조" w:hAnsi="HY신명조" w:eastAsia="HY신명조"/>
          <w:color w:val="000000"/>
          <w:sz w:val="20"/>
        </w:rPr>
        <w:t>다만 Layer 0는 독립된 완전방어가 아니다. 새 평가에서도 C 구성의 미차단은 706건이었다. 합성 정상문장 10,000건에서는 오탐이 없었지만, 공식 법령 1,519개 중 29개(1.91%), 서비스 도메인 공식 문서 693개 중 48개(6.93%)가 과잉차단 후보로 탐지되었다. 특히 의료 일반교육은 16.60%가 탐지되어 사전·패턴 기반 탐지가 개인 귀속 문맥을 구분하지 못할 때 가용성을 크게 해칠 수 있음을 보여준다. 따라서 Layer 0는 후속 계층과 문맥 점수·allowlist·감사 절차를 결합하는 “필요하지만 충분하지 않은” 입력 통제로 규정해야 한다.</w:t>
      </w:r>
    </w:p>
    <w:p>
      <w:pPr>
        <w:pStyle w:val="Heading2"/>
        <w:keepNext/>
        <w:keepLines/>
      </w:pPr>
      <w:r>
        <w:rPr>
          <w:rFonts w:ascii="HY견고딕" w:hAnsi="HY견고딕" w:eastAsia="HY견고딕"/>
          <w:b/>
          <w:color w:val="000000"/>
          <w:sz w:val="24"/>
        </w:rPr>
        <w:t>2. 매우 작은 p-value보다 먼저 확인해야 할 것</w:t>
      </w:r>
    </w:p>
    <w:p>
      <w:pPr>
        <w:widowControl/>
        <w:spacing w:before="0" w:after="60" w:line="331" w:lineRule="auto"/>
        <w:ind w:firstLine="397"/>
        <w:jc w:val="both"/>
      </w:pPr>
      <w:r>
        <w:rPr>
          <w:rFonts w:ascii="HY신명조" w:hAnsi="HY신명조" w:eastAsia="HY신명조"/>
          <w:color w:val="000000"/>
          <w:sz w:val="20"/>
        </w:rPr>
        <w:t>기존 연구는 같은 10,000건에 여러 구성을 적용하므로 짝비교 설계 자체는 적절하다. 문제는 검정 공식이 아니라 종속변수다. 출력 변경을 실질 유출 차단과 동일시하거나, 변이된 정답을 원래 문자열로만 추적하면 이진 라벨에 체계적 오차가 들어간다. 표본 수가 크면 이러한 오차를 포함한 차이도 매우 작은 p-value를 만들 수 있다. 이는 통계적으로 정밀한 계산이 측정의 타당성을 대신할 수 없음을 보여준다.</w:t>
      </w:r>
    </w:p>
    <w:p>
      <w:pPr>
        <w:widowControl/>
        <w:spacing w:before="0" w:after="60" w:line="331" w:lineRule="auto"/>
        <w:ind w:firstLine="397"/>
        <w:jc w:val="both"/>
      </w:pPr>
      <w:r>
        <w:rPr>
          <w:rFonts w:ascii="HY신명조" w:hAnsi="HY신명조" w:eastAsia="HY신명조"/>
          <w:color w:val="000000"/>
          <w:sz w:val="20"/>
        </w:rPr>
        <w:t>가드레일 연구는 최소한 세 단계를 분리해야 한다. 첫째, 보호 대상의 변이 후 정확한 위치와 의미를 정한다. 둘째, 각 레이어 출력에서 그 대상이 잔존하는지를 판정한다. 셋째, 그 결과를 구성별 성능과 정책적 보호 수준으로 해석한다. 본 연구는 첫 단계를 9,964건에서 복원하고 동일 원천값 짝비교로 표본구성 교란을 줄였지만, 자동 복원의 외부 검토와 실제 제품 재실행까지 대체하지는 못한다.</w:t>
      </w:r>
    </w:p>
    <w:p>
      <w:pPr>
        <w:pStyle w:val="Heading2"/>
        <w:keepNext/>
        <w:keepLines/>
      </w:pPr>
      <w:r>
        <w:rPr>
          <w:rFonts w:ascii="HY견고딕" w:hAnsi="HY견고딕" w:eastAsia="HY견고딕"/>
          <w:b/>
          <w:color w:val="000000"/>
          <w:sz w:val="24"/>
        </w:rPr>
        <w:t>3. 보호자 역량의 측정</w:t>
      </w:r>
    </w:p>
    <w:p>
      <w:pPr>
        <w:widowControl/>
        <w:spacing w:before="0" w:after="60" w:line="331" w:lineRule="auto"/>
        <w:ind w:firstLine="397"/>
        <w:jc w:val="both"/>
      </w:pPr>
      <w:r>
        <w:rPr>
          <w:rFonts w:ascii="HY신명조" w:hAnsi="HY신명조" w:eastAsia="HY신명조"/>
          <w:color w:val="000000"/>
          <w:sz w:val="20"/>
        </w:rPr>
        <w:t>가드레일을 보호자라고 부르는 것은 기술 통제가 접근 가능성을 낮춘다는 기능적 유추에서는 유용하다. 하지만 실제 유능한 보호자는 존재 여부뿐 아니라 감시 가능성, 개입 의지, 권한, 지속성, 우회에 대한 적응 등을 포함한다. 정적 가드레일 벤치마크는 이 중 일부 기술 역량만 대리한다.</w:t>
      </w:r>
    </w:p>
    <w:p>
      <w:pPr>
        <w:widowControl/>
        <w:spacing w:before="0" w:after="60" w:line="331" w:lineRule="auto"/>
        <w:ind w:firstLine="397"/>
        <w:jc w:val="both"/>
      </w:pPr>
      <w:r>
        <w:rPr>
          <w:rFonts w:ascii="HY신명조" w:hAnsi="HY신명조" w:eastAsia="HY신명조"/>
          <w:color w:val="000000"/>
          <w:sz w:val="20"/>
        </w:rPr>
        <w:t>따라서 후속 연구는 보호자 역량을 다음과 같이 나누어 측정할 수 있다.</w:t>
      </w:r>
    </w:p>
    <w:p>
      <w:pPr>
        <w:pStyle w:val="ListNumber"/>
        <w:widowControl/>
        <w:spacing w:before="0" w:after="60" w:line="331" w:lineRule="auto"/>
        <w:jc w:val="both"/>
      </w:pPr>
      <w:r>
        <w:rPr>
          <w:rFonts w:ascii="HY신명조" w:hAnsi="HY신명조" w:eastAsia="HY신명조"/>
          <w:b/>
          <w:color w:val="000000"/>
          <w:sz w:val="20"/>
        </w:rPr>
        <w:t>탐지 범위:</w:t>
      </w:r>
      <w:r>
        <w:rPr>
          <w:rFonts w:ascii="HY신명조" w:hAnsi="HY신명조" w:eastAsia="HY신명조"/>
          <w:color w:val="000000"/>
          <w:sz w:val="20"/>
        </w:rPr>
        <w:t xml:space="preserve"> 어떤 법적·기술적 정보유형을 식별하는가</w:t>
      </w:r>
    </w:p>
    <w:p>
      <w:pPr>
        <w:pStyle w:val="ListNumber"/>
        <w:widowControl/>
        <w:spacing w:before="0" w:after="60" w:line="331" w:lineRule="auto"/>
        <w:jc w:val="both"/>
      </w:pPr>
      <w:r>
        <w:rPr>
          <w:rFonts w:ascii="HY신명조" w:hAnsi="HY신명조" w:eastAsia="HY신명조"/>
          <w:b/>
          <w:color w:val="000000"/>
          <w:sz w:val="20"/>
        </w:rPr>
        <w:t>개입 정확성:</w:t>
      </w:r>
      <w:r>
        <w:rPr>
          <w:rFonts w:ascii="HY신명조" w:hAnsi="HY신명조" w:eastAsia="HY신명조"/>
          <w:color w:val="000000"/>
          <w:sz w:val="20"/>
        </w:rPr>
        <w:t xml:space="preserve"> 보호 대상만 차단·마스킹하고 비민감 정보는 통과시키는가</w:t>
      </w:r>
    </w:p>
    <w:p>
      <w:pPr>
        <w:pStyle w:val="ListNumber"/>
        <w:widowControl/>
        <w:spacing w:before="0" w:after="60" w:line="331" w:lineRule="auto"/>
        <w:jc w:val="both"/>
      </w:pPr>
      <w:r>
        <w:rPr>
          <w:rFonts w:ascii="HY신명조" w:hAnsi="HY신명조" w:eastAsia="HY신명조"/>
          <w:b/>
          <w:color w:val="000000"/>
          <w:sz w:val="20"/>
        </w:rPr>
        <w:t>회복탄력성:</w:t>
      </w:r>
      <w:r>
        <w:rPr>
          <w:rFonts w:ascii="HY신명조" w:hAnsi="HY신명조" w:eastAsia="HY신명조"/>
          <w:color w:val="000000"/>
          <w:sz w:val="20"/>
        </w:rPr>
        <w:t xml:space="preserve"> 문자·인코딩·문맥 변이에 일관되게 대응하는가</w:t>
      </w:r>
    </w:p>
    <w:p>
      <w:pPr>
        <w:pStyle w:val="ListNumber"/>
        <w:widowControl/>
        <w:spacing w:before="0" w:after="60" w:line="331" w:lineRule="auto"/>
        <w:jc w:val="both"/>
      </w:pPr>
      <w:r>
        <w:rPr>
          <w:rFonts w:ascii="HY신명조" w:hAnsi="HY신명조" w:eastAsia="HY신명조"/>
          <w:b/>
          <w:color w:val="000000"/>
          <w:sz w:val="20"/>
        </w:rPr>
        <w:t>운영 지속성:</w:t>
      </w:r>
      <w:r>
        <w:rPr>
          <w:rFonts w:ascii="HY신명조" w:hAnsi="HY신명조" w:eastAsia="HY신명조"/>
          <w:color w:val="000000"/>
          <w:sz w:val="20"/>
        </w:rPr>
        <w:t xml:space="preserve"> 오류·지연·비용·외부 연결 제약에서 기능하는가</w:t>
      </w:r>
    </w:p>
    <w:p>
      <w:pPr>
        <w:pStyle w:val="ListNumber"/>
        <w:widowControl/>
        <w:spacing w:before="0" w:after="60" w:line="331" w:lineRule="auto"/>
        <w:jc w:val="both"/>
      </w:pPr>
      <w:r>
        <w:rPr>
          <w:rFonts w:ascii="HY신명조" w:hAnsi="HY신명조" w:eastAsia="HY신명조"/>
          <w:b/>
          <w:color w:val="000000"/>
          <w:sz w:val="20"/>
        </w:rPr>
        <w:t>감사가능성:</w:t>
      </w:r>
      <w:r>
        <w:rPr>
          <w:rFonts w:ascii="HY신명조" w:hAnsi="HY신명조" w:eastAsia="HY신명조"/>
          <w:color w:val="000000"/>
          <w:sz w:val="20"/>
        </w:rPr>
        <w:t xml:space="preserve"> 버전·설정·판정 근거를 사후 검증할 수 있는가</w:t>
      </w:r>
    </w:p>
    <w:p>
      <w:pPr>
        <w:widowControl/>
        <w:spacing w:before="0" w:after="60" w:line="331" w:lineRule="auto"/>
        <w:ind w:firstLine="397"/>
        <w:jc w:val="both"/>
      </w:pPr>
      <w:r>
        <w:rPr>
          <w:rFonts w:ascii="HY신명조" w:hAnsi="HY신명조" w:eastAsia="HY신명조"/>
          <w:color w:val="000000"/>
          <w:sz w:val="20"/>
        </w:rPr>
        <w:t>이러한 다차원 측정은 단일 탐지율을 “보호자 유능성” 전체로 과잉 해석하는 것을 막는다.</w:t>
      </w:r>
    </w:p>
    <w:p>
      <w:pPr>
        <w:pStyle w:val="Heading2"/>
        <w:keepNext/>
        <w:keepLines/>
      </w:pPr>
      <w:r>
        <w:rPr>
          <w:rFonts w:ascii="HY견고딕" w:hAnsi="HY견고딕" w:eastAsia="HY견고딕"/>
          <w:b/>
          <w:color w:val="000000"/>
          <w:sz w:val="24"/>
        </w:rPr>
        <w:t>4. PII와 법상 민감정보의 분리</w:t>
      </w:r>
    </w:p>
    <w:p>
      <w:pPr>
        <w:widowControl/>
        <w:spacing w:before="0" w:after="60" w:line="331" w:lineRule="auto"/>
        <w:ind w:firstLine="397"/>
        <w:jc w:val="both"/>
      </w:pPr>
      <w:r>
        <w:rPr>
          <w:rFonts w:ascii="HY신명조" w:hAnsi="HY신명조" w:eastAsia="HY신명조"/>
          <w:color w:val="000000"/>
          <w:sz w:val="20"/>
        </w:rPr>
        <w:t>기술 데이터셋은 95개 PII 유형을 포함하지만 법적 민감정보 범위와 일대일로 대응하지 않는다. 전화번호, 차량등록 관련 정보, 계정번호, 의료기록, 종교, 혈액형 등은 식별 가능성, 처리 맥락, 다른 정보와의 결합에 따라 법적 성격이 달라질 수 있다. 정책 논문은 유형마다 다음 정보를 공개해야 한다.</w:t>
      </w:r>
    </w:p>
    <w:p>
      <w:pPr>
        <w:pStyle w:val="ListBullet"/>
        <w:widowControl/>
        <w:spacing w:before="0" w:after="60" w:line="331" w:lineRule="auto"/>
        <w:jc w:val="both"/>
      </w:pPr>
      <w:r>
        <w:rPr>
          <w:rFonts w:ascii="HY신명조" w:hAnsi="HY신명조" w:eastAsia="HY신명조"/>
          <w:color w:val="000000"/>
          <w:sz w:val="20"/>
        </w:rPr>
        <w:t xml:space="preserve">기술 데이터셋의 </w:t>
      </w:r>
      <w:r>
        <w:rPr>
          <w:rFonts w:ascii="Consolas" w:hAnsi="Consolas" w:eastAsia="Consolas"/>
          <w:color w:val="000000"/>
          <w:sz w:val="19"/>
        </w:rPr>
        <w:t>pii_type</w:t>
      </w:r>
    </w:p>
    <w:p>
      <w:pPr>
        <w:pStyle w:val="ListBullet"/>
        <w:widowControl/>
        <w:spacing w:before="0" w:after="60" w:line="331" w:lineRule="auto"/>
        <w:jc w:val="both"/>
      </w:pPr>
      <w:r>
        <w:rPr>
          <w:rFonts w:ascii="HY신명조" w:hAnsi="HY신명조" w:eastAsia="HY신명조"/>
          <w:color w:val="000000"/>
          <w:sz w:val="20"/>
        </w:rPr>
        <w:t>개인정보 보호법상 범주와 조문</w:t>
      </w:r>
    </w:p>
    <w:p>
      <w:pPr>
        <w:pStyle w:val="ListBullet"/>
        <w:widowControl/>
        <w:spacing w:before="0" w:after="60" w:line="331" w:lineRule="auto"/>
        <w:jc w:val="both"/>
      </w:pPr>
      <w:r>
        <w:rPr>
          <w:rFonts w:ascii="HY신명조" w:hAnsi="HY신명조" w:eastAsia="HY신명조"/>
          <w:color w:val="000000"/>
          <w:sz w:val="20"/>
        </w:rPr>
        <w:t>합성값의 현실성·유효성 규칙</w:t>
      </w:r>
    </w:p>
    <w:p>
      <w:pPr>
        <w:pStyle w:val="ListBullet"/>
        <w:widowControl/>
        <w:spacing w:before="0" w:after="60" w:line="331" w:lineRule="auto"/>
        <w:jc w:val="both"/>
      </w:pPr>
      <w:r>
        <w:rPr>
          <w:rFonts w:ascii="HY신명조" w:hAnsi="HY신명조" w:eastAsia="HY신명조"/>
          <w:color w:val="000000"/>
          <w:sz w:val="20"/>
        </w:rPr>
        <w:t>기대되는 기술 조치</w:t>
      </w:r>
    </w:p>
    <w:p>
      <w:pPr>
        <w:pStyle w:val="ListBullet"/>
        <w:widowControl/>
        <w:spacing w:before="0" w:after="60" w:line="331" w:lineRule="auto"/>
        <w:jc w:val="both"/>
      </w:pPr>
      <w:r>
        <w:rPr>
          <w:rFonts w:ascii="HY신명조" w:hAnsi="HY신명조" w:eastAsia="HY신명조"/>
          <w:color w:val="000000"/>
          <w:sz w:val="20"/>
        </w:rPr>
        <w:t>오탐과 미탐이 야기할 수 있는 피해</w:t>
      </w:r>
    </w:p>
    <w:p>
      <w:pPr>
        <w:widowControl/>
        <w:spacing w:before="0" w:after="60" w:line="331" w:lineRule="auto"/>
        <w:ind w:firstLine="397"/>
        <w:jc w:val="both"/>
      </w:pPr>
      <w:r>
        <w:rPr>
          <w:rFonts w:ascii="HY신명조" w:hAnsi="HY신명조" w:eastAsia="HY신명조"/>
          <w:color w:val="000000"/>
          <w:sz w:val="20"/>
        </w:rPr>
        <w:t>이 매핑이 없으면 “95종 모두가 제23조상 민감정보”라는 오해가 발생하고, 성능 수치를 법적 준수율로 잘못 번역할 위험이 있다.</w:t>
      </w:r>
    </w:p>
    <w:p>
      <w:pPr>
        <w:pStyle w:val="Heading2"/>
        <w:keepNext/>
        <w:keepLines/>
      </w:pPr>
      <w:r>
        <w:rPr>
          <w:rFonts w:ascii="HY견고딕" w:hAnsi="HY견고딕" w:eastAsia="HY견고딕"/>
          <w:b/>
          <w:color w:val="000000"/>
          <w:sz w:val="24"/>
        </w:rPr>
        <w:t>5. 형사·행정 제재와 기술 평가의 관계</w:t>
      </w:r>
    </w:p>
    <w:p>
      <w:pPr>
        <w:widowControl/>
        <w:spacing w:before="0" w:after="60" w:line="331" w:lineRule="auto"/>
        <w:ind w:firstLine="397"/>
        <w:jc w:val="both"/>
      </w:pPr>
      <w:r>
        <w:rPr>
          <w:rFonts w:ascii="HY신명조" w:hAnsi="HY신명조" w:eastAsia="HY신명조"/>
          <w:color w:val="000000"/>
          <w:sz w:val="20"/>
        </w:rPr>
        <w:t>가드레일 실패는 안전조치의 적정성을 검토하는 사실자료가 될 수 있지만, 그 자체가 범죄구성요건이나 행정제재 요건을 충족시키는 것은 아니다. 처리의 법적 근거, 정보주체 동의, 처리 목적, 안전조치의 전체 구조, 실제 유출, 행위자의 고의·목적, 인과관계 등을 별도로 판단해야 한다.</w:t>
      </w:r>
    </w:p>
    <w:p>
      <w:pPr>
        <w:widowControl/>
        <w:spacing w:before="0" w:after="60" w:line="331" w:lineRule="auto"/>
        <w:ind w:firstLine="397"/>
        <w:jc w:val="both"/>
      </w:pPr>
      <w:r>
        <w:rPr>
          <w:rFonts w:ascii="HY신명조" w:hAnsi="HY신명조" w:eastAsia="HY신명조"/>
          <w:color w:val="000000"/>
          <w:sz w:val="20"/>
        </w:rPr>
        <w:t>형사정책의 역할은 특정 벤치마크 점수를 곧바로 처벌기준으로 전환하는 데 있지 않다. 반복 가능하고 독립적으로 검증되는 평가절차를 안전조치 문서, 영향평가, 감독기관 검사와 연결하는 데 있다. 점수보다 평가조건과 불확실성을 공개하도록 하는 것이 우선이다.</w:t>
      </w:r>
    </w:p>
    <w:p>
      <w:pPr>
        <w:pStyle w:val="Heading2"/>
        <w:keepNext/>
        <w:keepLines/>
      </w:pPr>
      <w:r>
        <w:rPr>
          <w:rFonts w:ascii="HY견고딕" w:hAnsi="HY견고딕" w:eastAsia="HY견고딕"/>
          <w:b/>
          <w:color w:val="000000"/>
          <w:sz w:val="24"/>
        </w:rPr>
        <w:t>6. 제품 성능 주장의 시간 의존성</w:t>
      </w:r>
    </w:p>
    <w:p>
      <w:pPr>
        <w:widowControl/>
        <w:spacing w:before="0" w:after="60" w:line="331" w:lineRule="auto"/>
        <w:ind w:firstLine="397"/>
        <w:jc w:val="both"/>
      </w:pPr>
      <w:r>
        <w:rPr>
          <w:rFonts w:ascii="HY신명조" w:hAnsi="HY신명조" w:eastAsia="HY신명조"/>
          <w:color w:val="000000"/>
          <w:sz w:val="20"/>
        </w:rPr>
        <w:t>상용 가드레일은 정책 모델, 지원 엔터티, tier와 API가 지속적으로 변경된다. 현재 AWS가 한국어를 최적화·지원한다고 밝힌 사실은 과거 특정 설정의 결과를 자동으로 무효화하지 않는다. 반대로 과거 실험의 낮은 결과도 현재 제품 전체의 한국어 능력을 대표하지 않는다.</w:t>
      </w:r>
    </w:p>
    <w:p>
      <w:pPr>
        <w:widowControl/>
        <w:spacing w:before="0" w:after="60" w:line="331" w:lineRule="auto"/>
        <w:ind w:firstLine="397"/>
        <w:jc w:val="both"/>
      </w:pPr>
      <w:r>
        <w:rPr>
          <w:rFonts w:ascii="HY신명조" w:hAnsi="HY신명조" w:eastAsia="HY신명조"/>
          <w:color w:val="000000"/>
          <w:sz w:val="20"/>
        </w:rPr>
        <w:t>논문은 각 제품에 대해 최소한 다음을 기록해야 한다.</w:t>
      </w:r>
    </w:p>
    <w:p>
      <w:pPr>
        <w:pStyle w:val="ListBullet"/>
        <w:widowControl/>
        <w:spacing w:before="0" w:after="60" w:line="331" w:lineRule="auto"/>
        <w:jc w:val="both"/>
      </w:pPr>
      <w:r>
        <w:rPr>
          <w:rFonts w:ascii="HY신명조" w:hAnsi="HY신명조" w:eastAsia="HY신명조"/>
          <w:color w:val="000000"/>
          <w:sz w:val="20"/>
        </w:rPr>
        <w:t>공급자와 제품명</w:t>
      </w:r>
    </w:p>
    <w:p>
      <w:pPr>
        <w:pStyle w:val="ListBullet"/>
        <w:widowControl/>
        <w:spacing w:before="0" w:after="60" w:line="331" w:lineRule="auto"/>
        <w:jc w:val="both"/>
      </w:pPr>
      <w:r>
        <w:rPr>
          <w:rFonts w:ascii="HY신명조" w:hAnsi="HY신명조" w:eastAsia="HY신명조"/>
          <w:color w:val="000000"/>
          <w:sz w:val="20"/>
        </w:rPr>
        <w:t>평가 region과 날짜</w:t>
      </w:r>
    </w:p>
    <w:p>
      <w:pPr>
        <w:pStyle w:val="ListBullet"/>
        <w:widowControl/>
        <w:spacing w:before="0" w:after="60" w:line="331" w:lineRule="auto"/>
        <w:jc w:val="both"/>
      </w:pPr>
      <w:r>
        <w:rPr>
          <w:rFonts w:ascii="HY신명조" w:hAnsi="HY신명조" w:eastAsia="HY신명조"/>
          <w:color w:val="000000"/>
          <w:sz w:val="20"/>
        </w:rPr>
        <w:t>guardrail ID·version·tier</w:t>
      </w:r>
    </w:p>
    <w:p>
      <w:pPr>
        <w:pStyle w:val="ListBullet"/>
        <w:widowControl/>
        <w:spacing w:before="0" w:after="60" w:line="331" w:lineRule="auto"/>
        <w:jc w:val="both"/>
      </w:pPr>
      <w:r>
        <w:rPr>
          <w:rFonts w:ascii="HY신명조" w:hAnsi="HY신명조" w:eastAsia="HY신명조"/>
          <w:color w:val="000000"/>
          <w:sz w:val="20"/>
        </w:rPr>
        <w:t>활성 policy·entity</w:t>
      </w:r>
    </w:p>
    <w:p>
      <w:pPr>
        <w:pStyle w:val="ListBullet"/>
        <w:widowControl/>
        <w:spacing w:before="0" w:after="60" w:line="331" w:lineRule="auto"/>
        <w:jc w:val="both"/>
      </w:pPr>
      <w:r>
        <w:rPr>
          <w:rFonts w:ascii="HY신명조" w:hAnsi="HY신명조" w:eastAsia="HY신명조"/>
          <w:color w:val="000000"/>
          <w:sz w:val="20"/>
        </w:rPr>
        <w:t>입력·출력 중 적용 위치</w:t>
      </w:r>
    </w:p>
    <w:p>
      <w:pPr>
        <w:pStyle w:val="ListBullet"/>
        <w:widowControl/>
        <w:spacing w:before="0" w:after="60" w:line="331" w:lineRule="auto"/>
        <w:jc w:val="both"/>
      </w:pPr>
      <w:r>
        <w:rPr>
          <w:rFonts w:ascii="HY신명조" w:hAnsi="HY신명조" w:eastAsia="HY신명조"/>
          <w:color w:val="000000"/>
          <w:sz w:val="20"/>
        </w:rPr>
        <w:t>게이트웨이·SDK·모델 버전</w:t>
      </w:r>
    </w:p>
    <w:p>
      <w:pPr>
        <w:pStyle w:val="ListBullet"/>
        <w:widowControl/>
        <w:spacing w:before="0" w:after="60" w:line="331" w:lineRule="auto"/>
        <w:jc w:val="both"/>
      </w:pPr>
      <w:r>
        <w:rPr>
          <w:rFonts w:ascii="HY신명조" w:hAnsi="HY신명조" w:eastAsia="HY신명조"/>
          <w:color w:val="000000"/>
          <w:sz w:val="20"/>
        </w:rPr>
        <w:t>오류·재시도·rate limit 처리</w:t>
      </w:r>
    </w:p>
    <w:p>
      <w:pPr>
        <w:widowControl/>
        <w:spacing w:before="0" w:after="60" w:line="331" w:lineRule="auto"/>
        <w:ind w:firstLine="397"/>
        <w:jc w:val="both"/>
      </w:pPr>
      <w:r>
        <w:rPr>
          <w:rFonts w:ascii="HY신명조" w:hAnsi="HY신명조" w:eastAsia="HY신명조"/>
          <w:color w:val="000000"/>
          <w:sz w:val="20"/>
        </w:rPr>
        <w:t>이 정보가 없으면 제품 간 비교는 재현할 수 없고, 시간 경과에 따른 성능 변화도 구분할 수 없다.</w:t>
      </w:r>
    </w:p>
    <w:p>
      <w:pPr>
        <w:pStyle w:val="Heading1"/>
        <w:keepNext/>
        <w:keepLines/>
      </w:pPr>
      <w:r>
        <w:rPr>
          <w:rFonts w:ascii="HY견고딕" w:hAnsi="HY견고딕" w:eastAsia="HY견고딕"/>
          <w:b/>
          <w:color w:val="000000"/>
          <w:sz w:val="28"/>
        </w:rPr>
        <w:t>VI. 형사정책적 제언</w:t>
      </w:r>
    </w:p>
    <w:p>
      <w:pPr>
        <w:pStyle w:val="Heading2"/>
        <w:keepNext/>
        <w:keepLines/>
      </w:pPr>
      <w:r>
        <w:rPr>
          <w:rFonts w:ascii="HY견고딕" w:hAnsi="HY견고딕" w:eastAsia="HY견고딕"/>
          <w:b/>
          <w:color w:val="000000"/>
          <w:sz w:val="24"/>
        </w:rPr>
        <w:t>1. 변이 후 정답 중심의 평가표준</w:t>
      </w:r>
    </w:p>
    <w:p>
      <w:pPr>
        <w:widowControl/>
        <w:spacing w:before="0" w:after="60" w:line="331" w:lineRule="auto"/>
        <w:ind w:firstLine="397"/>
        <w:jc w:val="both"/>
      </w:pPr>
      <w:r>
        <w:rPr>
          <w:rFonts w:ascii="HY신명조" w:hAnsi="HY신명조" w:eastAsia="HY신명조"/>
          <w:color w:val="000000"/>
          <w:sz w:val="20"/>
        </w:rPr>
        <w:t>모든 변이기는 원래 값뿐 아니라 변이 후 정확한 gold span, canonical value, 허용 동치표현, provenance와 기대 조치를 출력해야 한다. 평가기는 이 필드를 직접 사용하여 차단, 완전 마스킹, 부분 마스킹, 잔존, 주변정보 오탐, 오류를 구분해야 한다.</w:t>
      </w:r>
    </w:p>
    <w:p>
      <w:pPr>
        <w:widowControl/>
        <w:spacing w:before="0" w:after="60" w:line="331" w:lineRule="auto"/>
        <w:ind w:firstLine="397"/>
        <w:jc w:val="both"/>
      </w:pPr>
      <w:r>
        <w:rPr>
          <w:rFonts w:ascii="HY신명조" w:hAnsi="HY신명조" w:eastAsia="HY신명조"/>
          <w:color w:val="000000"/>
          <w:sz w:val="20"/>
        </w:rPr>
        <w:t>평가 함수를 여러 분석 파일에 복제하지 않고 하나의 canonical evaluator로 통합해야 한다. evaluator의 버전과 해시도 결과표에 기록해야 한다. 이는 평가 코드의 작은 변경으로 논문 결과가 조용히 달라지는 것을 방지한다.</w:t>
      </w:r>
    </w:p>
    <w:p>
      <w:pPr>
        <w:pStyle w:val="Heading2"/>
        <w:keepNext/>
        <w:keepLines/>
      </w:pPr>
      <w:r>
        <w:rPr>
          <w:rFonts w:ascii="HY견고딕" w:hAnsi="HY견고딕" w:eastAsia="HY견고딕"/>
          <w:b/>
          <w:color w:val="000000"/>
          <w:sz w:val="24"/>
        </w:rPr>
        <w:t>2. 사람 검토와 불확실성 보고</w:t>
      </w:r>
    </w:p>
    <w:p>
      <w:pPr>
        <w:widowControl/>
        <w:spacing w:before="0" w:after="60" w:line="331" w:lineRule="auto"/>
        <w:ind w:firstLine="397"/>
        <w:jc w:val="both"/>
      </w:pPr>
      <w:r>
        <w:rPr>
          <w:rFonts w:ascii="HY신명조" w:hAnsi="HY신명조" w:eastAsia="HY신명조"/>
          <w:color w:val="000000"/>
          <w:sz w:val="20"/>
        </w:rPr>
        <w:t>자동 라벨만으로 모든 의미적 변이를 판정하기 어렵다. 언어, PII 유형, 변이 수준, 방어구성을 기준으로 층화표본을 뽑아 최소 2명의 독립 검토자가 이중 라벨링해야 한다. 라벨 지침, 불일치 조정 절차, Cohen’s kappa 등 일치도를 공개해야 한다.</w:t>
      </w:r>
    </w:p>
    <w:p>
      <w:pPr>
        <w:widowControl/>
        <w:spacing w:before="0" w:after="60" w:line="331" w:lineRule="auto"/>
        <w:ind w:firstLine="397"/>
        <w:jc w:val="both"/>
      </w:pPr>
      <w:r>
        <w:rPr>
          <w:rFonts w:ascii="HY신명조" w:hAnsi="HY신명조" w:eastAsia="HY신명조"/>
          <w:color w:val="000000"/>
          <w:sz w:val="20"/>
        </w:rPr>
        <w:t>논문은 탐지율뿐 아니라 효과크기와 95% 신뢰구간, 카테고리별 분모, 오류·타임아웃, 불확실 사례 수를 보고해야 한다. 본 연구처럼 재배포·출처 추적이 가능한 실제 비민감 한국어 문장으로 오탐을 확인하고, 법령·의료·금융·지원·개발문서의 결과를 분리해 보고해야 한다. 후속 연구는 이번 목적표본을 고객문의·상담·전자상거래·사내 지식문서 등 개인정보를 제거한 운영 유사 자료로 확장하고, 도메인별 표본설계와 사람 이중라벨을 사전에 고정해야 한다.</w:t>
      </w:r>
    </w:p>
    <w:p>
      <w:pPr>
        <w:pStyle w:val="Heading2"/>
        <w:keepNext/>
        <w:keepLines/>
      </w:pPr>
      <w:r>
        <w:rPr>
          <w:rFonts w:ascii="HY견고딕" w:hAnsi="HY견고딕" w:eastAsia="HY견고딕"/>
          <w:b/>
          <w:color w:val="000000"/>
          <w:sz w:val="24"/>
        </w:rPr>
        <w:t>3. 데이터 유효성과 출처</w:t>
      </w:r>
    </w:p>
    <w:p>
      <w:pPr>
        <w:widowControl/>
        <w:spacing w:before="0" w:after="60" w:line="331" w:lineRule="auto"/>
        <w:ind w:firstLine="397"/>
        <w:jc w:val="both"/>
      </w:pPr>
      <w:r>
        <w:rPr>
          <w:rFonts w:ascii="HY신명조" w:hAnsi="HY신명조" w:eastAsia="HY신명조"/>
          <w:color w:val="000000"/>
          <w:sz w:val="20"/>
        </w:rPr>
        <w:t>주민등록번호, VIN, 계좌·의료기록 등 규칙 기반 합성값은 생성 즉시 독립 validator를 통과해야 한다. 의도적으로 invalid 값을 넣는 경우에는 별도 그룹과 기대 조치를 명시해야 한다. 원시 코퍼스의 출처, 라이선스, 비식별 절차, seed, 생성기 commit 및 SHA-256을 기록해야 한다.</w:t>
      </w:r>
    </w:p>
    <w:p>
      <w:pPr>
        <w:widowControl/>
        <w:spacing w:before="0" w:after="60" w:line="331" w:lineRule="auto"/>
        <w:ind w:firstLine="397"/>
        <w:jc w:val="both"/>
      </w:pPr>
      <w:r>
        <w:rPr>
          <w:rFonts w:ascii="HY신명조" w:hAnsi="HY신명조" w:eastAsia="HY신명조"/>
          <w:color w:val="000000"/>
          <w:sz w:val="20"/>
        </w:rPr>
        <w:t xml:space="preserve">10,000건 표본 생성 명령은 결과가 정확히 10,000건이 아니면 실패해야 한다. </w:t>
      </w:r>
      <w:r>
        <w:rPr>
          <w:rFonts w:ascii="Consolas" w:hAnsi="Consolas" w:eastAsia="Consolas"/>
          <w:color w:val="000000"/>
          <w:sz w:val="19"/>
        </w:rPr>
        <w:t>payloads_10k.json</w:t>
      </w:r>
      <w:r>
        <w:rPr>
          <w:rFonts w:ascii="HY신명조" w:hAnsi="HY신명조" w:eastAsia="HY신명조"/>
          <w:color w:val="000000"/>
          <w:sz w:val="20"/>
        </w:rPr>
        <w:t>처럼 수량을 파일명에 넣을 경우 메타데이터와 실제 행 수의 일치 여부를 CI에서 검사해야 한다.</w:t>
      </w:r>
    </w:p>
    <w:p>
      <w:pPr>
        <w:pStyle w:val="Heading2"/>
        <w:keepNext/>
        <w:keepLines/>
      </w:pPr>
      <w:r>
        <w:rPr>
          <w:rFonts w:ascii="HY견고딕" w:hAnsi="HY견고딕" w:eastAsia="HY견고딕"/>
          <w:b/>
          <w:color w:val="000000"/>
          <w:sz w:val="24"/>
        </w:rPr>
        <w:t>4. 깨끗한 환경 재현과 독립 감사</w:t>
      </w:r>
    </w:p>
    <w:p>
      <w:pPr>
        <w:widowControl/>
        <w:spacing w:before="0" w:after="60" w:line="331" w:lineRule="auto"/>
        <w:ind w:firstLine="397"/>
        <w:jc w:val="both"/>
      </w:pPr>
      <w:r>
        <w:rPr>
          <w:rFonts w:ascii="HY신명조" w:hAnsi="HY신명조" w:eastAsia="HY신명조"/>
          <w:color w:val="000000"/>
          <w:sz w:val="20"/>
        </w:rPr>
        <w:t>코드·데이터·의존성·컨테이너 이미지를 고정하고, 원시 코퍼스에서 최종 표·그림까지 한 번에 생성하는 재현 파이프라인을 제공해야 한다. 필수 파일이 저장소에 포함될 수 없다면 해시와 결정론적 생성 절차, 접근조건을 명시해야 한다.</w:t>
      </w:r>
    </w:p>
    <w:p>
      <w:pPr>
        <w:widowControl/>
        <w:spacing w:before="0" w:after="60" w:line="331" w:lineRule="auto"/>
        <w:ind w:firstLine="397"/>
        <w:jc w:val="both"/>
      </w:pPr>
      <w:r>
        <w:rPr>
          <w:rFonts w:ascii="HY신명조" w:hAnsi="HY신명조" w:eastAsia="HY신명조"/>
          <w:color w:val="000000"/>
          <w:sz w:val="20"/>
        </w:rPr>
        <w:t>정책기관이나 학술 심사자는 저자가 제공한 최종 요약표만 검토해서는 안 된다. 다음 네 단계의 독립 감사를 권고한다.</w:t>
      </w:r>
    </w:p>
    <w:p>
      <w:pPr>
        <w:pStyle w:val="ListNumber"/>
        <w:widowControl/>
        <w:spacing w:before="0" w:after="60" w:line="331" w:lineRule="auto"/>
        <w:jc w:val="both"/>
      </w:pPr>
      <w:r>
        <w:rPr>
          <w:rFonts w:ascii="HY신명조" w:hAnsi="HY신명조" w:eastAsia="HY신명조"/>
          <w:color w:val="000000"/>
          <w:sz w:val="20"/>
        </w:rPr>
        <w:t>데이터 행 수·스키마·유효성 검사</w:t>
      </w:r>
    </w:p>
    <w:p>
      <w:pPr>
        <w:pStyle w:val="ListNumber"/>
        <w:widowControl/>
        <w:spacing w:before="0" w:after="60" w:line="331" w:lineRule="auto"/>
        <w:jc w:val="both"/>
      </w:pPr>
      <w:r>
        <w:rPr>
          <w:rFonts w:ascii="HY신명조" w:hAnsi="HY신명조" w:eastAsia="HY신명조"/>
          <w:color w:val="000000"/>
          <w:sz w:val="20"/>
        </w:rPr>
        <w:t>평가기 단위테스트와 gold span 표본검사</w:t>
      </w:r>
    </w:p>
    <w:p>
      <w:pPr>
        <w:pStyle w:val="ListNumber"/>
        <w:widowControl/>
        <w:spacing w:before="0" w:after="60" w:line="331" w:lineRule="auto"/>
        <w:jc w:val="both"/>
      </w:pPr>
      <w:r>
        <w:rPr>
          <w:rFonts w:ascii="HY신명조" w:hAnsi="HY신명조" w:eastAsia="HY신명조"/>
          <w:color w:val="000000"/>
          <w:sz w:val="20"/>
        </w:rPr>
        <w:t>저장 결과에서 표·통계의 독립 재계산</w:t>
      </w:r>
    </w:p>
    <w:p>
      <w:pPr>
        <w:pStyle w:val="ListNumber"/>
        <w:widowControl/>
        <w:spacing w:before="0" w:after="60" w:line="331" w:lineRule="auto"/>
        <w:jc w:val="both"/>
      </w:pPr>
      <w:r>
        <w:rPr>
          <w:rFonts w:ascii="HY신명조" w:hAnsi="HY신명조" w:eastAsia="HY신명조"/>
          <w:color w:val="000000"/>
          <w:sz w:val="20"/>
        </w:rPr>
        <w:t>제품·법령·참고문헌의 공식 원문 대조</w:t>
      </w:r>
    </w:p>
    <w:p>
      <w:pPr>
        <w:pStyle w:val="Heading2"/>
        <w:keepNext/>
        <w:keepLines/>
      </w:pPr>
      <w:r>
        <w:rPr>
          <w:rFonts w:ascii="HY견고딕" w:hAnsi="HY견고딕" w:eastAsia="HY견고딕"/>
          <w:b/>
          <w:color w:val="000000"/>
          <w:sz w:val="24"/>
        </w:rPr>
        <w:t>5. 영향평가와 안전조치 문서화</w:t>
      </w:r>
    </w:p>
    <w:p>
      <w:pPr>
        <w:widowControl/>
        <w:spacing w:before="0" w:after="60" w:line="331" w:lineRule="auto"/>
        <w:ind w:firstLine="397"/>
        <w:jc w:val="both"/>
      </w:pPr>
      <w:r>
        <w:rPr>
          <w:rFonts w:ascii="HY신명조" w:hAnsi="HY신명조" w:eastAsia="HY신명조"/>
          <w:color w:val="000000"/>
          <w:sz w:val="20"/>
        </w:rPr>
        <w:t>민간 고위험 생성형 AI의 개인정보 영향평가 노력과 고영향 AI 위험관리 문서에 다음 항목을 포함하도록 구체화할 필요가 있다.</w:t>
      </w:r>
    </w:p>
    <w:p>
      <w:pPr>
        <w:pStyle w:val="ListBullet"/>
        <w:widowControl/>
        <w:spacing w:before="0" w:after="60" w:line="331" w:lineRule="auto"/>
        <w:jc w:val="both"/>
      </w:pPr>
      <w:r>
        <w:rPr>
          <w:rFonts w:ascii="HY신명조" w:hAnsi="HY신명조" w:eastAsia="HY신명조"/>
          <w:color w:val="000000"/>
          <w:sz w:val="20"/>
        </w:rPr>
        <w:t>처리하는 개인정보·민감정보 유형과 법적 근거</w:t>
      </w:r>
    </w:p>
    <w:p>
      <w:pPr>
        <w:pStyle w:val="ListBullet"/>
        <w:widowControl/>
        <w:spacing w:before="0" w:after="60" w:line="331" w:lineRule="auto"/>
        <w:jc w:val="both"/>
      </w:pPr>
      <w:r>
        <w:rPr>
          <w:rFonts w:ascii="HY신명조" w:hAnsi="HY신명조" w:eastAsia="HY신명조"/>
          <w:color w:val="000000"/>
          <w:sz w:val="20"/>
        </w:rPr>
        <w:t>가드레일 적용 위치와 실패 시 데이터 흐름</w:t>
      </w:r>
    </w:p>
    <w:p>
      <w:pPr>
        <w:pStyle w:val="ListBullet"/>
        <w:widowControl/>
        <w:spacing w:before="0" w:after="60" w:line="331" w:lineRule="auto"/>
        <w:jc w:val="both"/>
      </w:pPr>
      <w:r>
        <w:rPr>
          <w:rFonts w:ascii="HY신명조" w:hAnsi="HY신명조" w:eastAsia="HY신명조"/>
          <w:color w:val="000000"/>
          <w:sz w:val="20"/>
        </w:rPr>
        <w:t>언어·변이·문맥별 평가범위</w:t>
      </w:r>
    </w:p>
    <w:p>
      <w:pPr>
        <w:pStyle w:val="ListBullet"/>
        <w:widowControl/>
        <w:spacing w:before="0" w:after="60" w:line="331" w:lineRule="auto"/>
        <w:jc w:val="both"/>
      </w:pPr>
      <w:r>
        <w:rPr>
          <w:rFonts w:ascii="HY신명조" w:hAnsi="HY신명조" w:eastAsia="HY신명조"/>
          <w:color w:val="000000"/>
          <w:sz w:val="20"/>
        </w:rPr>
        <w:t>오탐·미탐·오류·지연·비용</w:t>
      </w:r>
    </w:p>
    <w:p>
      <w:pPr>
        <w:pStyle w:val="ListBullet"/>
        <w:widowControl/>
        <w:spacing w:before="0" w:after="60" w:line="331" w:lineRule="auto"/>
        <w:jc w:val="both"/>
      </w:pPr>
      <w:r>
        <w:rPr>
          <w:rFonts w:ascii="HY신명조" w:hAnsi="HY신명조" w:eastAsia="HY신명조"/>
          <w:color w:val="000000"/>
          <w:sz w:val="20"/>
        </w:rPr>
        <w:t>버전 변경 후 재평가 조건</w:t>
      </w:r>
    </w:p>
    <w:p>
      <w:pPr>
        <w:pStyle w:val="ListBullet"/>
        <w:widowControl/>
        <w:spacing w:before="0" w:after="60" w:line="331" w:lineRule="auto"/>
        <w:jc w:val="both"/>
      </w:pPr>
      <w:r>
        <w:rPr>
          <w:rFonts w:ascii="HY신명조" w:hAnsi="HY신명조" w:eastAsia="HY신명조"/>
          <w:color w:val="000000"/>
          <w:sz w:val="20"/>
        </w:rPr>
        <w:t>외부 API 사용이 제한되는 폐쇄망 대안</w:t>
      </w:r>
    </w:p>
    <w:p>
      <w:pPr>
        <w:pStyle w:val="ListBullet"/>
        <w:widowControl/>
        <w:spacing w:before="0" w:after="60" w:line="331" w:lineRule="auto"/>
        <w:jc w:val="both"/>
      </w:pPr>
      <w:r>
        <w:rPr>
          <w:rFonts w:ascii="HY신명조" w:hAnsi="HY신명조" w:eastAsia="HY신명조"/>
          <w:color w:val="000000"/>
          <w:sz w:val="20"/>
        </w:rPr>
        <w:t>독립 검토자와 재현자료의 위치</w:t>
      </w:r>
    </w:p>
    <w:p>
      <w:pPr>
        <w:widowControl/>
        <w:spacing w:before="0" w:after="60" w:line="331" w:lineRule="auto"/>
        <w:ind w:firstLine="397"/>
        <w:jc w:val="both"/>
      </w:pPr>
      <w:r>
        <w:rPr>
          <w:rFonts w:ascii="HY신명조" w:hAnsi="HY신명조" w:eastAsia="HY신명조"/>
          <w:color w:val="000000"/>
          <w:sz w:val="20"/>
        </w:rPr>
        <w:t>이러한 절차는 특정 솔루션을 법정 표준으로 고정하기보다, 조직이 자신의 보호조치가 실제 데이터 흐름에서 작동하는지 입증하도록 한다.</w:t>
      </w:r>
    </w:p>
    <w:p>
      <w:pPr>
        <w:pStyle w:val="Heading1"/>
        <w:keepNext/>
        <w:keepLines/>
      </w:pPr>
      <w:r>
        <w:rPr>
          <w:rFonts w:ascii="HY견고딕" w:hAnsi="HY견고딕" w:eastAsia="HY견고딕"/>
          <w:b/>
          <w:color w:val="000000"/>
          <w:sz w:val="28"/>
        </w:rPr>
        <w:t>VII. 한계</w:t>
      </w:r>
    </w:p>
    <w:p>
      <w:pPr>
        <w:widowControl/>
        <w:spacing w:before="0" w:after="60" w:line="331" w:lineRule="auto"/>
        <w:ind w:firstLine="397"/>
        <w:jc w:val="both"/>
      </w:pPr>
      <w:r>
        <w:rPr>
          <w:rFonts w:ascii="HY신명조" w:hAnsi="HY신명조" w:eastAsia="HY신명조"/>
          <w:color w:val="000000"/>
          <w:sz w:val="20"/>
        </w:rPr>
        <w:t>첫째, 본 연구는 저장된 코드·데이터·결과에 새 평가기를 적용한 사후 감사다. 같은 제품 설정을 다시 호출한 전향적 재실험이 아니므로 저장 시점 이후 제품 변경과 실행 변동을 반영하지 못한다.</w:t>
      </w:r>
    </w:p>
    <w:p>
      <w:pPr>
        <w:widowControl/>
        <w:spacing w:before="0" w:after="60" w:line="331" w:lineRule="auto"/>
        <w:ind w:firstLine="397"/>
        <w:jc w:val="both"/>
      </w:pPr>
      <w:r>
        <w:rPr>
          <w:rFonts w:ascii="HY신명조" w:hAnsi="HY신명조" w:eastAsia="HY신명조"/>
          <w:color w:val="000000"/>
          <w:sz w:val="20"/>
        </w:rPr>
        <w:t>둘째, 변이 후 보호대상은 9,964건에서 규칙 기반으로 복원했지만 독립된 두 명의 사람이 전수를 이중검토한 것은 아니다. 대응이 없거나 고유하지 않은 36건은 제외했으며, 자동 복원의 오류 가능성은 남아 있다.</w:t>
      </w:r>
    </w:p>
    <w:p>
      <w:pPr>
        <w:widowControl/>
        <w:spacing w:before="0" w:after="60" w:line="331" w:lineRule="auto"/>
        <w:ind w:firstLine="397"/>
        <w:jc w:val="both"/>
      </w:pPr>
      <w:r>
        <w:rPr>
          <w:rFonts w:ascii="HY신명조" w:hAnsi="HY신명조" w:eastAsia="HY신명조"/>
          <w:color w:val="000000"/>
          <w:sz w:val="20"/>
        </w:rPr>
        <w:t>셋째, 공개 법령 1,519개와 네 서비스 도메인의 공식 문서 693개를 추가하여 합성 정상 한국어의 약점을 보완했지만, 모두 공개 목적표본이며 실제 고객문의·상담·내부문서의 분포를 대표하지 않는다. 법령 29개와 서비스 문서 48개 탐지 사례는 자동 규칙에 따른 과잉차단 후보이며 독립 검토자 2인의 이중 라벨을 거치지 않았다. 특히 금융 표본은 29개로 작다. 따라서 1.91%나 6.93%를 실서비스 오탐률로 해석할 수 없고, 운영 유사 자료의 사전등록 표본과 독립 이중라벨이 추가로 필요하다.</w:t>
      </w:r>
    </w:p>
    <w:p>
      <w:pPr>
        <w:widowControl/>
        <w:spacing w:before="0" w:after="60" w:line="331" w:lineRule="auto"/>
        <w:ind w:firstLine="397"/>
        <w:jc w:val="both"/>
      </w:pPr>
      <w:r>
        <w:rPr>
          <w:rFonts w:ascii="HY신명조" w:hAnsi="HY신명조" w:eastAsia="HY신명조"/>
          <w:color w:val="000000"/>
          <w:sz w:val="20"/>
        </w:rPr>
        <w:t>넷째, 상용 제품의 실제 호출 결과는 평가 시점과 설정에 종속된다. 본 연구는 공식 현재 문서와 저장 결과를 대조했지만 당시 모든 guardrail ID·version·entity 설정을 완전하게 복원하지 못했다.</w:t>
      </w:r>
    </w:p>
    <w:p>
      <w:pPr>
        <w:widowControl/>
        <w:spacing w:before="0" w:after="60" w:line="331" w:lineRule="auto"/>
        <w:ind w:firstLine="397"/>
        <w:jc w:val="both"/>
      </w:pPr>
      <w:r>
        <w:rPr>
          <w:rFonts w:ascii="HY신명조" w:hAnsi="HY신명조" w:eastAsia="HY신명조"/>
          <w:color w:val="000000"/>
          <w:sz w:val="20"/>
        </w:rPr>
        <w:t>다섯째, 합성 페이로드의 미차단은 실제 피해율이나 범죄 발생률이 아니다. 실제 피해, 공격자의 적응, 조직의 감독과 대응을 포함하려면 별도 현장연구가 필요하다.</w:t>
      </w:r>
    </w:p>
    <w:p>
      <w:pPr>
        <w:widowControl/>
        <w:spacing w:before="0" w:after="60" w:line="331" w:lineRule="auto"/>
        <w:ind w:firstLine="397"/>
        <w:jc w:val="both"/>
      </w:pPr>
      <w:r>
        <w:rPr>
          <w:rFonts w:ascii="HY신명조" w:hAnsi="HY신명조" w:eastAsia="HY신명조"/>
          <w:color w:val="000000"/>
          <w:sz w:val="20"/>
        </w:rPr>
        <w:t>여섯째, 저장소 ref의 검색은 기준일 현재 접근 가능한 원격에 한정된다. 삭제된 브랜치, 미공개 외부 저장소 또는 로컬에만 존재했던 코퍼스는 확인할 수 없다.</w:t>
      </w:r>
    </w:p>
    <w:p>
      <w:pPr>
        <w:pStyle w:val="Heading1"/>
        <w:keepNext/>
        <w:keepLines/>
      </w:pPr>
      <w:r>
        <w:rPr>
          <w:rFonts w:ascii="HY견고딕" w:hAnsi="HY견고딕" w:eastAsia="HY견고딕"/>
          <w:b/>
          <w:color w:val="000000"/>
          <w:sz w:val="28"/>
        </w:rPr>
        <w:t>VIII. 결론</w:t>
      </w:r>
    </w:p>
    <w:p>
      <w:pPr>
        <w:widowControl/>
        <w:spacing w:before="0" w:after="60" w:line="331" w:lineRule="auto"/>
        <w:ind w:firstLine="397"/>
        <w:jc w:val="both"/>
      </w:pPr>
      <w:r>
        <w:rPr>
          <w:rFonts w:ascii="HY신명조" w:hAnsi="HY신명조" w:eastAsia="HY신명조"/>
          <w:color w:val="000000"/>
          <w:sz w:val="20"/>
        </w:rPr>
        <w:t>다계층 가드레일이 있어도 한국어 PII가 차단되지 않은 채 통과할 가능성은 존재한다. 변이 후 보호대상을 복원한 9,964건에서 기존 3계층의 미차단은 2,060건(20.67%)이었다. 동일 원천값의 한국어 사례에서는 미차단율이 원형 24.47%에서 변이 32.28%로 증가했고, 특히 보호대상 값 자체가 변한 사례에서 9.12%에서 18.75%로 증가하였다. 따라서 “모든 문맥 변형이 위험하다”는 주장은 지지되지 않지만, 한국어 PII 자체의 문자·인코딩·표기 변형이 기존 방어를 더 쉽게 통과하게 할 수 있다는 결론은 지지된다.</w:t>
      </w:r>
    </w:p>
    <w:p>
      <w:pPr>
        <w:widowControl/>
        <w:spacing w:before="0" w:after="60" w:line="331" w:lineRule="auto"/>
        <w:ind w:firstLine="397"/>
        <w:jc w:val="both"/>
      </w:pPr>
      <w:r>
        <w:rPr>
          <w:rFonts w:ascii="HY신명조" w:hAnsi="HY신명조" w:eastAsia="HY신명조"/>
          <w:color w:val="000000"/>
          <w:sz w:val="20"/>
        </w:rPr>
        <w:t xml:space="preserve">Layer 0를 추가한 구성의 미차단은 706건(7.09%)이었고, 기존 계층이 놓친 1,354건을 추가로 차단하였다. 그중 1,353건은 Layer 0의 직접 </w:t>
      </w:r>
      <w:r>
        <w:rPr>
          <w:rFonts w:ascii="Consolas" w:hAnsi="Consolas" w:eastAsia="Consolas"/>
          <w:color w:val="000000"/>
          <w:sz w:val="19"/>
        </w:rPr>
        <w:t>BLOCK/[BLOCKED]</w:t>
      </w:r>
      <w:r>
        <w:rPr>
          <w:rFonts w:ascii="HY신명조" w:hAnsi="HY신명조" w:eastAsia="HY신명조"/>
          <w:color w:val="000000"/>
          <w:sz w:val="20"/>
        </w:rPr>
        <w:t>였다. 반대 방향 사례는 없었다. 따라서 한국어 생성형 AI 서비스에는 변형을 후속 계층 이전에 정규화하고 한국어 패턴을 검사하는 Layer 0가 필수 심층방어 계층으로 필요하다. 그러나 706건의 잔존 미차단, 법령 29건과 서비스 문서 48건의 과잉차단 후보는 Layer 0가 충분조건이 아니며 개인 귀속 문맥을 확인하는 완화와 후속 검증이 필요함을 동시에 보여준다.</w:t>
      </w:r>
    </w:p>
    <w:p>
      <w:pPr>
        <w:widowControl/>
        <w:spacing w:before="0" w:after="60" w:line="331" w:lineRule="auto"/>
        <w:ind w:firstLine="397"/>
        <w:jc w:val="both"/>
      </w:pPr>
      <w:r>
        <w:rPr>
          <w:rFonts w:ascii="HY신명조" w:hAnsi="HY신명조" w:eastAsia="HY신명조"/>
          <w:color w:val="000000"/>
          <w:sz w:val="20"/>
        </w:rPr>
        <w:t>정책적 결론은 두 층위로 정리할 수 있다. 첫째, 현재 저장 실험에서는 변형된 한국어 PII의 기술적 유출 가능성이 증가하고 Layer 0가 이를 실질적으로 줄였으므로, 조직은 Layer 0와 동등한 입력 정규화·차단 기능을 배치하고 그 효과를 입증해야 한다. 둘째, 그 효과를 실제 서비스와 법적 준수에 일반화하려면 변이 후 gold span·단일 평가기·복수 도메인 hard negative·사람 이중검토·버전 공개·깨끗한 환경 재현을 갖추고 과잉차단도 함께 통제해야 한다. 형사정책은 특정 제품의 단일 점수를 처벌기준으로 삼기보다 보호조치의 실효성과 비례성을 독립적으로 입증하도록 하는 절차와 감사가능성을 제도화해야 한다.</w:t>
      </w:r>
    </w:p>
    <w:p>
      <w:pPr>
        <w:pStyle w:val="Heading1"/>
        <w:keepNext/>
        <w:keepLines/>
      </w:pPr>
      <w:r>
        <w:rPr>
          <w:rFonts w:ascii="HY견고딕" w:hAnsi="HY견고딕" w:eastAsia="HY견고딕"/>
          <w:b/>
          <w:color w:val="000000"/>
          <w:sz w:val="28"/>
        </w:rPr>
        <w:t>부록: 결과 해석을 위한 주의문</w:t>
      </w:r>
    </w:p>
    <w:p>
      <w:pPr>
        <w:widowControl/>
        <w:spacing w:before="0" w:after="60" w:line="331" w:lineRule="auto"/>
        <w:ind w:firstLine="397"/>
        <w:jc w:val="both"/>
      </w:pPr>
      <w:r>
        <w:rPr>
          <w:rFonts w:ascii="HY신명조" w:hAnsi="HY신명조" w:eastAsia="HY신명조"/>
          <w:color w:val="000000"/>
          <w:sz w:val="20"/>
        </w:rPr>
        <w:t>본 원고의 1차 분석은 10,000건 중 변이 후 보호대상을 자동 복원할 수 있었던 9,964건과, 동일 원천값으로 연결된 3,461쌍을 대상으로 한다. 복원 스크립트는 문자열을 원형으로 정규화했을 뿐 보호대상이 남은 경우를 차단 성공으로 계산하지 않으며, 36건의 불확실 사례는 제외한다.</w:t>
      </w:r>
    </w:p>
    <w:p>
      <w:pPr>
        <w:widowControl/>
        <w:spacing w:before="0" w:after="60" w:line="331" w:lineRule="auto"/>
        <w:ind w:firstLine="397"/>
        <w:jc w:val="both"/>
      </w:pPr>
      <w:r>
        <w:rPr>
          <w:rFonts w:ascii="HY신명조" w:hAnsi="HY신명조" w:eastAsia="HY신명조"/>
          <w:color w:val="000000"/>
          <w:sz w:val="20"/>
        </w:rPr>
        <w:t>A/B/C/D 수치는 같은 저장 산출물에 새 평가기를 적용한 감사 결과다. 당시 제품 설정을 복원한 전향적 재실행이나 현재 제품의 보편적 순위를 뜻하지 않는다. 법령·의료·금융·지원·개발문서 감사는 실제 공개문서에서 도메인별 어휘적 과잉차단 차이를 확인했지만 운영 트래픽을 대표하지 않는다. 제품 선택이나 규제기준에 사용하려면 자동 복원 표본과 77개 과잉차단 후보의 독립 사람 검토, 운영 유사 자료의 외부검증, 설정을 고정한 재실험이 추가되어야 한다.</w:t>
      </w:r>
    </w:p>
    <w:p>
      <w:pPr>
        <w:pStyle w:val="Heading1"/>
        <w:keepNext/>
        <w:keepLines/>
      </w:pPr>
      <w:r>
        <w:rPr>
          <w:rFonts w:ascii="HY견고딕" w:hAnsi="HY견고딕" w:eastAsia="HY견고딕"/>
          <w:b/>
          <w:color w:val="000000"/>
          <w:sz w:val="28"/>
        </w:rPr>
        <w:t>참고문헌</w:t>
      </w:r>
    </w:p>
    <w:p>
      <w:pPr>
        <w:pStyle w:val="Heading2"/>
        <w:keepNext/>
        <w:keepLines/>
      </w:pPr>
      <w:r>
        <w:rPr>
          <w:rFonts w:ascii="HY견고딕" w:hAnsi="HY견고딕" w:eastAsia="HY견고딕"/>
          <w:b/>
          <w:color w:val="000000"/>
          <w:sz w:val="24"/>
        </w:rPr>
        <w:t>1. 국내문헌</w:t>
      </w:r>
    </w:p>
    <w:p>
      <w:pPr>
        <w:widowControl/>
        <w:spacing w:before="0" w:after="60" w:line="331" w:lineRule="auto"/>
        <w:ind w:firstLine="397"/>
        <w:jc w:val="both"/>
      </w:pPr>
      <w:r>
        <w:rPr>
          <w:rFonts w:ascii="HY신명조" w:hAnsi="HY신명조" w:eastAsia="HY신명조"/>
          <w:color w:val="000000"/>
          <w:sz w:val="20"/>
        </w:rPr>
        <w:t xml:space="preserve">박기태·조제성. (2017). 청소년의 일상적 생활양식이 사이버범죄피해에 미치는 영향. </w:t>
      </w:r>
      <w:r>
        <w:rPr>
          <w:rFonts w:ascii="HY신명조" w:hAnsi="HY신명조" w:eastAsia="HY신명조"/>
          <w:i/>
          <w:color w:val="000000"/>
          <w:sz w:val="20"/>
        </w:rPr>
        <w:t>경찰학연구</w:t>
      </w:r>
      <w:r>
        <w:rPr>
          <w:rFonts w:ascii="HY신명조" w:hAnsi="HY신명조" w:eastAsia="HY신명조"/>
          <w:color w:val="000000"/>
          <w:sz w:val="20"/>
        </w:rPr>
        <w:t>, 17(3), 141–168. https://doi.org/10.22816/polsci.2017.17.3.006</w:t>
      </w:r>
    </w:p>
    <w:p>
      <w:pPr>
        <w:widowControl/>
        <w:spacing w:before="0" w:after="60" w:line="331" w:lineRule="auto"/>
        <w:ind w:firstLine="397"/>
        <w:jc w:val="both"/>
      </w:pPr>
      <w:r>
        <w:rPr>
          <w:rFonts w:ascii="HY신명조" w:hAnsi="HY신명조" w:eastAsia="HY신명조"/>
          <w:color w:val="000000"/>
          <w:sz w:val="20"/>
        </w:rPr>
        <w:t xml:space="preserve">서지혜·최진선·박진수. (2020). A Lifestyle-Routine Activity Theory (LRAT) Approach to Cybercrime Victimization: An Empirical Assessment of SNS Lifestyle Exposure Activities. </w:t>
      </w:r>
      <w:r>
        <w:rPr>
          <w:rFonts w:ascii="HY신명조" w:hAnsi="HY신명조" w:eastAsia="HY신명조"/>
          <w:i/>
          <w:color w:val="000000"/>
          <w:sz w:val="20"/>
        </w:rPr>
        <w:t>Asia Pacific Journal of Information Systems</w:t>
      </w:r>
      <w:r>
        <w:rPr>
          <w:rFonts w:ascii="HY신명조" w:hAnsi="HY신명조" w:eastAsia="HY신명조"/>
          <w:color w:val="000000"/>
          <w:sz w:val="20"/>
        </w:rPr>
        <w:t>, 30(1), 53–71. https://doi.org/10.14329/apjis.2020.30.1.53</w:t>
      </w:r>
    </w:p>
    <w:p>
      <w:pPr>
        <w:widowControl/>
        <w:spacing w:before="0" w:after="60" w:line="331" w:lineRule="auto"/>
        <w:ind w:firstLine="397"/>
        <w:jc w:val="both"/>
      </w:pPr>
      <w:r>
        <w:rPr>
          <w:rFonts w:ascii="HY신명조" w:hAnsi="HY신명조" w:eastAsia="HY신명조"/>
          <w:color w:val="000000"/>
          <w:sz w:val="20"/>
        </w:rPr>
        <w:t xml:space="preserve">이윤호·김도우·유영재. (2011). 사이버 공간에서의 일상활동과 범죄피해. </w:t>
      </w:r>
      <w:r>
        <w:rPr>
          <w:rFonts w:ascii="HY신명조" w:hAnsi="HY신명조" w:eastAsia="HY신명조"/>
          <w:i/>
          <w:color w:val="000000"/>
          <w:sz w:val="20"/>
        </w:rPr>
        <w:t>한국공안행정학회보</w:t>
      </w:r>
      <w:r>
        <w:rPr>
          <w:rFonts w:ascii="HY신명조" w:hAnsi="HY신명조" w:eastAsia="HY신명조"/>
          <w:color w:val="000000"/>
          <w:sz w:val="20"/>
        </w:rPr>
        <w:t>, 20(3), 213–240.</w:t>
      </w:r>
    </w:p>
    <w:p>
      <w:pPr>
        <w:widowControl/>
        <w:spacing w:before="0" w:after="60" w:line="331" w:lineRule="auto"/>
        <w:ind w:firstLine="397"/>
        <w:jc w:val="both"/>
      </w:pPr>
      <w:r>
        <w:rPr>
          <w:rFonts w:ascii="HY신명조" w:hAnsi="HY신명조" w:eastAsia="HY신명조"/>
          <w:color w:val="000000"/>
          <w:sz w:val="20"/>
        </w:rPr>
        <w:t xml:space="preserve">노희주·조윤오. (2025). 온라인 괴롭힘 반복피해의 영향 요인에 관한 연구: 생활양식-일상활동 이론을 중심으로. </w:t>
      </w:r>
      <w:r>
        <w:rPr>
          <w:rFonts w:ascii="HY신명조" w:hAnsi="HY신명조" w:eastAsia="HY신명조"/>
          <w:i/>
          <w:color w:val="000000"/>
          <w:sz w:val="20"/>
        </w:rPr>
        <w:t>교정담론</w:t>
      </w:r>
      <w:r>
        <w:rPr>
          <w:rFonts w:ascii="HY신명조" w:hAnsi="HY신명조" w:eastAsia="HY신명조"/>
          <w:color w:val="000000"/>
          <w:sz w:val="20"/>
        </w:rPr>
        <w:t>, 19(1), 63–94.</w:t>
      </w:r>
    </w:p>
    <w:p>
      <w:pPr>
        <w:widowControl/>
        <w:spacing w:before="0" w:after="60" w:line="331" w:lineRule="auto"/>
        <w:ind w:firstLine="397"/>
        <w:jc w:val="both"/>
      </w:pPr>
      <w:r>
        <w:rPr>
          <w:rFonts w:ascii="HY신명조" w:hAnsi="HY신명조" w:eastAsia="HY신명조"/>
          <w:color w:val="000000"/>
          <w:sz w:val="20"/>
        </w:rPr>
        <w:t xml:space="preserve">블라데미르 T. 콩고·여승준·최진혁. (2025). Applying Routine Activity Theory To Cybercrime: Revisiting ‘VIVA’ Model. </w:t>
      </w:r>
      <w:r>
        <w:rPr>
          <w:rFonts w:ascii="HY신명조" w:hAnsi="HY신명조" w:eastAsia="HY신명조"/>
          <w:i/>
          <w:color w:val="000000"/>
          <w:sz w:val="20"/>
        </w:rPr>
        <w:t>한국경찰학회보</w:t>
      </w:r>
      <w:r>
        <w:rPr>
          <w:rFonts w:ascii="HY신명조" w:hAnsi="HY신명조" w:eastAsia="HY신명조"/>
          <w:color w:val="000000"/>
          <w:sz w:val="20"/>
        </w:rPr>
        <w:t>, 27(1), 61–90.</w:t>
      </w:r>
    </w:p>
    <w:p>
      <w:pPr>
        <w:pStyle w:val="Heading2"/>
        <w:keepNext/>
        <w:keepLines/>
      </w:pPr>
      <w:r>
        <w:rPr>
          <w:rFonts w:ascii="HY견고딕" w:hAnsi="HY견고딕" w:eastAsia="HY견고딕"/>
          <w:b/>
          <w:color w:val="000000"/>
          <w:sz w:val="24"/>
        </w:rPr>
        <w:t>2. 국외문헌</w:t>
      </w:r>
    </w:p>
    <w:p>
      <w:pPr>
        <w:widowControl/>
        <w:spacing w:before="0" w:after="60" w:line="331" w:lineRule="auto"/>
        <w:ind w:firstLine="397"/>
        <w:jc w:val="both"/>
      </w:pPr>
      <w:r>
        <w:rPr>
          <w:rFonts w:ascii="HY신명조" w:hAnsi="HY신명조" w:eastAsia="HY신명조"/>
          <w:color w:val="000000"/>
          <w:sz w:val="20"/>
        </w:rPr>
        <w:t xml:space="preserve">Clarke, R. V. (1980). “Situational” Crime Prevention: Theory and Practice. </w:t>
      </w:r>
      <w:r>
        <w:rPr>
          <w:rFonts w:ascii="HY신명조" w:hAnsi="HY신명조" w:eastAsia="HY신명조"/>
          <w:i/>
          <w:color w:val="000000"/>
          <w:sz w:val="20"/>
        </w:rPr>
        <w:t>The British Journal of Criminology</w:t>
      </w:r>
      <w:r>
        <w:rPr>
          <w:rFonts w:ascii="HY신명조" w:hAnsi="HY신명조" w:eastAsia="HY신명조"/>
          <w:color w:val="000000"/>
          <w:sz w:val="20"/>
        </w:rPr>
        <w:t>, 20(2), 136–147. https://doi.org/10.1093/oxfordjournals.bjc.a047153</w:t>
      </w:r>
    </w:p>
    <w:p>
      <w:pPr>
        <w:widowControl/>
        <w:spacing w:before="0" w:after="60" w:line="331" w:lineRule="auto"/>
        <w:ind w:firstLine="397"/>
        <w:jc w:val="both"/>
      </w:pPr>
      <w:r>
        <w:rPr>
          <w:rFonts w:ascii="HY신명조" w:hAnsi="HY신명조" w:eastAsia="HY신명조"/>
          <w:color w:val="000000"/>
          <w:sz w:val="20"/>
        </w:rPr>
        <w:t xml:space="preserve">Clarke, R. V. (1983). Situational Crime Prevention: Its Theoretical Basis and Practical Scope. </w:t>
      </w:r>
      <w:r>
        <w:rPr>
          <w:rFonts w:ascii="HY신명조" w:hAnsi="HY신명조" w:eastAsia="HY신명조"/>
          <w:i/>
          <w:color w:val="000000"/>
          <w:sz w:val="20"/>
        </w:rPr>
        <w:t>Crime and Justice</w:t>
      </w:r>
      <w:r>
        <w:rPr>
          <w:rFonts w:ascii="HY신명조" w:hAnsi="HY신명조" w:eastAsia="HY신명조"/>
          <w:color w:val="000000"/>
          <w:sz w:val="20"/>
        </w:rPr>
        <w:t>, 4, 225–256. https://doi.org/10.1086/449090</w:t>
      </w:r>
    </w:p>
    <w:p>
      <w:pPr>
        <w:widowControl/>
        <w:spacing w:before="0" w:after="60" w:line="331" w:lineRule="auto"/>
        <w:ind w:firstLine="397"/>
        <w:jc w:val="both"/>
      </w:pPr>
      <w:r>
        <w:rPr>
          <w:rFonts w:ascii="HY신명조" w:hAnsi="HY신명조" w:eastAsia="HY신명조"/>
          <w:color w:val="000000"/>
          <w:sz w:val="20"/>
        </w:rPr>
        <w:t xml:space="preserve">Cohen, L. E., &amp; Felson, M. (1979). Social Change and Crime Rate Trends: A Routine Activity Approach. </w:t>
      </w:r>
      <w:r>
        <w:rPr>
          <w:rFonts w:ascii="HY신명조" w:hAnsi="HY신명조" w:eastAsia="HY신명조"/>
          <w:i/>
          <w:color w:val="000000"/>
          <w:sz w:val="20"/>
        </w:rPr>
        <w:t>American Sociological Review</w:t>
      </w:r>
      <w:r>
        <w:rPr>
          <w:rFonts w:ascii="HY신명조" w:hAnsi="HY신명조" w:eastAsia="HY신명조"/>
          <w:color w:val="000000"/>
          <w:sz w:val="20"/>
        </w:rPr>
        <w:t>, 44(4), 588–608. https://doi.org/10.2307/2094589</w:t>
      </w:r>
    </w:p>
    <w:p>
      <w:pPr>
        <w:widowControl/>
        <w:spacing w:before="0" w:after="60" w:line="331" w:lineRule="auto"/>
        <w:ind w:firstLine="397"/>
        <w:jc w:val="both"/>
      </w:pPr>
      <w:r>
        <w:rPr>
          <w:rFonts w:ascii="HY신명조" w:hAnsi="HY신명조" w:eastAsia="HY신명조"/>
          <w:color w:val="000000"/>
          <w:sz w:val="20"/>
        </w:rPr>
        <w:t xml:space="preserve">Felson, M., &amp; Clarke, R. V. (1998). </w:t>
      </w:r>
      <w:r>
        <w:rPr>
          <w:rFonts w:ascii="HY신명조" w:hAnsi="HY신명조" w:eastAsia="HY신명조"/>
          <w:i/>
          <w:color w:val="000000"/>
          <w:sz w:val="20"/>
        </w:rPr>
        <w:t>Opportunity Makes the Thief: Practical Theory for Crime Prevention</w:t>
      </w:r>
      <w:r>
        <w:rPr>
          <w:rFonts w:ascii="HY신명조" w:hAnsi="HY신명조" w:eastAsia="HY신명조"/>
          <w:color w:val="000000"/>
          <w:sz w:val="20"/>
        </w:rPr>
        <w:t>. Home Office, Police Research Series Paper 98.</w:t>
      </w:r>
    </w:p>
    <w:p>
      <w:pPr>
        <w:widowControl/>
        <w:spacing w:before="0" w:after="60" w:line="331" w:lineRule="auto"/>
        <w:ind w:firstLine="397"/>
        <w:jc w:val="both"/>
      </w:pPr>
      <w:r>
        <w:rPr>
          <w:rFonts w:ascii="HY신명조" w:hAnsi="HY신명조" w:eastAsia="HY신명조"/>
          <w:color w:val="000000"/>
          <w:sz w:val="20"/>
        </w:rPr>
        <w:t xml:space="preserve">Leukfeldt, E. R., &amp; Yar, M. (2016). Applying Routine Activity Theory to Cybercrime: A Theoretical and Empirical Analysis. </w:t>
      </w:r>
      <w:r>
        <w:rPr>
          <w:rFonts w:ascii="HY신명조" w:hAnsi="HY신명조" w:eastAsia="HY신명조"/>
          <w:i/>
          <w:color w:val="000000"/>
          <w:sz w:val="20"/>
        </w:rPr>
        <w:t>Deviant Behavior</w:t>
      </w:r>
      <w:r>
        <w:rPr>
          <w:rFonts w:ascii="HY신명조" w:hAnsi="HY신명조" w:eastAsia="HY신명조"/>
          <w:color w:val="000000"/>
          <w:sz w:val="20"/>
        </w:rPr>
        <w:t>, 37(3), 263–280. https://doi.org/10.1080/01639625.2015.1012409</w:t>
      </w:r>
    </w:p>
    <w:p>
      <w:pPr>
        <w:widowControl/>
        <w:spacing w:before="0" w:after="60" w:line="331" w:lineRule="auto"/>
        <w:ind w:firstLine="397"/>
        <w:jc w:val="both"/>
      </w:pPr>
      <w:r>
        <w:rPr>
          <w:rFonts w:ascii="HY신명조" w:hAnsi="HY신명조" w:eastAsia="HY신명조"/>
          <w:color w:val="000000"/>
          <w:sz w:val="20"/>
        </w:rPr>
        <w:t xml:space="preserve">Reppetto, T. A. (1976). Crime Prevention and the Displacement Phenomenon. </w:t>
      </w:r>
      <w:r>
        <w:rPr>
          <w:rFonts w:ascii="HY신명조" w:hAnsi="HY신명조" w:eastAsia="HY신명조"/>
          <w:i/>
          <w:color w:val="000000"/>
          <w:sz w:val="20"/>
        </w:rPr>
        <w:t>Crime &amp; Delinquency</w:t>
      </w:r>
      <w:r>
        <w:rPr>
          <w:rFonts w:ascii="HY신명조" w:hAnsi="HY신명조" w:eastAsia="HY신명조"/>
          <w:color w:val="000000"/>
          <w:sz w:val="20"/>
        </w:rPr>
        <w:t>, 22(2), 166–177. https://doi.org/10.1177/001112877602200204</w:t>
      </w:r>
    </w:p>
    <w:p>
      <w:pPr>
        <w:widowControl/>
        <w:spacing w:before="0" w:after="60" w:line="331" w:lineRule="auto"/>
        <w:ind w:firstLine="397"/>
        <w:jc w:val="both"/>
      </w:pPr>
      <w:r>
        <w:rPr>
          <w:rFonts w:ascii="HY신명조" w:hAnsi="HY신명조" w:eastAsia="HY신명조"/>
          <w:color w:val="000000"/>
          <w:sz w:val="20"/>
        </w:rPr>
        <w:t xml:space="preserve">Williams, M. L. (2016). Guardians Upon High: An Application of Routine Activities Theory to Online Identity Theft in Europe at the Country and Individual Level. </w:t>
      </w:r>
      <w:r>
        <w:rPr>
          <w:rFonts w:ascii="HY신명조" w:hAnsi="HY신명조" w:eastAsia="HY신명조"/>
          <w:i/>
          <w:color w:val="000000"/>
          <w:sz w:val="20"/>
        </w:rPr>
        <w:t>The British Journal of Criminology</w:t>
      </w:r>
      <w:r>
        <w:rPr>
          <w:rFonts w:ascii="HY신명조" w:hAnsi="HY신명조" w:eastAsia="HY신명조"/>
          <w:color w:val="000000"/>
          <w:sz w:val="20"/>
        </w:rPr>
        <w:t>, 56(1), 21–48. https://doi.org/10.1093/bjc/azv011</w:t>
      </w:r>
    </w:p>
    <w:p>
      <w:pPr>
        <w:widowControl/>
        <w:spacing w:before="0" w:after="60" w:line="331" w:lineRule="auto"/>
        <w:ind w:firstLine="397"/>
        <w:jc w:val="both"/>
      </w:pPr>
      <w:r>
        <w:rPr>
          <w:rFonts w:ascii="HY신명조" w:hAnsi="HY신명조" w:eastAsia="HY신명조"/>
          <w:color w:val="000000"/>
          <w:sz w:val="20"/>
        </w:rPr>
        <w:t xml:space="preserve">Yar, M. (2005). The Novelty of “Cybercrime”: An Assessment in Light of Routine Activity Theory. </w:t>
      </w:r>
      <w:r>
        <w:rPr>
          <w:rFonts w:ascii="HY신명조" w:hAnsi="HY신명조" w:eastAsia="HY신명조"/>
          <w:i/>
          <w:color w:val="000000"/>
          <w:sz w:val="20"/>
        </w:rPr>
        <w:t>European Journal of Criminology</w:t>
      </w:r>
      <w:r>
        <w:rPr>
          <w:rFonts w:ascii="HY신명조" w:hAnsi="HY신명조" w:eastAsia="HY신명조"/>
          <w:color w:val="000000"/>
          <w:sz w:val="20"/>
        </w:rPr>
        <w:t>, 2(4), 407–427. https://doi.org/10.1177/147737080556056</w:t>
      </w:r>
    </w:p>
    <w:p>
      <w:pPr>
        <w:pStyle w:val="Heading2"/>
        <w:keepNext/>
        <w:keepLines/>
      </w:pPr>
      <w:r>
        <w:rPr>
          <w:rFonts w:ascii="HY견고딕" w:hAnsi="HY견고딕" w:eastAsia="HY견고딕"/>
          <w:b/>
          <w:color w:val="000000"/>
          <w:sz w:val="24"/>
        </w:rPr>
        <w:t>3. 법령·공식자료</w:t>
      </w:r>
    </w:p>
    <w:p>
      <w:pPr>
        <w:widowControl/>
        <w:spacing w:before="0" w:after="60" w:line="331" w:lineRule="auto"/>
        <w:ind w:firstLine="397"/>
        <w:jc w:val="both"/>
      </w:pPr>
      <w:r>
        <w:rPr>
          <w:rFonts w:ascii="HY신명조" w:hAnsi="HY신명조" w:eastAsia="HY신명조"/>
          <w:color w:val="000000"/>
          <w:sz w:val="20"/>
        </w:rPr>
        <w:t>개인정보 보호법. 법률 제20897호, 2025. 4. 1. 일부개정, 2025. 10. 2. 시행.</w:t>
      </w:r>
    </w:p>
    <w:p>
      <w:pPr>
        <w:widowControl/>
        <w:spacing w:before="0" w:after="60" w:line="331" w:lineRule="auto"/>
        <w:ind w:firstLine="397"/>
        <w:jc w:val="both"/>
      </w:pPr>
      <w:r>
        <w:rPr>
          <w:rFonts w:ascii="HY신명조" w:hAnsi="HY신명조" w:eastAsia="HY신명조"/>
          <w:color w:val="000000"/>
          <w:sz w:val="20"/>
        </w:rPr>
        <w:t>개인정보 보호법 시행령. 대통령령 제36340호, 2026. 5. 19. 일부개정·시행.</w:t>
      </w:r>
    </w:p>
    <w:p>
      <w:pPr>
        <w:widowControl/>
        <w:spacing w:before="0" w:after="60" w:line="331" w:lineRule="auto"/>
        <w:ind w:firstLine="397"/>
        <w:jc w:val="both"/>
      </w:pPr>
      <w:r>
        <w:rPr>
          <w:rFonts w:ascii="HY신명조" w:hAnsi="HY신명조" w:eastAsia="HY신명조"/>
          <w:color w:val="000000"/>
          <w:sz w:val="20"/>
        </w:rPr>
        <w:t>인공지능 발전과 신뢰 기반 조성 등에 관한 기본법. 법률 제21311호, 2026. 1. 20. 일부개정. 본문 인용 조문 제31조·제33조·제34조·제35조·제43조 시행일 2026. 1. 22.; 일부 개정 조문 시행일 2026. 7. 21.</w:t>
      </w:r>
    </w:p>
    <w:p>
      <w:pPr>
        <w:widowControl/>
        <w:spacing w:before="0" w:after="60" w:line="331" w:lineRule="auto"/>
        <w:ind w:firstLine="397"/>
        <w:jc w:val="both"/>
      </w:pPr>
      <w:r>
        <w:rPr>
          <w:rFonts w:ascii="HY신명조" w:hAnsi="HY신명조" w:eastAsia="HY신명조"/>
          <w:color w:val="000000"/>
          <w:sz w:val="20"/>
        </w:rPr>
        <w:t xml:space="preserve">법제처. </w:t>
      </w:r>
      <w:r>
        <w:rPr>
          <w:rFonts w:ascii="HY신명조" w:hAnsi="HY신명조" w:eastAsia="HY신명조"/>
          <w:i/>
          <w:color w:val="000000"/>
          <w:sz w:val="20"/>
        </w:rPr>
        <w:t>국가법령정보 공동활용 LAW OPEN DATA</w:t>
      </w:r>
      <w:r>
        <w:rPr>
          <w:rFonts w:ascii="HY신명조" w:hAnsi="HY신명조" w:eastAsia="HY신명조"/>
          <w:color w:val="000000"/>
          <w:sz w:val="20"/>
        </w:rPr>
        <w:t>. https://open.law.go.kr/LSO/information/service.do (접근일: 2026. 7. 26).</w:t>
      </w:r>
    </w:p>
    <w:p>
      <w:pPr>
        <w:widowControl/>
        <w:spacing w:before="0" w:after="60" w:line="331" w:lineRule="auto"/>
        <w:ind w:firstLine="397"/>
        <w:jc w:val="both"/>
      </w:pPr>
      <w:r>
        <w:rPr>
          <w:rFonts w:ascii="HY신명조" w:hAnsi="HY신명조" w:eastAsia="HY신명조"/>
          <w:color w:val="000000"/>
          <w:sz w:val="20"/>
        </w:rPr>
        <w:t xml:space="preserve">Amazon Web Services. </w:t>
      </w:r>
      <w:r>
        <w:rPr>
          <w:rFonts w:ascii="HY신명조" w:hAnsi="HY신명조" w:eastAsia="HY신명조"/>
          <w:i/>
          <w:color w:val="000000"/>
          <w:sz w:val="20"/>
        </w:rPr>
        <w:t>Languages supported by Amazon Bedrock Guardrails</w:t>
      </w:r>
      <w:r>
        <w:rPr>
          <w:rFonts w:ascii="HY신명조" w:hAnsi="HY신명조" w:eastAsia="HY신명조"/>
          <w:color w:val="000000"/>
          <w:sz w:val="20"/>
        </w:rPr>
        <w:t>. https://docs.aws.amazon.com/bedrock/latest/userguide/guardrails-supported-languages.html (접근일: 2026. 7. 26).</w:t>
      </w:r>
    </w:p>
    <w:p>
      <w:pPr>
        <w:widowControl/>
        <w:spacing w:before="0" w:after="60" w:line="331" w:lineRule="auto"/>
        <w:ind w:firstLine="397"/>
        <w:jc w:val="both"/>
      </w:pPr>
      <w:r>
        <w:rPr>
          <w:rFonts w:ascii="HY신명조" w:hAnsi="HY신명조" w:eastAsia="HY신명조"/>
          <w:color w:val="000000"/>
          <w:sz w:val="20"/>
        </w:rPr>
        <w:t xml:space="preserve">Data Privacy Stack. </w:t>
      </w:r>
      <w:r>
        <w:rPr>
          <w:rFonts w:ascii="HY신명조" w:hAnsi="HY신명조" w:eastAsia="HY신명조"/>
          <w:i/>
          <w:color w:val="000000"/>
          <w:sz w:val="20"/>
        </w:rPr>
        <w:t>Presidio: Supported entities</w:t>
      </w:r>
      <w:r>
        <w:rPr>
          <w:rFonts w:ascii="HY신명조" w:hAnsi="HY신명조" w:eastAsia="HY신명조"/>
          <w:color w:val="000000"/>
          <w:sz w:val="20"/>
        </w:rPr>
        <w:t>. https://presidio.dataprivacystack.org/supported_entities/ (접근일: 2026. 7. 26; Microsoft 문서의 현행 이전 위치).</w:t>
      </w:r>
    </w:p>
    <w:p>
      <w:pPr>
        <w:widowControl/>
        <w:spacing w:before="0" w:after="60" w:line="331" w:lineRule="auto"/>
        <w:ind w:firstLine="397"/>
        <w:jc w:val="both"/>
      </w:pPr>
      <w:r>
        <w:rPr>
          <w:rFonts w:ascii="HY신명조" w:hAnsi="HY신명조" w:eastAsia="HY신명조"/>
          <w:color w:val="000000"/>
          <w:sz w:val="20"/>
        </w:rPr>
        <w:t xml:space="preserve">National Highway Traffic Safety Administration. </w:t>
      </w:r>
      <w:r>
        <w:rPr>
          <w:rFonts w:ascii="HY신명조" w:hAnsi="HY신명조" w:eastAsia="HY신명조"/>
          <w:i/>
          <w:color w:val="000000"/>
          <w:sz w:val="20"/>
        </w:rPr>
        <w:t>The Vehicle Identification Number (VIN)</w:t>
      </w:r>
      <w:r>
        <w:rPr>
          <w:rFonts w:ascii="HY신명조" w:hAnsi="HY신명조" w:eastAsia="HY신명조"/>
          <w:color w:val="000000"/>
          <w:sz w:val="20"/>
        </w:rPr>
        <w:t>. https://www.nhtsa.gov/document/vehicle-identification-number-vin</w:t>
      </w:r>
    </w:p>
    <w:p>
      <w:pPr>
        <w:widowControl/>
        <w:spacing w:before="0" w:after="60" w:line="331" w:lineRule="auto"/>
        <w:ind w:firstLine="397"/>
        <w:jc w:val="both"/>
      </w:pPr>
      <w:r>
        <w:rPr>
          <w:rFonts w:ascii="HY신명조" w:hAnsi="HY신명조" w:eastAsia="HY신명조"/>
          <w:color w:val="000000"/>
          <w:sz w:val="20"/>
        </w:rPr>
        <w:t xml:space="preserve">U.S. Government Publishing Office. </w:t>
      </w:r>
      <w:r>
        <w:rPr>
          <w:rFonts w:ascii="HY신명조" w:hAnsi="HY신명조" w:eastAsia="HY신명조"/>
          <w:i/>
          <w:color w:val="000000"/>
          <w:sz w:val="20"/>
        </w:rPr>
        <w:t>49 CFR Part 565—Vehicle Identification Number Requirements</w:t>
      </w:r>
      <w:r>
        <w:rPr>
          <w:rFonts w:ascii="HY신명조" w:hAnsi="HY신명조" w:eastAsia="HY신명조"/>
          <w:color w:val="000000"/>
          <w:sz w:val="20"/>
        </w:rPr>
        <w:t>. https://www.govinfo.gov/content/pkg/CFR-2019-title49-vol6/pdf/CFR-2019-title49-vol6-part565.pdf</w:t>
      </w:r>
    </w:p>
    <w:p>
      <w:pPr>
        <w:widowControl/>
        <w:spacing w:before="0" w:after="60" w:line="331" w:lineRule="auto"/>
        <w:ind w:firstLine="397"/>
        <w:jc w:val="both"/>
      </w:pPr>
      <w:r>
        <w:rPr>
          <w:rFonts w:ascii="HY신명조" w:hAnsi="HY신명조" w:eastAsia="HY신명조"/>
          <w:color w:val="000000"/>
          <w:sz w:val="20"/>
        </w:rPr>
        <w:t>한국범죄학회. 「범죄와 정책」 소개. https://ksoc.re.kr/%EB%B2%94%EC%A3%84%EC%99%80-%EC%A0%95%EC%B1%85-%EC%86%8C%EA%B0%9C (접근일: 2026. 7. 26).</w:t>
      </w:r>
    </w:p>
    <w:p>
      <w:pPr>
        <w:widowControl/>
        <w:spacing w:before="0" w:after="60" w:line="331" w:lineRule="auto"/>
        <w:ind w:firstLine="397"/>
        <w:jc w:val="both"/>
      </w:pPr>
      <w:r>
        <w:rPr>
          <w:rFonts w:ascii="HY신명조" w:hAnsi="HY신명조" w:eastAsia="HY신명조"/>
          <w:color w:val="000000"/>
          <w:sz w:val="20"/>
        </w:rPr>
        <w:t>한국범죄학회. 「범죄와 정책」 편집규정. https://ksoc.re.kr/%ED%8E%B8%EC%A7%91%EA%B7%9C%EC%A0%95 (접근일: 2026. 7. 26).</w:t>
      </w:r>
    </w:p>
    <w:p>
      <w:pPr>
        <w:spacing w:before="200" w:after="140"/>
        <w:jc w:val="center"/>
      </w:pPr>
      <w:r>
        <w:rPr>
          <w:rFonts w:ascii="HY신명조" w:hAnsi="HY신명조" w:eastAsia="HY신명조"/>
          <w:b/>
          <w:color w:val="000000"/>
          <w:sz w:val="26"/>
        </w:rPr>
        <w:t>ABSTRACT</w:t>
      </w:r>
    </w:p>
    <w:p>
      <w:pPr>
        <w:spacing w:after="100"/>
        <w:jc w:val="center"/>
      </w:pPr>
      <w:r>
        <w:rPr>
          <w:rFonts w:ascii="HY신명조" w:hAnsi="HY신명조" w:eastAsia="HY신명조"/>
          <w:b/>
          <w:color w:val="000000"/>
          <w:sz w:val="26"/>
        </w:rPr>
        <w:t>Korean Personally Identifiable Information Leakage Risks in Generative AI and the Need for a Normalization-Based Layer 0: A Post-Mutation Gold Reconstruction and Matched Guardrail Audit</w:t>
      </w:r>
    </w:p>
    <w:p>
      <w:pPr>
        <w:pStyle w:val="JournalAbstract"/>
        <w:widowControl/>
        <w:spacing w:before="0" w:after="60" w:line="331" w:lineRule="auto"/>
        <w:jc w:val="both"/>
      </w:pPr>
      <w:r>
        <w:rPr>
          <w:rFonts w:ascii="HY신명조" w:hAnsi="HY신명조" w:eastAsia="HY신명조"/>
          <w:color w:val="000000"/>
          <w:sz w:val="20"/>
        </w:rPr>
        <w:t>Korean personally identifiable information (PII) can bypass generative-AI guardrails through character, encoding, and notation changes. This study audits four related repositories, 110 remote references, 10,000 synthetic payloads, and stored outputs from four defense configurations. It reconstructs the post-mutation protected value in 9,964 cases (99.64%). The existing three-layer stack left 2,060 cases unblocked (20.67%), whereas the configuration with Layer 0 left 706 (7.09%). Among 2,305 matched Korean pairs sharing the same PII type and source value, the baseline unblocked rate increased from 24.47% for original cases to 32.28% for mutations. Layer 0 additionally blocked 1,354 cases missed by the baseline. A counter-audit found 29 candidates among 1,519 public-law units and 48 among 693 official medical, finance, support, and developer units, demonstrating context-dependent overblocking. Layer 0 is therefore necessary as an input control that normalizes and screens transformed Korean PII before later layers, but it is not sufficient by itself. Policy use requires post-mutation gold values, a single evaluator, independent human review, disclosed settings and versions, and external validation with operation-like data.</w:t>
      </w:r>
    </w:p>
    <w:p>
      <w:pPr>
        <w:pStyle w:val="JournalAbstract"/>
        <w:widowControl/>
        <w:spacing w:before="0" w:after="60" w:line="331" w:lineRule="auto"/>
        <w:jc w:val="both"/>
      </w:pPr>
      <w:r>
        <w:rPr>
          <w:rFonts w:ascii="HY신명조" w:hAnsi="HY신명조" w:eastAsia="HY신명조"/>
          <w:b/>
          <w:color w:val="000000"/>
          <w:sz w:val="20"/>
        </w:rPr>
        <w:t>Key Words:</w:t>
      </w:r>
      <w:r>
        <w:rPr>
          <w:rFonts w:ascii="HY신명조" w:hAnsi="HY신명조" w:eastAsia="HY신명조"/>
          <w:color w:val="000000"/>
          <w:sz w:val="20"/>
        </w:rPr>
        <w:t xml:space="preserve"> generative artificial intelligence, personally identifiable information, guardrails, Layer 0, normalization, Routine Activity Theory, construct validity, reproducibility</w:t>
      </w:r>
    </w:p>
    <w:sectPr w:rsidR="00FC693F" w:rsidRPr="0006063C" w:rsidSect="00034616">
      <w:footerReference w:type="default" r:id="rId9"/>
      <w:pgSz w:w="11792" w:h="15704"/>
      <w:pgMar w:top="1134" w:right="850" w:bottom="850" w:left="85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HY신명조" w:hAnsi="HY신명조" w:eastAsia="HY신명조"/>
        <w:color w:val="5A5A5A"/>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331" w:lineRule="auto"/>
    </w:pPr>
    <w:rPr>
      <w:rFonts w:ascii="HY신명조" w:hAnsi="HY신명조" w:eastAsia="HY신명조"/>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HY견고딕" w:hAnsi="HY견고딕" w:eastAsia="HY견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HY견고딕" w:hAnsi="HY견고딕" w:eastAsia="HY견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HY견고딕" w:hAnsi="HY견고딕" w:eastAsia="HY견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12" w:lineRule="auto"/>
      <w:ind w:left="397" w:hanging="198"/>
      <w:contextualSpacing/>
    </w:pPr>
    <w:rPr>
      <w:rFonts w:ascii="HY신명조" w:hAnsi="HY신명조" w:eastAsia="HY신명조"/>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312" w:lineRule="auto"/>
      <w:ind w:left="397" w:hanging="198"/>
      <w:contextualSpacing/>
    </w:pPr>
    <w:rPr>
      <w:rFonts w:ascii="HY신명조" w:hAnsi="HY신명조" w:eastAsia="HY신명조"/>
      <w:b w:val="0"/>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Abstract">
    <w:name w:val="Journal Abstract"/>
    <w:pPr>
      <w:spacing w:after="60" w:line="312" w:lineRule="auto"/>
      <w:ind w:left="283" w:right="283"/>
    </w:pPr>
    <w:rPr>
      <w:rFonts w:ascii="HY신명조" w:hAnsi="HY신명조" w:eastAsia="HY신명조"/>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생성형 AI의 한국어 개인식별정보(PII) 유출 위험과 정규화 기반 Layer 0의 필요성</dc:title>
  <dc:subject>「범죄와 정책」 투고 검증본</dc:subject>
  <dc:creator/>
  <cp:keywords>생성형 인공지능, 개인정보, 가드레일, Layer 0, 형사정책</cp:keywords>
  <dc:description>generated by python-docx</dc:description>
  <cp:lastModifiedBy/>
  <cp:revision>1</cp:revision>
  <dcterms:created xsi:type="dcterms:W3CDTF">2013-12-23T23:15:00Z</dcterms:created>
  <dcterms:modified xsi:type="dcterms:W3CDTF">2013-12-23T23:15:00Z</dcterms:modified>
  <cp:category/>
</cp:coreProperties>
</file>