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ind w:firstLine="397"/>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20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Ⅰ.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Ⅴ.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Ⅱ.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Ⅵ.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Ⅲ.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Ⅶ.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Ⅳ.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Ⅷ. 결론</w:t>
            </w:r>
          </w:p>
        </w:tc>
      </w:tr>
    </w:tbl>
    <w:p>
      <w:pPr>
        <w:spacing w:after="20"/>
      </w:pPr>
    </w:p>
    <w:p>
      <w:pPr>
        <w:pStyle w:val="Heading1"/>
        <w:keepNext/>
        <w:keepLines/>
        <w:pageBreakBefore/>
      </w:pPr>
      <w:r>
        <w:rPr>
          <w:rFonts w:ascii="HY견고딕" w:hAnsi="HY견고딕" w:eastAsia="HY견고딕"/>
          <w:b/>
          <w:color w:val="000000"/>
          <w:sz w:val="28"/>
        </w:rPr>
        <w:t>Ⅰ.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「범죄와 정책」 제2권 제1호의 인접 연구도 AI시대의 범죄 발생 원인과 대책을 설명하기 위한 범죄학 패러다임 전환의 필요성을 제기하고(송봉규, 2026), 전자문서 내부 구조에서 개인정보를 찾아 비식별화하는 시스템을 제안하였다(백서진, 최한림, 박윤지, 정보남, 함근희, 2026). 후자의 연구가 PDF·DOCX·XLSX 등 문서 형식별 구조를 분석하여 이미 저장된 개인정보를 탐지·비식별화하는 데 초점을 둔 반면, 본 연구는 생성형 AI 입력에서 동일한 PII가 문자·인코딩·표기 변형을 거칠 때 기존 가드레일의 미차단 위험이 증가하는지 짝비교하고, 후속 계층 이전의 정규화 기반 Layer 0가 갖는 독립 기여와 과잉차단을 함께 감사한다. 따라서 두 연구는 개인정보 노출을 줄인다는 정책 목표를 공유하지만 연구대상, 개입 시점, 비교설계와 성능판정 기준이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Ⅱ.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일상활동 요인의 효과는 연구와 사이버범죄 피해유형에 따라 다르게 나타났다(이윤호, 김도우, 유영재, 2011; 박기태, 조제성, 2017; 서지혜, 최진선, 박진수, 2020). 최근의 반복피해 연구는 학교·교사의 감독 수준이 낮을수록 온라인 괴롭힘 반복피해 가능성이 높아진다고 보고하였고(노희주, 조윤오, 2025), VIVA 모델을 중심으로 한 국내 이론 연구는 온라인의 유동적 시공간에 맞춘 일상활동이론의 조정 필요성을 제기하였다(블라데미르 T. 콩고, 여승준, 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제21311호의 기본 시행일은 2026년 1월 22일이며, 국가법령정보센터 공식 XML은 제35조 제1항 후단 등 일부 개정 부분의 시행일을 2026년 7월 21일로 별도 표시한다. 본 연구가 인용하는 제31조·제33조·제34조·제35조·제43조의 기본 조문 시행일은 2026년 1월 22일이나, 제35조 제1항 후단의 개정 내용은 2026년 7월 21일부터 적용된다.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Ⅲ. 연구방법</w:t>
      </w:r>
    </w:p>
    <w:p>
      <w:pPr>
        <w:pStyle w:val="Heading2"/>
        <w:keepNext/>
        <w:keepLines/>
      </w:pPr>
      <w:r>
        <w:rPr>
          <w:rFonts w:ascii="HY견고딕" w:hAnsi="HY견고딕" w:eastAsia="HY견고딕"/>
          <w:b/>
          <w:color w:val="000000"/>
          <w:sz w:val="24"/>
        </w:rPr>
        <w:t>1. 감사 대상과 기준</w:t>
      </w:r>
    </w:p>
    <w:p>
      <w:pPr>
        <w:widowControl/>
        <w:spacing w:before="0" w:after="60" w:line="331" w:lineRule="auto"/>
        <w:ind w:firstLine="397"/>
        <w:jc w:val="both"/>
      </w:pPr>
      <w:r>
        <w:rPr>
          <w:rFonts w:ascii="HY신명조" w:hAnsi="HY신명조" w:eastAsia="HY신명조"/>
          <w:color w:val="000000"/>
          <w:sz w:val="20"/>
        </w:rPr>
        <w:t>본 연구는 네 저장소와 로컬 검증 복제본을 검토하였다. 익명 심사를 위해 저장소 명칭과 공개 링크는 게재 확정 후 제시한다.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489"/>
        <w:gridCol w:w="2750"/>
        <w:gridCol w:w="4731"/>
      </w:tblGrid>
      <w:tr>
        <w:trPr>
          <w:tblHeader w:val="true"/>
          <w:cantSplit/>
        </w:trPr>
        <w:tc>
          <w:tcPr>
            <w:tcW w:type="dxa" w:w="24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75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473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248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저장소 A</w:t>
            </w:r>
          </w:p>
        </w:tc>
        <w:tc>
          <w:tcPr>
            <w:tcW w:type="dxa" w:w="275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익명 검증본</w:t>
            </w:r>
          </w:p>
        </w:tc>
        <w:tc>
          <w:tcPr>
            <w:tcW w:type="dxa" w:w="473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248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저장소 B</w:t>
            </w:r>
          </w:p>
        </w:tc>
        <w:tc>
          <w:tcPr>
            <w:tcW w:type="dxa" w:w="275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익명 검증본</w:t>
            </w:r>
          </w:p>
        </w:tc>
        <w:tc>
          <w:tcPr>
            <w:tcW w:type="dxa" w:w="473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248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저장소 C</w:t>
            </w:r>
          </w:p>
        </w:tc>
        <w:tc>
          <w:tcPr>
            <w:tcW w:type="dxa" w:w="275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익명 검증본</w:t>
            </w:r>
          </w:p>
        </w:tc>
        <w:tc>
          <w:tcPr>
            <w:tcW w:type="dxa" w:w="473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248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저장소 D</w:t>
            </w:r>
          </w:p>
        </w:tc>
        <w:tc>
          <w:tcPr>
            <w:tcW w:type="dxa" w:w="2750"/>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익명 검증본</w:t>
            </w:r>
          </w:p>
        </w:tc>
        <w:tc>
          <w:tcPr>
            <w:tcW w:type="dxa" w:w="473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widowControl/>
        <w:spacing w:before="0" w:after="40" w:line="312" w:lineRule="auto"/>
        <w:ind w:left="397" w:hanging="198"/>
        <w:jc w:val="both"/>
      </w:pPr>
      <w:r>
        <w:rPr>
          <w:rFonts w:ascii="HY신명조" w:hAnsi="HY신명조" w:eastAsia="HY신명조"/>
          <w:color w:val="000000"/>
          <w:sz w:val="20"/>
        </w:rPr>
        <w:t>1. 원래 값이 변이 입력에 그대로 있으면 그 문자열을 사용한다.</w:t>
      </w:r>
    </w:p>
    <w:p>
      <w:pPr>
        <w:widowControl/>
        <w:spacing w:before="0" w:after="40" w:line="312" w:lineRule="auto"/>
        <w:ind w:left="397" w:hanging="198"/>
        <w:jc w:val="both"/>
      </w:pPr>
      <w:r>
        <w:rPr>
          <w:rFonts w:ascii="HY신명조" w:hAnsi="HY신명조" w:eastAsia="HY신명조"/>
          <w:color w:val="000000"/>
          <w:sz w:val="20"/>
        </w:rPr>
        <w:t>2. fuzzer 코드에 정의된 결정론적 변이이면 동일 함수를 원래 값에 적용한다.</w:t>
      </w:r>
    </w:p>
    <w:p>
      <w:pPr>
        <w:widowControl/>
        <w:spacing w:before="0" w:after="40" w:line="312" w:lineRule="auto"/>
        <w:ind w:left="397" w:hanging="198"/>
        <w:jc w:val="both"/>
      </w:pPr>
      <w:r>
        <w:rPr>
          <w:rFonts w:ascii="HY신명조" w:hAnsi="HY신명조" w:eastAsia="HY신명조"/>
          <w:color w:val="000000"/>
          <w:sz w:val="20"/>
        </w:rPr>
        <w:t>3. 임의 위치에 결합문자나 zero-width 문자가 들어간 경우에는 NFKC, 결합·비가시문자 제거, 숫자 동치화 후 원래 값과 고유하게 대응하는 입력 구간을 역매핑한다.</w:t>
      </w:r>
    </w:p>
    <w:p>
      <w:pPr>
        <w:widowControl/>
        <w:spacing w:before="0" w:after="40" w:line="312" w:lineRule="auto"/>
        <w:ind w:left="397" w:hanging="198"/>
        <w:jc w:val="both"/>
      </w:pPr>
      <w:r>
        <w:rPr>
          <w:rFonts w:ascii="HY신명조" w:hAnsi="HY신명조" w:eastAsia="HY신명조"/>
          <w:color w:val="000000"/>
          <w:sz w:val="20"/>
        </w:rPr>
        <w:t>4. 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widowControl/>
        <w:spacing w:before="0" w:after="40" w:line="312" w:lineRule="auto"/>
        <w:ind w:left="397" w:hanging="198"/>
        <w:jc w:val="both"/>
      </w:pPr>
      <w:r>
        <w:rPr>
          <w:rFonts w:ascii="HY신명조" w:hAnsi="HY신명조" w:eastAsia="HY신명조"/>
          <w:color w:val="000000"/>
          <w:sz w:val="20"/>
        </w:rPr>
        <w:t>2. fuzzer의 기본 코퍼스 정책과 누락 시 동작</w:t>
      </w:r>
    </w:p>
    <w:p>
      <w:pPr>
        <w:widowControl/>
        <w:spacing w:before="0" w:after="40" w:line="312" w:lineRule="auto"/>
        <w:ind w:left="397" w:hanging="198"/>
        <w:jc w:val="both"/>
      </w:pPr>
      <w:r>
        <w:rPr>
          <w:rFonts w:ascii="HY신명조" w:hAnsi="HY신명조" w:eastAsia="HY신명조"/>
          <w:color w:val="000000"/>
          <w:sz w:val="20"/>
        </w:rPr>
        <w:t>3. 모든 확인 ref에서 이름·주소 코퍼스의 존재 여부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widowControl/>
        <w:spacing w:before="0" w:after="40" w:line="312" w:lineRule="auto"/>
        <w:ind w:left="397" w:hanging="198"/>
        <w:jc w:val="both"/>
      </w:pPr>
      <w:r>
        <w:rPr>
          <w:rFonts w:ascii="HY신명조" w:hAnsi="HY신명조" w:eastAsia="HY신명조"/>
          <w:color w:val="000000"/>
          <w:sz w:val="20"/>
        </w:rPr>
        <w:t>5. 격리 환경의 Layer 0·fuzzer 테스트</w:t>
      </w:r>
    </w:p>
    <w:p>
      <w:pPr>
        <w:widowControl/>
        <w:spacing w:before="0" w:after="40" w:line="312" w:lineRule="auto"/>
        <w:ind w:left="397" w:hanging="198"/>
        <w:jc w:val="both"/>
      </w:pPr>
      <w:r>
        <w:rPr>
          <w:rFonts w:ascii="HY신명조" w:hAnsi="HY신명조" w:eastAsia="HY신명조"/>
          <w:color w:val="000000"/>
          <w:sz w:val="20"/>
        </w:rPr>
        <w:t>6. 정규식 패턴과 키워드 카테고리 수</w:t>
      </w:r>
    </w:p>
    <w:p>
      <w:pPr>
        <w:widowControl/>
        <w:spacing w:before="0" w:after="40" w:line="312" w:lineRule="auto"/>
        <w:ind w:left="397" w:hanging="198"/>
        <w:jc w:val="both"/>
      </w:pPr>
      <w:r>
        <w:rPr>
          <w:rFonts w:ascii="HY신명조" w:hAnsi="HY신명조" w:eastAsia="HY신명조"/>
          <w:color w:val="000000"/>
          <w:sz w:val="20"/>
        </w:rPr>
        <w:t>7. VIN 제9자리 체크디지트</w:t>
      </w:r>
    </w:p>
    <w:p>
      <w:pPr>
        <w:widowControl/>
        <w:spacing w:before="0" w:after="40" w:line="312" w:lineRule="auto"/>
        <w:ind w:left="397" w:hanging="198"/>
        <w:jc w:val="both"/>
      </w:pPr>
      <w:r>
        <w:rPr>
          <w:rFonts w:ascii="HY신명조" w:hAnsi="HY신명조" w:eastAsia="HY신명조"/>
          <w:color w:val="000000"/>
          <w:sz w:val="20"/>
        </w:rPr>
        <w:t>8. 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2"/>
        <w:keepNext/>
        <w:keepLines/>
      </w:pPr>
      <w:r>
        <w:rPr>
          <w:rFonts w:ascii="HY견고딕" w:hAnsi="HY견고딕" w:eastAsia="HY견고딕"/>
          <w:b/>
          <w:color w:val="000000"/>
          <w:sz w:val="24"/>
        </w:rPr>
        <w:t>8. AI 사용 공개</w:t>
      </w:r>
    </w:p>
    <w:p>
      <w:pPr>
        <w:widowControl/>
        <w:spacing w:before="0" w:after="60" w:line="331" w:lineRule="auto"/>
        <w:ind w:firstLine="397"/>
        <w:jc w:val="both"/>
      </w:pPr>
      <w:r>
        <w:rPr>
          <w:rFonts w:ascii="HY신명조" w:hAnsi="HY신명조" w:eastAsia="HY신명조"/>
          <w:color w:val="000000"/>
          <w:sz w:val="20"/>
        </w:rPr>
        <w:t>본 원고의 문장 가독성 개선, 형식 점검, 출처 후보 검색 및 코드 기반 재계산 절차의 보조에 OpenAI Codex를 사용하였다. 해당 도구의 출력은 독립적인 학술 근거나 연구자료로 채택하지 않았으며, 인용문헌의 존재는 발행기관·DOI·KCI 등 원문에서 대조하고 수치는 저장 데이터와 결정적 스크립트로 재계산하였다. 연구 설계·해석·제출 내용의 정확성과 연구윤리에 대한 최종 책임은 저자에게 있다.</w:t>
      </w:r>
    </w:p>
    <w:p>
      <w:pPr>
        <w:pStyle w:val="Heading1"/>
        <w:keepNext/>
        <w:keepLines/>
      </w:pPr>
      <w:r>
        <w:rPr>
          <w:rFonts w:ascii="HY견고딕" w:hAnsi="HY견고딕" w:eastAsia="HY견고딕"/>
          <w:b/>
          <w:color w:val="000000"/>
          <w:sz w:val="28"/>
        </w:rPr>
        <w:t>Ⅳ.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PII/fuzzer/data/tagged_korean_names.jsonl</w:t>
      </w:r>
    </w:p>
    <w:p>
      <w:pPr>
        <w:widowControl/>
        <w:spacing w:before="0" w:after="40" w:line="312" w:lineRule="auto"/>
        <w:ind w:left="397" w:hanging="198"/>
        <w:jc w:val="left"/>
      </w:pPr>
      <w:r>
        <w:rPr>
          <w:rFonts w:ascii="HY신명조" w:hAnsi="HY신명조" w:eastAsia="HY신명조"/>
          <w:color w:val="000000"/>
          <w:sz w:val="20"/>
        </w:rPr>
        <w:t xml:space="preserve">• </w:t>
      </w: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기본 시행일과 본문 인용 조문의 기본 시행일은 2026년 1월 22일이지만, 공식 XML이 별도 표시하는 제35조 제1항 후단의 개정 내용은 2026년 7월 21일부터 적용된다.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Ⅴ.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widowControl/>
        <w:spacing w:before="0" w:after="40" w:line="312" w:lineRule="auto"/>
        <w:ind w:left="397" w:hanging="198"/>
        <w:jc w:val="both"/>
      </w:pPr>
      <w:r>
        <w:rPr>
          <w:rFonts w:ascii="HY신명조" w:hAnsi="HY신명조" w:eastAsia="HY신명조"/>
          <w:color w:val="000000"/>
          <w:sz w:val="20"/>
        </w:rPr>
        <w:t>1. 자모·한자·약어·혼용어·문맥 삽입 등 한국어 특유 변형을 후속 제품에 전달하기 전에 정규화한다.</w:t>
      </w:r>
    </w:p>
    <w:p>
      <w:pPr>
        <w:widowControl/>
        <w:spacing w:before="0" w:after="40" w:line="312" w:lineRule="auto"/>
        <w:ind w:left="397" w:hanging="198"/>
        <w:jc w:val="both"/>
      </w:pPr>
      <w:r>
        <w:rPr>
          <w:rFonts w:ascii="HY신명조" w:hAnsi="HY신명조" w:eastAsia="HY신명조"/>
          <w:color w:val="000000"/>
          <w:sz w:val="20"/>
        </w:rPr>
        <w:t>2. 외부 모델 호출 전에 차단하므로 PII가 외부 API로 전달될 기회를 줄인다.</w:t>
      </w:r>
    </w:p>
    <w:p>
      <w:pPr>
        <w:widowControl/>
        <w:spacing w:before="0" w:after="40" w:line="312" w:lineRule="auto"/>
        <w:ind w:left="397" w:hanging="198"/>
        <w:jc w:val="both"/>
      </w:pPr>
      <w:r>
        <w:rPr>
          <w:rFonts w:ascii="HY신명조" w:hAnsi="HY신명조" w:eastAsia="HY신명조"/>
          <w:color w:val="000000"/>
          <w:sz w:val="20"/>
        </w:rPr>
        <w:t>3. 결정론적 규칙과 사전은 판정 근거를 기록하고 사후 감사할 수 있다.</w:t>
      </w:r>
    </w:p>
    <w:p>
      <w:pPr>
        <w:widowControl/>
        <w:spacing w:before="0" w:after="40" w:line="312" w:lineRule="auto"/>
        <w:ind w:left="397" w:hanging="198"/>
        <w:jc w:val="both"/>
      </w:pPr>
      <w:r>
        <w:rPr>
          <w:rFonts w:ascii="HY신명조" w:hAnsi="HY신명조" w:eastAsia="HY신명조"/>
          <w:color w:val="000000"/>
          <w:sz w:val="20"/>
        </w:rPr>
        <w:t>4. 외부 연결이나 LLM 호출이 제한되는 폐쇄망에서도 작동할 수 있다.</w:t>
      </w:r>
    </w:p>
    <w:p>
      <w:pPr>
        <w:widowControl/>
        <w:spacing w:before="0" w:after="40" w:line="312" w:lineRule="auto"/>
        <w:ind w:left="397" w:hanging="198"/>
        <w:jc w:val="both"/>
      </w:pPr>
      <w:r>
        <w:rPr>
          <w:rFonts w:ascii="HY신명조" w:hAnsi="HY신명조" w:eastAsia="HY신명조"/>
          <w:color w:val="000000"/>
          <w:sz w:val="20"/>
        </w:rPr>
        <w:t>5. 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widowControl/>
        <w:spacing w:before="0" w:after="40" w:line="312" w:lineRule="auto"/>
        <w:ind w:left="397" w:hanging="198"/>
        <w:jc w:val="both"/>
      </w:pPr>
      <w:r>
        <w:rPr>
          <w:rFonts w:ascii="HY신명조" w:hAnsi="HY신명조" w:eastAsia="HY신명조"/>
          <w:color w:val="000000"/>
          <w:sz w:val="20"/>
        </w:rPr>
        <w:t xml:space="preserve">1. </w:t>
      </w: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widowControl/>
        <w:spacing w:before="0" w:after="40" w:line="312" w:lineRule="auto"/>
        <w:ind w:left="397" w:hanging="198"/>
        <w:jc w:val="both"/>
      </w:pPr>
      <w:r>
        <w:rPr>
          <w:rFonts w:ascii="HY신명조" w:hAnsi="HY신명조" w:eastAsia="HY신명조"/>
          <w:color w:val="000000"/>
          <w:sz w:val="20"/>
        </w:rPr>
        <w:t xml:space="preserve">2. </w:t>
      </w: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widowControl/>
        <w:spacing w:before="0" w:after="40" w:line="312" w:lineRule="auto"/>
        <w:ind w:left="397" w:hanging="198"/>
        <w:jc w:val="both"/>
      </w:pPr>
      <w:r>
        <w:rPr>
          <w:rFonts w:ascii="HY신명조" w:hAnsi="HY신명조" w:eastAsia="HY신명조"/>
          <w:color w:val="000000"/>
          <w:sz w:val="20"/>
        </w:rPr>
        <w:t xml:space="preserve">3. </w:t>
      </w: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widowControl/>
        <w:spacing w:before="0" w:after="40" w:line="312" w:lineRule="auto"/>
        <w:ind w:left="397" w:hanging="198"/>
        <w:jc w:val="both"/>
      </w:pPr>
      <w:r>
        <w:rPr>
          <w:rFonts w:ascii="HY신명조" w:hAnsi="HY신명조" w:eastAsia="HY신명조"/>
          <w:color w:val="000000"/>
          <w:sz w:val="20"/>
        </w:rPr>
        <w:t xml:space="preserve">4. </w:t>
      </w: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widowControl/>
        <w:spacing w:before="0" w:after="40" w:line="312" w:lineRule="auto"/>
        <w:ind w:left="397" w:hanging="198"/>
        <w:jc w:val="both"/>
      </w:pPr>
      <w:r>
        <w:rPr>
          <w:rFonts w:ascii="HY신명조" w:hAnsi="HY신명조" w:eastAsia="HY신명조"/>
          <w:color w:val="000000"/>
          <w:sz w:val="20"/>
        </w:rPr>
        <w:t xml:space="preserve">5. </w:t>
      </w: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widowControl/>
        <w:spacing w:before="0" w:after="40" w:line="312" w:lineRule="auto"/>
        <w:ind w:left="397" w:hanging="198"/>
        <w:jc w:val="both"/>
      </w:pPr>
      <w:r>
        <w:rPr>
          <w:rFonts w:ascii="HY신명조" w:hAnsi="HY신명조" w:eastAsia="HY신명조"/>
          <w:color w:val="000000"/>
          <w:sz w:val="20"/>
        </w:rPr>
        <w:t xml:space="preserve">1. 기술 데이터셋의 </w:t>
      </w:r>
      <w:r>
        <w:rPr>
          <w:rFonts w:ascii="Consolas" w:hAnsi="Consolas" w:eastAsia="Consolas"/>
          <w:color w:val="000000"/>
          <w:sz w:val="19"/>
        </w:rPr>
        <w:t>pii_type</w:t>
      </w:r>
    </w:p>
    <w:p>
      <w:pPr>
        <w:widowControl/>
        <w:spacing w:before="0" w:after="40" w:line="312" w:lineRule="auto"/>
        <w:ind w:left="397" w:hanging="198"/>
        <w:jc w:val="both"/>
      </w:pPr>
      <w:r>
        <w:rPr>
          <w:rFonts w:ascii="HY신명조" w:hAnsi="HY신명조" w:eastAsia="HY신명조"/>
          <w:color w:val="000000"/>
          <w:sz w:val="20"/>
        </w:rPr>
        <w:t>2. 개인정보 보호법상 범주와 조문</w:t>
      </w:r>
    </w:p>
    <w:p>
      <w:pPr>
        <w:widowControl/>
        <w:spacing w:before="0" w:after="40" w:line="312" w:lineRule="auto"/>
        <w:ind w:left="397" w:hanging="198"/>
        <w:jc w:val="both"/>
      </w:pPr>
      <w:r>
        <w:rPr>
          <w:rFonts w:ascii="HY신명조" w:hAnsi="HY신명조" w:eastAsia="HY신명조"/>
          <w:color w:val="000000"/>
          <w:sz w:val="20"/>
        </w:rPr>
        <w:t>3. 합성값의 현실성·유효성 규칙</w:t>
      </w:r>
    </w:p>
    <w:p>
      <w:pPr>
        <w:widowControl/>
        <w:spacing w:before="0" w:after="40" w:line="312" w:lineRule="auto"/>
        <w:ind w:left="397" w:hanging="198"/>
        <w:jc w:val="both"/>
      </w:pPr>
      <w:r>
        <w:rPr>
          <w:rFonts w:ascii="HY신명조" w:hAnsi="HY신명조" w:eastAsia="HY신명조"/>
          <w:color w:val="000000"/>
          <w:sz w:val="20"/>
        </w:rPr>
        <w:t>4. 기대되는 기술 조치</w:t>
      </w:r>
    </w:p>
    <w:p>
      <w:pPr>
        <w:widowControl/>
        <w:spacing w:before="0" w:after="40" w:line="312" w:lineRule="auto"/>
        <w:ind w:left="397" w:hanging="198"/>
        <w:jc w:val="both"/>
      </w:pPr>
      <w:r>
        <w:rPr>
          <w:rFonts w:ascii="HY신명조" w:hAnsi="HY신명조" w:eastAsia="HY신명조"/>
          <w:color w:val="000000"/>
          <w:sz w:val="20"/>
        </w:rPr>
        <w:t>5. 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widowControl/>
        <w:spacing w:before="0" w:after="40" w:line="312" w:lineRule="auto"/>
        <w:ind w:left="397" w:hanging="198"/>
        <w:jc w:val="left"/>
      </w:pPr>
      <w:r>
        <w:rPr>
          <w:rFonts w:ascii="HY신명조" w:hAnsi="HY신명조" w:eastAsia="HY신명조"/>
          <w:color w:val="000000"/>
          <w:sz w:val="20"/>
        </w:rPr>
        <w:t>• 공급자와 제품명</w:t>
      </w:r>
    </w:p>
    <w:p>
      <w:pPr>
        <w:widowControl/>
        <w:spacing w:before="0" w:after="40" w:line="312" w:lineRule="auto"/>
        <w:ind w:left="397" w:hanging="198"/>
        <w:jc w:val="left"/>
      </w:pPr>
      <w:r>
        <w:rPr>
          <w:rFonts w:ascii="HY신명조" w:hAnsi="HY신명조" w:eastAsia="HY신명조"/>
          <w:color w:val="000000"/>
          <w:sz w:val="20"/>
        </w:rPr>
        <w:t>• 평가 region과 날짜</w:t>
      </w:r>
    </w:p>
    <w:p>
      <w:pPr>
        <w:widowControl/>
        <w:spacing w:before="0" w:after="40" w:line="312" w:lineRule="auto"/>
        <w:ind w:left="397" w:hanging="198"/>
        <w:jc w:val="left"/>
      </w:pPr>
      <w:r>
        <w:rPr>
          <w:rFonts w:ascii="HY신명조" w:hAnsi="HY신명조" w:eastAsia="HY신명조"/>
          <w:color w:val="000000"/>
          <w:sz w:val="20"/>
        </w:rPr>
        <w:t>• guardrail ID·version·tier</w:t>
      </w:r>
    </w:p>
    <w:p>
      <w:pPr>
        <w:widowControl/>
        <w:spacing w:before="0" w:after="40" w:line="312" w:lineRule="auto"/>
        <w:ind w:left="397" w:hanging="198"/>
        <w:jc w:val="left"/>
      </w:pPr>
      <w:r>
        <w:rPr>
          <w:rFonts w:ascii="HY신명조" w:hAnsi="HY신명조" w:eastAsia="HY신명조"/>
          <w:color w:val="000000"/>
          <w:sz w:val="20"/>
        </w:rPr>
        <w:t>• 활성 policy·entity</w:t>
      </w:r>
    </w:p>
    <w:p>
      <w:pPr>
        <w:widowControl/>
        <w:spacing w:before="0" w:after="40" w:line="312" w:lineRule="auto"/>
        <w:ind w:left="397" w:hanging="198"/>
        <w:jc w:val="left"/>
      </w:pPr>
      <w:r>
        <w:rPr>
          <w:rFonts w:ascii="HY신명조" w:hAnsi="HY신명조" w:eastAsia="HY신명조"/>
          <w:color w:val="000000"/>
          <w:sz w:val="20"/>
        </w:rPr>
        <w:t>• 입력·출력 중 적용 위치</w:t>
      </w:r>
    </w:p>
    <w:p>
      <w:pPr>
        <w:widowControl/>
        <w:spacing w:before="0" w:after="40" w:line="312" w:lineRule="auto"/>
        <w:ind w:left="397" w:hanging="198"/>
        <w:jc w:val="left"/>
      </w:pPr>
      <w:r>
        <w:rPr>
          <w:rFonts w:ascii="HY신명조" w:hAnsi="HY신명조" w:eastAsia="HY신명조"/>
          <w:color w:val="000000"/>
          <w:sz w:val="20"/>
        </w:rPr>
        <w:t>• 게이트웨이·SDK·모델 버전</w:t>
      </w:r>
    </w:p>
    <w:p>
      <w:pPr>
        <w:widowControl/>
        <w:spacing w:before="0" w:after="40" w:line="312" w:lineRule="auto"/>
        <w:ind w:left="397" w:hanging="198"/>
        <w:jc w:val="left"/>
      </w:pPr>
      <w:r>
        <w:rPr>
          <w:rFonts w:ascii="HY신명조" w:hAnsi="HY신명조" w:eastAsia="HY신명조"/>
          <w:color w:val="000000"/>
          <w:sz w:val="20"/>
        </w:rPr>
        <w:t>• 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Ⅵ.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widowControl/>
        <w:spacing w:before="0" w:after="40" w:line="312" w:lineRule="auto"/>
        <w:ind w:left="397" w:hanging="198"/>
        <w:jc w:val="both"/>
      </w:pPr>
      <w:r>
        <w:rPr>
          <w:rFonts w:ascii="HY신명조" w:hAnsi="HY신명조" w:eastAsia="HY신명조"/>
          <w:color w:val="000000"/>
          <w:sz w:val="20"/>
        </w:rPr>
        <w:t>1. 데이터 행 수·스키마·유효성 검사</w:t>
      </w:r>
    </w:p>
    <w:p>
      <w:pPr>
        <w:widowControl/>
        <w:spacing w:before="0" w:after="40" w:line="312" w:lineRule="auto"/>
        <w:ind w:left="397" w:hanging="198"/>
        <w:jc w:val="both"/>
      </w:pPr>
      <w:r>
        <w:rPr>
          <w:rFonts w:ascii="HY신명조" w:hAnsi="HY신명조" w:eastAsia="HY신명조"/>
          <w:color w:val="000000"/>
          <w:sz w:val="20"/>
        </w:rPr>
        <w:t>2. 평가기 단위테스트와 gold span 표본검사</w:t>
      </w:r>
    </w:p>
    <w:p>
      <w:pPr>
        <w:widowControl/>
        <w:spacing w:before="0" w:after="40" w:line="312" w:lineRule="auto"/>
        <w:ind w:left="397" w:hanging="198"/>
        <w:jc w:val="both"/>
      </w:pPr>
      <w:r>
        <w:rPr>
          <w:rFonts w:ascii="HY신명조" w:hAnsi="HY신명조" w:eastAsia="HY신명조"/>
          <w:color w:val="000000"/>
          <w:sz w:val="20"/>
        </w:rPr>
        <w:t>3. 저장 결과에서 표·통계의 독립 재계산</w:t>
      </w:r>
    </w:p>
    <w:p>
      <w:pPr>
        <w:widowControl/>
        <w:spacing w:before="0" w:after="40" w:line="312" w:lineRule="auto"/>
        <w:ind w:left="397" w:hanging="198"/>
        <w:jc w:val="both"/>
      </w:pPr>
      <w:r>
        <w:rPr>
          <w:rFonts w:ascii="HY신명조" w:hAnsi="HY신명조" w:eastAsia="HY신명조"/>
          <w:color w:val="000000"/>
          <w:sz w:val="20"/>
        </w:rPr>
        <w:t>4. 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widowControl/>
        <w:spacing w:before="0" w:after="40" w:line="312" w:lineRule="auto"/>
        <w:ind w:left="397" w:hanging="198"/>
        <w:jc w:val="left"/>
      </w:pPr>
      <w:r>
        <w:rPr>
          <w:rFonts w:ascii="HY신명조" w:hAnsi="HY신명조" w:eastAsia="HY신명조"/>
          <w:color w:val="000000"/>
          <w:sz w:val="20"/>
        </w:rPr>
        <w:t>• 처리하는 개인정보·민감정보 유형과 법적 근거</w:t>
      </w:r>
    </w:p>
    <w:p>
      <w:pPr>
        <w:widowControl/>
        <w:spacing w:before="0" w:after="40" w:line="312" w:lineRule="auto"/>
        <w:ind w:left="397" w:hanging="198"/>
        <w:jc w:val="left"/>
      </w:pPr>
      <w:r>
        <w:rPr>
          <w:rFonts w:ascii="HY신명조" w:hAnsi="HY신명조" w:eastAsia="HY신명조"/>
          <w:color w:val="000000"/>
          <w:sz w:val="20"/>
        </w:rPr>
        <w:t>• 가드레일 적용 위치와 실패 시 데이터 흐름</w:t>
      </w:r>
    </w:p>
    <w:p>
      <w:pPr>
        <w:widowControl/>
        <w:spacing w:before="0" w:after="40" w:line="312" w:lineRule="auto"/>
        <w:ind w:left="397" w:hanging="198"/>
        <w:jc w:val="left"/>
      </w:pPr>
      <w:r>
        <w:rPr>
          <w:rFonts w:ascii="HY신명조" w:hAnsi="HY신명조" w:eastAsia="HY신명조"/>
          <w:color w:val="000000"/>
          <w:sz w:val="20"/>
        </w:rPr>
        <w:t>• 언어·변이·문맥별 평가범위</w:t>
      </w:r>
    </w:p>
    <w:p>
      <w:pPr>
        <w:widowControl/>
        <w:spacing w:before="0" w:after="40" w:line="312" w:lineRule="auto"/>
        <w:ind w:left="397" w:hanging="198"/>
        <w:jc w:val="left"/>
      </w:pPr>
      <w:r>
        <w:rPr>
          <w:rFonts w:ascii="HY신명조" w:hAnsi="HY신명조" w:eastAsia="HY신명조"/>
          <w:color w:val="000000"/>
          <w:sz w:val="20"/>
        </w:rPr>
        <w:t>• 오탐·미탐·오류·지연·비용</w:t>
      </w:r>
    </w:p>
    <w:p>
      <w:pPr>
        <w:widowControl/>
        <w:spacing w:before="0" w:after="40" w:line="312" w:lineRule="auto"/>
        <w:ind w:left="397" w:hanging="198"/>
        <w:jc w:val="left"/>
      </w:pPr>
      <w:r>
        <w:rPr>
          <w:rFonts w:ascii="HY신명조" w:hAnsi="HY신명조" w:eastAsia="HY신명조"/>
          <w:color w:val="000000"/>
          <w:sz w:val="20"/>
        </w:rPr>
        <w:t>• 버전 변경 후 재평가 조건</w:t>
      </w:r>
    </w:p>
    <w:p>
      <w:pPr>
        <w:widowControl/>
        <w:spacing w:before="0" w:after="40" w:line="312" w:lineRule="auto"/>
        <w:ind w:left="397" w:hanging="198"/>
        <w:jc w:val="left"/>
      </w:pPr>
      <w:r>
        <w:rPr>
          <w:rFonts w:ascii="HY신명조" w:hAnsi="HY신명조" w:eastAsia="HY신명조"/>
          <w:color w:val="000000"/>
          <w:sz w:val="20"/>
        </w:rPr>
        <w:t>• 외부 API 사용이 제한되는 폐쇄망 대안</w:t>
      </w:r>
    </w:p>
    <w:p>
      <w:pPr>
        <w:widowControl/>
        <w:spacing w:before="0" w:after="40" w:line="312" w:lineRule="auto"/>
        <w:ind w:left="397" w:hanging="198"/>
        <w:jc w:val="left"/>
      </w:pPr>
      <w:r>
        <w:rPr>
          <w:rFonts w:ascii="HY신명조" w:hAnsi="HY신명조" w:eastAsia="HY신명조"/>
          <w:color w:val="000000"/>
          <w:sz w:val="20"/>
        </w:rPr>
        <w:t>• 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Ⅶ.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Ⅷ.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keepNext/>
        <w:spacing w:before="200" w:after="140"/>
        <w:jc w:val="center"/>
      </w:pPr>
      <w:r>
        <w:rPr>
          <w:rFonts w:ascii="HY견고딕" w:hAnsi="HY견고딕" w:eastAsia="HY견고딕"/>
          <w:b/>
          <w:color w:val="000000"/>
          <w:sz w:val="28"/>
        </w:rPr>
        <w:t>참 고 문 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left="397" w:hanging="397"/>
        <w:jc w:val="left"/>
      </w:pPr>
      <w:r>
        <w:rPr>
          <w:rFonts w:ascii="HY신명조" w:hAnsi="HY신명조" w:eastAsia="HY신명조"/>
          <w:color w:val="000000"/>
          <w:sz w:val="20"/>
        </w:rPr>
        <w:t xml:space="preserve">노희주, 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 https://doi.org/10.46626/affc.2025.19.1.3</w:t>
      </w:r>
    </w:p>
    <w:p>
      <w:pPr>
        <w:widowControl/>
        <w:spacing w:before="0" w:after="60" w:line="331" w:lineRule="auto"/>
        <w:ind w:left="397" w:hanging="397"/>
        <w:jc w:val="left"/>
      </w:pPr>
      <w:r>
        <w:rPr>
          <w:rFonts w:ascii="HY신명조" w:hAnsi="HY신명조" w:eastAsia="HY신명조"/>
          <w:color w:val="000000"/>
          <w:sz w:val="20"/>
        </w:rPr>
        <w:t xml:space="preserve">박기태, 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left="397" w:hanging="397"/>
        <w:jc w:val="left"/>
      </w:pPr>
      <w:r>
        <w:rPr>
          <w:rFonts w:ascii="HY신명조" w:hAnsi="HY신명조" w:eastAsia="HY신명조"/>
          <w:color w:val="000000"/>
          <w:sz w:val="20"/>
        </w:rPr>
        <w:t xml:space="preserve">백서진, 최한림, 박윤지, 정보남, 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left="397" w:hanging="397"/>
        <w:jc w:val="left"/>
      </w:pPr>
      <w:r>
        <w:rPr>
          <w:rFonts w:ascii="HY신명조" w:hAnsi="HY신명조" w:eastAsia="HY신명조"/>
          <w:color w:val="000000"/>
          <w:sz w:val="20"/>
        </w:rPr>
        <w:t xml:space="preserve">블라데미르 T. 콩고, 여승준, 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widowControl/>
        <w:spacing w:before="0" w:after="60" w:line="331" w:lineRule="auto"/>
        <w:ind w:left="397" w:hanging="397"/>
        <w:jc w:val="left"/>
      </w:pPr>
      <w:r>
        <w:rPr>
          <w:rFonts w:ascii="HY신명조" w:hAnsi="HY신명조" w:eastAsia="HY신명조"/>
          <w:color w:val="000000"/>
          <w:sz w:val="20"/>
        </w:rPr>
        <w:t xml:space="preserve">서지혜, 최진선, 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left="397" w:hanging="397"/>
        <w:jc w:val="left"/>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left="397" w:hanging="397"/>
        <w:jc w:val="left"/>
      </w:pPr>
      <w:r>
        <w:rPr>
          <w:rFonts w:ascii="HY신명조" w:hAnsi="HY신명조" w:eastAsia="HY신명조"/>
          <w:color w:val="000000"/>
          <w:sz w:val="20"/>
        </w:rPr>
        <w:t xml:space="preserve">이윤호, 김도우, 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pStyle w:val="Heading2"/>
        <w:keepNext/>
        <w:keepLines/>
      </w:pPr>
      <w:r>
        <w:rPr>
          <w:rFonts w:ascii="HY견고딕" w:hAnsi="HY견고딕" w:eastAsia="HY견고딕"/>
          <w:b/>
          <w:color w:val="000000"/>
          <w:sz w:val="24"/>
        </w:rPr>
        <w:t>2. 국내 법령·공식자료</w:t>
      </w:r>
    </w:p>
    <w:p>
      <w:pPr>
        <w:widowControl/>
        <w:spacing w:before="0" w:after="60" w:line="331" w:lineRule="auto"/>
        <w:ind w:left="397" w:hanging="397"/>
        <w:jc w:val="left"/>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left="397" w:hanging="397"/>
        <w:jc w:val="left"/>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left="397" w:hanging="397"/>
        <w:jc w:val="left"/>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left="397" w:hanging="397"/>
        <w:jc w:val="left"/>
      </w:pPr>
      <w:r>
        <w:rPr>
          <w:rFonts w:ascii="HY신명조" w:hAnsi="HY신명조" w:eastAsia="HY신명조"/>
          <w:color w:val="000000"/>
          <w:sz w:val="20"/>
        </w:rPr>
        <w:t>인공지능 발전과 신뢰 기반 조성 등에 관한 기본법. 법률 제21311호, 2026. 1. 20. 일부개정. 기본 시행일 및 본문 인용 조문의 기본 시행일 2026. 1. 22.; 제35조 제1항 후단 등 일부 개정 부분 시행일 2026. 7. 21.</w:t>
      </w:r>
    </w:p>
    <w:p>
      <w:pPr>
        <w:pStyle w:val="Heading2"/>
        <w:keepNext/>
        <w:keepLines/>
      </w:pPr>
      <w:r>
        <w:rPr>
          <w:rFonts w:ascii="HY견고딕" w:hAnsi="HY견고딕" w:eastAsia="HY견고딕"/>
          <w:b/>
          <w:color w:val="000000"/>
          <w:sz w:val="24"/>
        </w:rPr>
        <w:t>3. 국외문헌·공식자료</w:t>
      </w:r>
    </w:p>
    <w:p>
      <w:pPr>
        <w:widowControl/>
        <w:spacing w:before="0" w:after="60" w:line="331" w:lineRule="auto"/>
        <w:ind w:left="397" w:hanging="397"/>
        <w:jc w:val="left"/>
      </w:pPr>
      <w:r>
        <w:rPr>
          <w:rFonts w:ascii="HY신명조" w:hAnsi="HY신명조" w:eastAsia="HY신명조"/>
          <w:color w:val="000000"/>
          <w:sz w:val="20"/>
        </w:rPr>
        <w:t xml:space="preserve">Clarke, R. V. G.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left="397" w:hanging="397"/>
        <w:jc w:val="left"/>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left="397" w:hanging="397"/>
        <w:jc w:val="left"/>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left="397" w:hanging="397"/>
        <w:jc w:val="left"/>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left="397" w:hanging="397"/>
        <w:jc w:val="left"/>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left="397" w:hanging="397"/>
        <w:jc w:val="left"/>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left="397" w:hanging="397"/>
        <w:jc w:val="left"/>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left="397" w:hanging="397"/>
        <w:jc w:val="left"/>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widowControl/>
        <w:spacing w:before="0" w:after="60" w:line="331" w:lineRule="auto"/>
        <w:ind w:left="397" w:hanging="397"/>
        <w:jc w:val="left"/>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left="397" w:hanging="397"/>
        <w:jc w:val="left"/>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left="397" w:hanging="397"/>
        <w:jc w:val="left"/>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left="397" w:hanging="397"/>
        <w:jc w:val="left"/>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ind w:firstLine="397"/>
        <w:jc w:val="left"/>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200" w:after="60" w:line="331" w:lineRule="auto"/>
        <w:jc w:val="left"/>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심사용 익명원고</dc:subject>
  <dc:creator/>
  <cp:keywords>생성형 인공지능, 개인정보, 가드레일, Layer 0, 형사정책</cp:keywords>
  <dc:description/>
  <cp:lastModifiedBy/>
  <cp:revision>1</cp:revision>
  <dcterms:created xsi:type="dcterms:W3CDTF">2013-12-23T23:15:00Z</dcterms:created>
  <dcterms:modified xsi:type="dcterms:W3CDTF">2013-12-23T23:15:00Z</dcterms:modified>
  <cp:category/>
</cp:coreProperties>
</file>