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맑은 고딕" w:hAnsi="맑은 고딕" w:eastAsia="맑은 고딕"/>
          <w:b/>
          <w:color w:val="000000"/>
          <w:sz w:val="36"/>
        </w:rPr>
        <w:t>생성형 AI의 한국어 개인식별정보(PII) 유출 위험과 정규화 기반 Layer 0의 필요성</w:t>
      </w:r>
    </w:p>
    <w:p>
      <w:pPr>
        <w:spacing w:after="100"/>
        <w:jc w:val="center"/>
      </w:pPr>
      <w:r>
        <w:rPr>
          <w:rFonts w:ascii="맑은 고딕" w:hAnsi="맑은 고딕" w:eastAsia="맑은 고딕"/>
          <w:b/>
          <w:color w:val="000000"/>
          <w:sz w:val="23"/>
        </w:rPr>
        <w:t>변이 후 정답 복원과 동일 원천값 짝비교에 기초한 가드레일 감사</w:t>
      </w:r>
    </w:p>
    <w:p>
      <w:pPr>
        <w:spacing w:after="200"/>
        <w:jc w:val="center"/>
      </w:pPr>
      <w:r>
        <w:rPr>
          <w:rFonts w:ascii="바탕" w:hAnsi="바탕" w:eastAsia="바탕"/>
          <w:i/>
          <w:color w:val="000000"/>
          <w:sz w:val="20"/>
        </w:rPr>
        <w:t>Korean Personally Identifiable Information Leakage Risks in Generative AI and the Need for a Normalization-Based Layer 0: A Post-Mutation Gold Reconstruction and Matched Guardrail Audit</w:t>
      </w:r>
    </w:p>
    <w:p>
      <w:pPr>
        <w:spacing w:after="40"/>
        <w:jc w:val="center"/>
      </w:pPr>
      <w:r>
        <w:rPr>
          <w:rFonts w:ascii="바탕" w:hAnsi="바탕" w:eastAsia="바탕"/>
          <w:b/>
          <w:color w:val="000000"/>
          <w:sz w:val="22"/>
        </w:rPr>
        <w:t>민우</w:t>
      </w:r>
    </w:p>
    <w:p>
      <w:pPr>
        <w:spacing w:after="40"/>
        <w:jc w:val="center"/>
      </w:pPr>
      <w:r>
        <w:rPr>
          <w:rFonts w:ascii="바탕" w:hAnsi="바탕" w:eastAsia="바탕"/>
          <w:color w:val="5A5A5A"/>
          <w:sz w:val="17"/>
        </w:rPr>
        <w:t>정보보안학과·CCIT 융합전공</w:t>
      </w:r>
    </w:p>
    <w:p>
      <w:pPr>
        <w:spacing w:after="40"/>
        <w:jc w:val="center"/>
      </w:pPr>
      <w:r>
        <w:rPr>
          <w:rFonts w:ascii="바탕" w:hAnsi="바탕" w:eastAsia="바탕"/>
          <w:color w:val="5A5A5A"/>
          <w:sz w:val="17"/>
        </w:rPr>
        <w:t>원고 작성 기준일: 2026년 7월 26일</w:t>
      </w:r>
    </w:p>
    <w:p>
      <w:pPr>
        <w:spacing w:after="40"/>
        <w:jc w:val="center"/>
      </w:pPr>
      <w:r>
        <w:rPr>
          <w:rFonts w:ascii="바탕" w:hAnsi="바탕" w:eastAsia="바탕"/>
          <w:color w:val="5A5A5A"/>
          <w:sz w:val="17"/>
        </w:rPr>
        <w:t xml:space="preserve">검증 대상 코드: </w:t>
      </w:r>
      <w:r>
        <w:rPr>
          <w:rFonts w:ascii="Consolas" w:hAnsi="Consolas" w:eastAsia="Consolas"/>
          <w:color w:val="5A5A5A"/>
          <w:sz w:val="16"/>
        </w:rPr>
        <w:t>KPIIGD/My-AI-Security-Project</w:t>
      </w:r>
      <w:r>
        <w:rPr>
          <w:rFonts w:ascii="바탕" w:hAnsi="바탕" w:eastAsia="바탕"/>
          <w:color w:val="5A5A5A"/>
          <w:sz w:val="17"/>
        </w:rPr>
        <w:t xml:space="preserve">, commit </w:t>
      </w:r>
      <w:r>
        <w:rPr>
          <w:rFonts w:ascii="Consolas" w:hAnsi="Consolas" w:eastAsia="Consolas"/>
          <w:color w:val="5A5A5A"/>
          <w:sz w:val="16"/>
        </w:rPr>
        <w:t>694ca71</w:t>
      </w:r>
    </w:p>
    <w:p>
      <w:pPr>
        <w:pStyle w:val="Heading2"/>
        <w:keepNext/>
        <w:keepLines/>
      </w:pPr>
      <w:r>
        <w:rPr>
          <w:rFonts w:ascii="맑은 고딕" w:hAnsi="맑은 고딕" w:eastAsia="맑은 고딕"/>
          <w:b/>
          <w:color w:val="000000"/>
          <w:sz w:val="22"/>
        </w:rPr>
        <w:t>국문초록</w:t>
      </w:r>
    </w:p>
    <w:p>
      <w:pPr>
        <w:widowControl/>
        <w:spacing w:before="0" w:after="60" w:line="331" w:lineRule="auto"/>
        <w:ind w:firstLine="397"/>
        <w:jc w:val="both"/>
      </w:pPr>
      <w:r>
        <w:rPr>
          <w:rFonts w:ascii="바탕" w:hAnsi="바탕" w:eastAsia="바탕"/>
          <w:color w:val="000000"/>
          <w:sz w:val="19"/>
        </w:rPr>
        <w:t>생성형 인공지능 서비스에서 개인정보가 외부 모델, 로그, 플러그인 또는 후속 처리 계층으로 전달되는 과정은 새로운 정보 노출 위험을 만든다. 이러한 위험을 줄이기 위해 정규식 탐지기, 상용 민감정보 필터, 프롬프트 보안 서비스, LLM 판별기 등을 결합한 다계층 가드레일이 사용된다. 그러나 가드레일의 정책적 유용성을 주장하려면 단순히 출력이 바뀌었는지가 아니라, 보호 대상 정보가 실제로 제거·차단되었는지를 타당하고 재현 가능한 방식으로 측정해야 한다.</w:t>
      </w:r>
    </w:p>
    <w:p>
      <w:pPr>
        <w:widowControl/>
        <w:spacing w:before="0" w:after="60" w:line="331" w:lineRule="auto"/>
        <w:ind w:firstLine="397"/>
        <w:jc w:val="both"/>
      </w:pPr>
      <w:r>
        <w:rPr>
          <w:rFonts w:ascii="바탕" w:hAnsi="바탕" w:eastAsia="바탕"/>
          <w:color w:val="000000"/>
          <w:sz w:val="19"/>
        </w:rPr>
        <w:t>본 연구는 한국어 개인식별정보(PII) 가드레일 프로젝트의 4개 저장소와 109개 원격 참조를 대상으로 코드·데이터·평가기·저장 결과를 감사하고, 공식 법령·제품 문서·학술문헌을 대조하였다. 분석 대상은 95개 PII 유형과 36개 변이기법으로 구성된 10,000건 합성 페이로드 및 네 가지 방어구성의 저장 결과다. 기존 평가기가 변이 전 문자열을 정답으로 사용한 문제를 해결하기 위해, 본 연구는 변이 함수의 결정론적 역추적과 유니코드 정규화·고유 부분문자열 정렬을 이용해 9,964건(99.64%)의 변이 후 보호대상 문자열을 복원하였다. 이어 동일한 PII 유형·원천값에서 생성된 원형과 변이 사례를 짝지어 비교하고, 반복 변이를 원천 그룹 단위로 재표집하는 부트스트랩을 적용하였다.</w:t>
      </w:r>
    </w:p>
    <w:p>
      <w:pPr>
        <w:widowControl/>
        <w:spacing w:before="0" w:after="60" w:line="331" w:lineRule="auto"/>
        <w:ind w:firstLine="397"/>
        <w:jc w:val="both"/>
      </w:pPr>
      <w:r>
        <w:rPr>
          <w:rFonts w:ascii="바탕" w:hAnsi="바탕" w:eastAsia="바탕"/>
          <w:color w:val="000000"/>
          <w:sz w:val="19"/>
        </w:rPr>
        <w:t xml:space="preserve">변이 후 정답을 복원한 9,964건에서 기존 3계층의 미차단은 2,060건(20.67%), Layer 0 추가 구성의 미차단은 706건(7.09%)이었다. 기존 계층은 미차단이지만 Layer 0 추가 구성은 차단인 사례가 1,354건이었고, 반대 방향은 없었다. 이 중 1,353건은 Layer 0가 직접 </w:t>
      </w:r>
      <w:r>
        <w:rPr>
          <w:rFonts w:ascii="Consolas" w:hAnsi="Consolas" w:eastAsia="Consolas"/>
          <w:color w:val="000000"/>
          <w:sz w:val="18"/>
        </w:rPr>
        <w:t>BLOCK/[BLOCKED]</w:t>
      </w:r>
      <w:r>
        <w:rPr>
          <w:rFonts w:ascii="바탕" w:hAnsi="바탕" w:eastAsia="바탕"/>
          <w:color w:val="000000"/>
          <w:sz w:val="19"/>
        </w:rPr>
        <w:t xml:space="preserve"> 처리하였다. 동일 원천값의 한국어 2,305쌍에서는 기존 계층의 미차단율이 원형 24.47%에서 변이 32.28%로 증가하였다. 원천 그룹에 같은 가중치를 둔 평균 위험차는 6.86%p였고 10,000회 군집 부트스트랩의 95% 구간은 4.06~9.69%p였다. 특히 PII 값 자체가 변한 2,160쌍에서는 9.12%에서 18.75%로 증가한 반면, PII 값은 그대로이고 주변 문맥만 바뀐 1,301쌍에서는 증가가 확인되지 않았다. 따라서 위험 증가는 모든 문맥 변형의 일반효과가 아니라 보호대상 문자열 자체를 바꾸는 문자·인코딩·표기 변이에 집중되었다.</w:t>
      </w:r>
    </w:p>
    <w:p>
      <w:pPr>
        <w:widowControl/>
        <w:spacing w:before="0" w:after="60" w:line="331" w:lineRule="auto"/>
        <w:ind w:firstLine="397"/>
        <w:jc w:val="both"/>
      </w:pPr>
      <w:r>
        <w:rPr>
          <w:rFonts w:ascii="바탕" w:hAnsi="바탕" w:eastAsia="바탕"/>
          <w:color w:val="000000"/>
          <w:sz w:val="19"/>
        </w:rPr>
        <w:t>Layer 0 코드와 함께 저장된 합성 정상 한국어 10,000건에서는 차단 오탐이 0건이었다. 그러나 PII 유사패턴을 의도적으로 제외한 자료였으므로, 국가법령정보센터의 공식 XML에서 개인정보 보호법·인공지능기본법·대한민국헌법의 비식별 조문 단위 1,519개를 추가 추출해 같은 코드를 적용하였다. 그 결과 29개(1.91%)가 국적 또는 부서 정보로 탐지되어 과잉차단 후보가 되었다. 이는 Layer 0의 필요성과 별개로 키워드 단독 탐지의 문맥 한계를 보여주지만, 법률문서 단일 도메인이므로 실제 서비스 오탐률로 일반화할 수 없다. 또한 36건은 변이 후 정답을 복원하지 못했고, 동명 표본 파일의 10,000/3,538건 충돌, 필수 코퍼스 누락, 테스트 실패, VIN 체크디지트 오류와 지연·비용 서술 불일치도 확인되었다.</w:t>
      </w:r>
    </w:p>
    <w:p>
      <w:pPr>
        <w:widowControl/>
        <w:spacing w:before="0" w:after="60" w:line="331" w:lineRule="auto"/>
        <w:ind w:firstLine="397"/>
        <w:jc w:val="both"/>
      </w:pPr>
      <w:r>
        <w:rPr>
          <w:rFonts w:ascii="바탕" w:hAnsi="바탕" w:eastAsia="바탕"/>
          <w:color w:val="000000"/>
          <w:sz w:val="19"/>
        </w:rPr>
        <w:t>결과는 한국어 PII의 문자·인코딩·표기 변형이 기존 가드레일의 미차단 위험을 높일 수 있고, 정규화·한국어 패턴 탐지를 수행하는 Layer 0가 기존 계층의 누락을 실질적으로 줄이므로 심층방어의 필수 입력 통제로 배치할 필요가 있음을 보여준다. 다만 Layer 0는 단독 해결책이 아니며, 제품 설정이 완전히 복원되지 않은 저장 실험과 합성자료의 결과를 실제 범죄율이나 법적 준수율로 일반화해서는 안 된다. 본 연구는 변이 후 gold span, 단일 mutation-aware 평가기, 사람 이중검토, 버전·설정·비용·오류 공개와 재현 CI를 포함하는 최소 평가기준을 제안한다.</w:t>
      </w:r>
    </w:p>
    <w:p>
      <w:pPr>
        <w:pStyle w:val="JournalAbstract"/>
        <w:widowControl/>
        <w:spacing w:before="0" w:after="60" w:line="331" w:lineRule="auto"/>
        <w:jc w:val="both"/>
      </w:pPr>
      <w:r>
        <w:rPr>
          <w:rFonts w:ascii="바탕" w:hAnsi="바탕" w:eastAsia="바탕"/>
          <w:b/>
          <w:color w:val="000000"/>
          <w:sz w:val="18"/>
        </w:rPr>
        <w:t>주제어:</w:t>
      </w:r>
      <w:r>
        <w:rPr>
          <w:rFonts w:ascii="바탕" w:hAnsi="바탕" w:eastAsia="바탕"/>
          <w:color w:val="000000"/>
          <w:sz w:val="18"/>
        </w:rPr>
        <w:t xml:space="preserve"> 생성형 인공지능, 개인정보, 민감정보, 가드레일, 일상활동이론, 보호자, 구성타당도, 재현성, 형사정책</w:t>
      </w:r>
    </w:p>
    <w:p>
      <w:pPr>
        <w:pStyle w:val="Heading2"/>
        <w:keepNext/>
        <w:keepLines/>
      </w:pPr>
      <w:r>
        <w:rPr>
          <w:rFonts w:ascii="맑은 고딕" w:hAnsi="맑은 고딕" w:eastAsia="맑은 고딕"/>
          <w:b/>
          <w:color w:val="000000"/>
          <w:sz w:val="22"/>
        </w:rPr>
        <w:t>Abstract</w:t>
      </w:r>
    </w:p>
    <w:p>
      <w:pPr>
        <w:widowControl/>
        <w:spacing w:before="0" w:after="60" w:line="331" w:lineRule="auto"/>
        <w:ind w:firstLine="397"/>
        <w:jc w:val="both"/>
      </w:pPr>
      <w:r>
        <w:rPr>
          <w:rFonts w:ascii="바탕" w:hAnsi="바탕" w:eastAsia="바탕"/>
          <w:color w:val="000000"/>
          <w:sz w:val="19"/>
        </w:rPr>
        <w:t>Generative-AI services increasingly rely on layered guardrails—regular-expression detectors, commercial sensitive-information filters, prompt-security services, and LLM-based judges—to prevent personal information from reaching external models, logs, or downstream components. Policy claims about such guardrails require more than observing that an output changed; the evaluation must establish that the protected information was actually removed or blocked through a valid and reproducible procedure.</w:t>
      </w:r>
    </w:p>
    <w:p>
      <w:pPr>
        <w:widowControl/>
        <w:spacing w:before="0" w:after="60" w:line="331" w:lineRule="auto"/>
        <w:ind w:firstLine="397"/>
        <w:jc w:val="both"/>
      </w:pPr>
      <w:r>
        <w:rPr>
          <w:rFonts w:ascii="바탕" w:hAnsi="바탕" w:eastAsia="바탕"/>
          <w:color w:val="000000"/>
          <w:sz w:val="19"/>
        </w:rPr>
        <w:t>This study audits four repositories and 109 remote references of a Korean personally identifiable information (PII) guardrail project. It examines source code, datasets, evaluators, and stored outputs while cross-checking statutes, vendor documentation, and criminological literature. For 10,000 synthetic payloads covering 95 PII types and 36 mutation methods, it reconstructs the post-mutation protected substring in 9,964 cases (99.64%) through deterministic mutation tracing and unique normalization-based alignment. It then matches each mutated case to an unmutated case sharing the same PII type and source value and applies source-group bootstrap resampling.</w:t>
      </w:r>
    </w:p>
    <w:p>
      <w:pPr>
        <w:widowControl/>
        <w:spacing w:before="0" w:after="60" w:line="331" w:lineRule="auto"/>
        <w:ind w:firstLine="397"/>
        <w:jc w:val="both"/>
      </w:pPr>
      <w:r>
        <w:rPr>
          <w:rFonts w:ascii="바탕" w:hAnsi="바탕" w:eastAsia="바탕"/>
          <w:color w:val="000000"/>
          <w:sz w:val="19"/>
        </w:rPr>
        <w:t xml:space="preserve">Among the 9,964 reconstructed cases, the existing three-layer stack left 2,060 cases unblocked (20.67%), whereas the configuration with Layer 0 left 706 unblocked (7.09%). Layer 0 added protection in 1,354 cases missed by the baseline, with no reverse case; 1,353 were direct </w:t>
      </w:r>
      <w:r>
        <w:rPr>
          <w:rFonts w:ascii="Consolas" w:hAnsi="Consolas" w:eastAsia="Consolas"/>
          <w:color w:val="000000"/>
          <w:sz w:val="18"/>
        </w:rPr>
        <w:t>BLOCK/[BLOCKED]</w:t>
      </w:r>
      <w:r>
        <w:rPr>
          <w:rFonts w:ascii="바탕" w:hAnsi="바탕" w:eastAsia="바탕"/>
          <w:color w:val="000000"/>
          <w:sz w:val="19"/>
        </w:rPr>
        <w:t xml:space="preserve"> decisions by Layer 0. In 2,305 matched Korean pairs, the baseline unblocked rate increased from 24.47% for the original cases to 32.28% for their mutations. The equal-weight source-group risk difference was 6.86 percentage points (95% cluster-bootstrap interval: 4.06–9.69). For 2,160 pairs in which the protected value itself changed, the unblocked rate rose from 9.12% to 18.75%. No increase was found in 1,301 pairs where only the surrounding context changed.</w:t>
      </w:r>
    </w:p>
    <w:p>
      <w:pPr>
        <w:widowControl/>
        <w:spacing w:before="0" w:after="60" w:line="331" w:lineRule="auto"/>
        <w:ind w:firstLine="397"/>
        <w:jc w:val="both"/>
      </w:pPr>
      <w:r>
        <w:rPr>
          <w:rFonts w:ascii="바탕" w:hAnsi="바탕" w:eastAsia="바탕"/>
          <w:color w:val="000000"/>
          <w:sz w:val="19"/>
        </w:rPr>
        <w:t>Layer 0 produced zero blocks on a stored synthetic clean-Korean set of 10,000 documents, but that set deliberately excludes direct PII-like patterns. A supplemental audit therefore extracted 1,519 non-personal provision units from the official XML versions of the Personal Information Protection Act, the AI Basic Act, and the Constitution. Layer 0 flagged 29 units (1.91%) as nationality or department information, revealing lexical overblocking that the synthetic clean set missed. This single public-law domain still cannot establish a real-world false-positive rate. Thirty-six payloads remained unreconstructed. The audit also identified conflicting 10,000/3,538-row files, missing required corpora, test failures, invalid VIN check digits, and latency and cost inconsistencies.</w:t>
      </w:r>
    </w:p>
    <w:p>
      <w:pPr>
        <w:widowControl/>
        <w:spacing w:before="0" w:after="60" w:line="331" w:lineRule="auto"/>
        <w:ind w:firstLine="397"/>
        <w:jc w:val="both"/>
      </w:pPr>
      <w:r>
        <w:rPr>
          <w:rFonts w:ascii="바탕" w:hAnsi="바탕" w:eastAsia="바탕"/>
          <w:color w:val="000000"/>
          <w:sz w:val="19"/>
        </w:rPr>
        <w:t>The findings support the claim that character, encoding, and notation changes to Korean PII can increase baseline leakage risk and that a normalization-based Layer 0 is operationally necessary as the first component of defense in depth. They do not justify treating Layer 0 as a standalone solution or translating synthetic benchmark results into crime rates or legal-compliance rates. The study proposes a minimum evaluation standard based on post-mutation gold spans, a single mutation-aware evaluator, independent human review, complete reporting of versions and settings, and clean-environment reproducibility.</w:t>
      </w:r>
    </w:p>
    <w:p>
      <w:pPr>
        <w:pStyle w:val="JournalAbstract"/>
        <w:widowControl/>
        <w:spacing w:before="0" w:after="60" w:line="331" w:lineRule="auto"/>
        <w:jc w:val="both"/>
      </w:pPr>
      <w:r>
        <w:rPr>
          <w:rFonts w:ascii="바탕" w:hAnsi="바탕" w:eastAsia="바탕"/>
          <w:b/>
          <w:color w:val="000000"/>
          <w:sz w:val="18"/>
        </w:rPr>
        <w:t>Keywords:</w:t>
      </w:r>
      <w:r>
        <w:rPr>
          <w:rFonts w:ascii="바탕" w:hAnsi="바탕" w:eastAsia="바탕"/>
          <w:color w:val="000000"/>
          <w:sz w:val="18"/>
        </w:rPr>
        <w:t xml:space="preserve"> generative artificial intelligence, personal information, sensitive information, guardrails, Routine Activity Theory, guardianship, construct validity, reproducibility, criminal policy</w:t>
      </w:r>
    </w:p>
    <w:p>
      <w:pPr>
        <w:pStyle w:val="Heading1"/>
        <w:keepNext/>
        <w:keepLines/>
      </w:pPr>
      <w:r>
        <w:rPr>
          <w:rFonts w:ascii="맑은 고딕" w:hAnsi="맑은 고딕" w:eastAsia="맑은 고딕"/>
          <w:b/>
          <w:color w:val="000000"/>
          <w:sz w:val="25"/>
        </w:rPr>
        <w:t>I. 서론</w:t>
      </w:r>
    </w:p>
    <w:p>
      <w:pPr>
        <w:pStyle w:val="Heading2"/>
        <w:keepNext/>
        <w:keepLines/>
      </w:pPr>
      <w:r>
        <w:rPr>
          <w:rFonts w:ascii="맑은 고딕" w:hAnsi="맑은 고딕" w:eastAsia="맑은 고딕"/>
          <w:b/>
          <w:color w:val="000000"/>
          <w:sz w:val="22"/>
        </w:rPr>
        <w:t>1. 연구 배경</w:t>
      </w:r>
    </w:p>
    <w:p>
      <w:pPr>
        <w:widowControl/>
        <w:spacing w:before="0" w:after="60" w:line="331" w:lineRule="auto"/>
        <w:ind w:firstLine="397"/>
        <w:jc w:val="both"/>
      </w:pPr>
      <w:r>
        <w:rPr>
          <w:rFonts w:ascii="바탕" w:hAnsi="바탕" w:eastAsia="바탕"/>
          <w:color w:val="000000"/>
          <w:sz w:val="19"/>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바탕" w:hAnsi="바탕" w:eastAsia="바탕"/>
          <w:color w:val="000000"/>
          <w:sz w:val="19"/>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바탕" w:hAnsi="바탕" w:eastAsia="바탕"/>
          <w:color w:val="000000"/>
          <w:sz w:val="19"/>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바탕" w:hAnsi="바탕" w:eastAsia="바탕"/>
          <w:color w:val="000000"/>
          <w:sz w:val="19"/>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맑은 고딕" w:hAnsi="맑은 고딕" w:eastAsia="맑은 고딕"/>
          <w:b/>
          <w:color w:val="000000"/>
          <w:sz w:val="22"/>
        </w:rPr>
        <w:t>2. 연구질문</w:t>
      </w:r>
    </w:p>
    <w:p>
      <w:pPr>
        <w:widowControl/>
        <w:spacing w:before="0" w:after="60" w:line="331" w:lineRule="auto"/>
        <w:ind w:firstLine="397"/>
        <w:jc w:val="both"/>
      </w:pPr>
      <w:r>
        <w:rPr>
          <w:rFonts w:ascii="바탕" w:hAnsi="바탕" w:eastAsia="바탕"/>
          <w:color w:val="000000"/>
          <w:sz w:val="19"/>
        </w:rPr>
        <w:t>연구질문은 다음과 같다.</w:t>
      </w:r>
    </w:p>
    <w:p>
      <w:pPr>
        <w:widowControl/>
        <w:spacing w:before="0" w:after="60" w:line="331" w:lineRule="auto"/>
        <w:ind w:firstLine="397"/>
        <w:jc w:val="both"/>
      </w:pPr>
      <w:r>
        <w:rPr>
          <w:rFonts w:ascii="바탕" w:hAnsi="바탕" w:eastAsia="바탕"/>
          <w:b/>
          <w:color w:val="000000"/>
          <w:sz w:val="19"/>
        </w:rPr>
        <w:t>RQ1.</w:t>
      </w:r>
      <w:r>
        <w:rPr>
          <w:rFonts w:ascii="바탕" w:hAnsi="바탕" w:eastAsia="바탕"/>
          <w:color w:val="000000"/>
          <w:sz w:val="19"/>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바탕" w:hAnsi="바탕" w:eastAsia="바탕"/>
          <w:b/>
          <w:color w:val="000000"/>
          <w:sz w:val="19"/>
        </w:rPr>
        <w:t>RQ2.</w:t>
      </w:r>
      <w:r>
        <w:rPr>
          <w:rFonts w:ascii="바탕" w:hAnsi="바탕" w:eastAsia="바탕"/>
          <w:color w:val="000000"/>
          <w:sz w:val="19"/>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바탕" w:hAnsi="바탕" w:eastAsia="바탕"/>
          <w:b/>
          <w:color w:val="000000"/>
          <w:sz w:val="19"/>
        </w:rPr>
        <w:t>RQ3.</w:t>
      </w:r>
      <w:r>
        <w:rPr>
          <w:rFonts w:ascii="바탕" w:hAnsi="바탕" w:eastAsia="바탕"/>
          <w:color w:val="000000"/>
          <w:sz w:val="19"/>
        </w:rPr>
        <w:t xml:space="preserve"> Layer 0의 효과를 개인정보 안전조치와 형사정책의 근거로 사용하기 위해 필요한 기술적·절차적 최소기준은 무엇인가?</w:t>
      </w:r>
    </w:p>
    <w:p>
      <w:pPr>
        <w:pStyle w:val="Heading2"/>
        <w:keepNext/>
        <w:keepLines/>
      </w:pPr>
      <w:r>
        <w:rPr>
          <w:rFonts w:ascii="맑은 고딕" w:hAnsi="맑은 고딕" w:eastAsia="맑은 고딕"/>
          <w:b/>
          <w:color w:val="000000"/>
          <w:sz w:val="22"/>
        </w:rPr>
        <w:t>3. 연구의 범위와 기여</w:t>
      </w:r>
    </w:p>
    <w:p>
      <w:pPr>
        <w:widowControl/>
        <w:spacing w:before="0" w:after="60" w:line="331" w:lineRule="auto"/>
        <w:ind w:firstLine="397"/>
        <w:jc w:val="both"/>
      </w:pPr>
      <w:r>
        <w:rPr>
          <w:rFonts w:ascii="바탕" w:hAnsi="바탕" w:eastAsia="바탕"/>
          <w:color w:val="000000"/>
          <w:sz w:val="19"/>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바탕" w:hAnsi="바탕" w:eastAsia="바탕"/>
          <w:color w:val="000000"/>
          <w:sz w:val="19"/>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10,000건과 공식 법령 조문 1,519개에서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맑은 고딕" w:hAnsi="맑은 고딕" w:eastAsia="맑은 고딕"/>
          <w:b/>
          <w:color w:val="000000"/>
          <w:sz w:val="25"/>
        </w:rPr>
        <w:t>II. 이론적·법적 배경</w:t>
      </w:r>
    </w:p>
    <w:p>
      <w:pPr>
        <w:pStyle w:val="Heading2"/>
        <w:keepNext/>
        <w:keepLines/>
      </w:pPr>
      <w:r>
        <w:rPr>
          <w:rFonts w:ascii="맑은 고딕" w:hAnsi="맑은 고딕" w:eastAsia="맑은 고딕"/>
          <w:b/>
          <w:color w:val="000000"/>
          <w:sz w:val="22"/>
        </w:rPr>
        <w:t>1. 일상활동이론과 기술적 보호자</w:t>
      </w:r>
    </w:p>
    <w:p>
      <w:pPr>
        <w:widowControl/>
        <w:spacing w:before="0" w:after="60" w:line="331" w:lineRule="auto"/>
        <w:ind w:firstLine="397"/>
        <w:jc w:val="both"/>
      </w:pPr>
      <w:r>
        <w:rPr>
          <w:rFonts w:ascii="바탕" w:hAnsi="바탕" w:eastAsia="바탕"/>
          <w:color w:val="000000"/>
          <w:sz w:val="19"/>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바탕" w:hAnsi="바탕" w:eastAsia="바탕"/>
          <w:color w:val="000000"/>
          <w:sz w:val="19"/>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바탕" w:hAnsi="바탕" w:eastAsia="바탕"/>
          <w:color w:val="000000"/>
          <w:sz w:val="19"/>
        </w:rPr>
        <w:t xml:space="preserve">이러한 논의를 바탕으로 본 연구는 가드레일을 실제 인간 보호자나 범죄 통제기관과 동일시하지 않는다. 가드레일은 특정 입력을 차단·마스킹하는 </w:t>
      </w:r>
      <w:r>
        <w:rPr>
          <w:rFonts w:ascii="바탕" w:hAnsi="바탕" w:eastAsia="바탕"/>
          <w:b/>
          <w:color w:val="000000"/>
          <w:sz w:val="19"/>
        </w:rPr>
        <w:t>수동적 기술 보호자의 역량 대리지표</w:t>
      </w:r>
      <w:r>
        <w:rPr>
          <w:rFonts w:ascii="바탕" w:hAnsi="바탕" w:eastAsia="바탕"/>
          <w:color w:val="000000"/>
          <w:sz w:val="19"/>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맑은 고딕" w:hAnsi="맑은 고딕" w:eastAsia="맑은 고딕"/>
          <w:b/>
          <w:color w:val="000000"/>
          <w:sz w:val="22"/>
        </w:rPr>
        <w:t>2. 상황적 범죄예방과 전이 개념의 한계</w:t>
      </w:r>
    </w:p>
    <w:p>
      <w:pPr>
        <w:widowControl/>
        <w:spacing w:before="0" w:after="60" w:line="331" w:lineRule="auto"/>
        <w:ind w:firstLine="397"/>
        <w:jc w:val="both"/>
      </w:pPr>
      <w:r>
        <w:rPr>
          <w:rFonts w:ascii="바탕" w:hAnsi="바탕" w:eastAsia="바탕"/>
          <w:color w:val="000000"/>
          <w:sz w:val="19"/>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바탕" w:hAnsi="바탕" w:eastAsia="바탕"/>
          <w:b/>
          <w:color w:val="000000"/>
          <w:sz w:val="19"/>
        </w:rPr>
        <w:t>전술별 잔존 취약성</w:t>
      </w:r>
      <w:r>
        <w:rPr>
          <w:rFonts w:ascii="바탕" w:hAnsi="바탕" w:eastAsia="바탕"/>
          <w:color w:val="000000"/>
          <w:sz w:val="19"/>
        </w:rPr>
        <w:t>이다.</w:t>
      </w:r>
    </w:p>
    <w:p>
      <w:pPr>
        <w:pStyle w:val="Heading2"/>
        <w:keepNext/>
        <w:keepLines/>
      </w:pPr>
      <w:r>
        <w:rPr>
          <w:rFonts w:ascii="맑은 고딕" w:hAnsi="맑은 고딕" w:eastAsia="맑은 고딕"/>
          <w:b/>
          <w:color w:val="000000"/>
          <w:sz w:val="22"/>
        </w:rPr>
        <w:t>3. 개인정보 보호법상 민감정보와 안전조치</w:t>
      </w:r>
    </w:p>
    <w:p>
      <w:pPr>
        <w:widowControl/>
        <w:spacing w:before="0" w:after="60" w:line="331" w:lineRule="auto"/>
        <w:ind w:firstLine="397"/>
        <w:jc w:val="both"/>
      </w:pPr>
      <w:r>
        <w:rPr>
          <w:rFonts w:ascii="바탕" w:hAnsi="바탕" w:eastAsia="바탕"/>
          <w:color w:val="000000"/>
          <w:sz w:val="19"/>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바탕" w:hAnsi="바탕" w:eastAsia="바탕"/>
          <w:color w:val="000000"/>
          <w:sz w:val="19"/>
        </w:rPr>
        <w:t xml:space="preserve">제재 구조도 구분해야 한다. 제23조 제1항을 위반한 민감정보 처리는 제71조 </w:t>
      </w:r>
      <w:r>
        <w:rPr>
          <w:rFonts w:ascii="바탕" w:hAnsi="바탕" w:eastAsia="바탕"/>
          <w:b/>
          <w:color w:val="000000"/>
          <w:sz w:val="19"/>
        </w:rPr>
        <w:t>제4호</w:t>
      </w:r>
      <w:r>
        <w:rPr>
          <w:rFonts w:ascii="바탕" w:hAnsi="바탕" w:eastAsia="바탕"/>
          <w:color w:val="000000"/>
          <w:sz w:val="19"/>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바탕" w:hAnsi="바탕" w:eastAsia="바탕"/>
          <w:color w:val="000000"/>
          <w:sz w:val="19"/>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맑은 고딕" w:hAnsi="맑은 고딕" w:eastAsia="맑은 고딕"/>
          <w:b/>
          <w:color w:val="000000"/>
          <w:sz w:val="22"/>
        </w:rPr>
        <w:t>4. 인공지능기본법의 위험관리 구조</w:t>
      </w:r>
    </w:p>
    <w:p>
      <w:pPr>
        <w:widowControl/>
        <w:spacing w:before="0" w:after="60" w:line="331" w:lineRule="auto"/>
        <w:ind w:firstLine="397"/>
        <w:jc w:val="both"/>
      </w:pPr>
      <w:r>
        <w:rPr>
          <w:rFonts w:ascii="바탕" w:hAnsi="바탕" w:eastAsia="바탕"/>
          <w:color w:val="000000"/>
          <w:sz w:val="19"/>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바탕" w:hAnsi="바탕" w:eastAsia="바탕"/>
          <w:color w:val="000000"/>
          <w:sz w:val="19"/>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맑은 고딕" w:hAnsi="맑은 고딕" w:eastAsia="맑은 고딕"/>
          <w:b/>
          <w:color w:val="000000"/>
          <w:sz w:val="22"/>
        </w:rPr>
        <w:t>5. 제품 지원 언어와 실험 설정</w:t>
      </w:r>
    </w:p>
    <w:p>
      <w:pPr>
        <w:widowControl/>
        <w:spacing w:before="0" w:after="60" w:line="331" w:lineRule="auto"/>
        <w:ind w:firstLine="397"/>
        <w:jc w:val="both"/>
      </w:pPr>
      <w:r>
        <w:rPr>
          <w:rFonts w:ascii="바탕" w:hAnsi="바탕" w:eastAsia="바탕"/>
          <w:color w:val="000000"/>
          <w:sz w:val="19"/>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바탕" w:hAnsi="바탕" w:eastAsia="바탕"/>
          <w:color w:val="000000"/>
          <w:sz w:val="19"/>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맑은 고딕" w:hAnsi="맑은 고딕" w:eastAsia="맑은 고딕"/>
          <w:b/>
          <w:color w:val="000000"/>
          <w:sz w:val="25"/>
        </w:rPr>
        <w:t>III. 연구방법</w:t>
      </w:r>
    </w:p>
    <w:p>
      <w:pPr>
        <w:pStyle w:val="Heading2"/>
        <w:keepNext/>
        <w:keepLines/>
      </w:pPr>
      <w:r>
        <w:rPr>
          <w:rFonts w:ascii="맑은 고딕" w:hAnsi="맑은 고딕" w:eastAsia="맑은 고딕"/>
          <w:b/>
          <w:color w:val="000000"/>
          <w:sz w:val="22"/>
        </w:rPr>
        <w:t>1. 감사 대상과 기준 ref</w:t>
      </w:r>
    </w:p>
    <w:p>
      <w:pPr>
        <w:widowControl/>
        <w:spacing w:before="0" w:after="60" w:line="331" w:lineRule="auto"/>
        <w:ind w:firstLine="397"/>
        <w:jc w:val="both"/>
      </w:pPr>
      <w:r>
        <w:rPr>
          <w:rFonts w:ascii="바탕" w:hAnsi="바탕" w:eastAsia="바탕"/>
          <w:color w:val="000000"/>
          <w:sz w:val="19"/>
        </w:rPr>
        <w:t>본 연구는 KPIIGD 조직의 네 저장소와 로컬 개인 포크를 검토하였다.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지식베이스·과거 실험 기록</w:t>
            </w:r>
          </w:p>
        </w:tc>
      </w:tr>
    </w:tbl>
    <w:p>
      <w:pPr>
        <w:spacing w:after="20"/>
      </w:pPr>
    </w:p>
    <w:p>
      <w:pPr>
        <w:widowControl/>
        <w:spacing w:before="0" w:after="60" w:line="331" w:lineRule="auto"/>
        <w:ind w:firstLine="397"/>
        <w:jc w:val="both"/>
      </w:pPr>
      <w:r>
        <w:rPr>
          <w:rFonts w:ascii="Consolas" w:hAnsi="Consolas" w:eastAsia="Consolas"/>
          <w:color w:val="000000"/>
          <w:sz w:val="18"/>
        </w:rPr>
        <w:t>kpiigd*</w:t>
      </w:r>
      <w:r>
        <w:rPr>
          <w:rFonts w:ascii="바탕" w:hAnsi="바탕" w:eastAsia="바탕"/>
          <w:color w:val="000000"/>
          <w:sz w:val="19"/>
        </w:rPr>
        <w:t xml:space="preserve"> 원격의 109개 ref를 파일명과 핵심 증거를 기준으로 검색하였다. 공개 저장소에서는 39개 원격 브랜치를 별도로 확인하였다. 최신 논문 설계는 내부 저장소의 v2였고, 저장된 실험 결과의 기준은 공개 저장소 main이었다.</w:t>
      </w:r>
    </w:p>
    <w:p>
      <w:pPr>
        <w:pStyle w:val="Heading2"/>
        <w:keepNext/>
        <w:keepLines/>
      </w:pPr>
      <w:r>
        <w:rPr>
          <w:rFonts w:ascii="맑은 고딕" w:hAnsi="맑은 고딕" w:eastAsia="맑은 고딕"/>
          <w:b/>
          <w:color w:val="000000"/>
          <w:sz w:val="22"/>
        </w:rPr>
        <w:t>2. 분석 자료</w:t>
      </w:r>
    </w:p>
    <w:p>
      <w:pPr>
        <w:widowControl/>
        <w:spacing w:before="0" w:after="60" w:line="331" w:lineRule="auto"/>
        <w:ind w:firstLine="397"/>
        <w:jc w:val="both"/>
      </w:pPr>
      <w:r>
        <w:rPr>
          <w:rFonts w:ascii="바탕" w:hAnsi="바탕" w:eastAsia="바탕"/>
          <w:color w:val="000000"/>
          <w:sz w:val="19"/>
        </w:rPr>
        <w:t xml:space="preserve">핵심 데이터는 </w:t>
      </w:r>
      <w:r>
        <w:rPr>
          <w:rFonts w:ascii="Consolas" w:hAnsi="Consolas" w:eastAsia="Consolas"/>
          <w:color w:val="000000"/>
          <w:sz w:val="18"/>
        </w:rPr>
        <w:t>PII/results/data/payloads_10k.json</w:t>
      </w:r>
      <w:r>
        <w:rPr>
          <w:rFonts w:ascii="바탕" w:hAnsi="바탕" w:eastAsia="바탕"/>
          <w:color w:val="000000"/>
          <w:sz w:val="19"/>
        </w:rPr>
        <w:t>의 합성 페이로드 10,000건이다. 메타데이터와 전수 집계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5,287</w:t>
            </w:r>
          </w:p>
        </w:tc>
      </w:tr>
    </w:tbl>
    <w:p>
      <w:pPr>
        <w:spacing w:after="20"/>
      </w:pPr>
    </w:p>
    <w:p>
      <w:pPr>
        <w:widowControl/>
        <w:spacing w:before="0" w:after="60" w:line="331" w:lineRule="auto"/>
        <w:ind w:firstLine="397"/>
        <w:jc w:val="both"/>
      </w:pPr>
      <w:r>
        <w:rPr>
          <w:rFonts w:ascii="바탕" w:hAnsi="바탕" w:eastAsia="바탕"/>
          <w:color w:val="000000"/>
          <w:sz w:val="19"/>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맑은 고딕" w:hAnsi="맑은 고딕" w:eastAsia="맑은 고딕"/>
          <w:b/>
          <w:color w:val="000000"/>
          <w:sz w:val="22"/>
        </w:rPr>
        <w:t>3. 변이 후 보호대상 복원과 미차단 판정</w:t>
      </w:r>
    </w:p>
    <w:p>
      <w:pPr>
        <w:widowControl/>
        <w:spacing w:before="0" w:after="60" w:line="331" w:lineRule="auto"/>
        <w:ind w:firstLine="397"/>
        <w:jc w:val="both"/>
      </w:pPr>
      <w:r>
        <w:rPr>
          <w:rFonts w:ascii="바탕" w:hAnsi="바탕" w:eastAsia="바탕"/>
          <w:color w:val="000000"/>
          <w:sz w:val="19"/>
        </w:rPr>
        <w:t xml:space="preserve">기존 평가기는 변이 전 </w:t>
      </w:r>
      <w:r>
        <w:rPr>
          <w:rFonts w:ascii="Consolas" w:hAnsi="Consolas" w:eastAsia="Consolas"/>
          <w:color w:val="000000"/>
          <w:sz w:val="18"/>
        </w:rPr>
        <w:t>pii_value</w:t>
      </w:r>
      <w:r>
        <w:rPr>
          <w:rFonts w:ascii="바탕" w:hAnsi="바탕" w:eastAsia="바탕"/>
          <w:color w:val="000000"/>
          <w:sz w:val="19"/>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8"/>
        </w:rPr>
        <w:t>paper/analyze_postmutation_gold.py</w:t>
      </w:r>
      <w:r>
        <w:rPr>
          <w:rFonts w:ascii="바탕" w:hAnsi="바탕" w:eastAsia="바탕"/>
          <w:color w:val="000000"/>
          <w:sz w:val="19"/>
        </w:rPr>
        <w:t>에 감사용 평가기를 별도로 구현하였다. 복원 순서는 다음과 같다.</w:t>
      </w:r>
    </w:p>
    <w:p>
      <w:pPr>
        <w:pStyle w:val="ListNumber"/>
        <w:widowControl/>
        <w:spacing w:before="0" w:after="60" w:line="331" w:lineRule="auto"/>
        <w:jc w:val="both"/>
      </w:pPr>
      <w:r>
        <w:rPr>
          <w:rFonts w:ascii="바탕" w:hAnsi="바탕" w:eastAsia="바탕"/>
          <w:color w:val="000000"/>
          <w:sz w:val="19"/>
        </w:rPr>
        <w:t>원래 값이 변이 입력에 그대로 있으면 그 문자열을 사용한다.</w:t>
      </w:r>
    </w:p>
    <w:p>
      <w:pPr>
        <w:pStyle w:val="ListNumber"/>
        <w:widowControl/>
        <w:spacing w:before="0" w:after="60" w:line="331" w:lineRule="auto"/>
        <w:jc w:val="both"/>
      </w:pPr>
      <w:r>
        <w:rPr>
          <w:rFonts w:ascii="바탕" w:hAnsi="바탕" w:eastAsia="바탕"/>
          <w:color w:val="000000"/>
          <w:sz w:val="19"/>
        </w:rPr>
        <w:t>fuzzer 코드에 정의된 결정론적 변이이면 동일 함수를 원래 값에 적용한다.</w:t>
      </w:r>
    </w:p>
    <w:p>
      <w:pPr>
        <w:pStyle w:val="ListNumber"/>
        <w:widowControl/>
        <w:spacing w:before="0" w:after="60" w:line="331" w:lineRule="auto"/>
        <w:jc w:val="both"/>
      </w:pPr>
      <w:r>
        <w:rPr>
          <w:rFonts w:ascii="바탕" w:hAnsi="바탕" w:eastAsia="바탕"/>
          <w:color w:val="000000"/>
          <w:sz w:val="19"/>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바탕" w:hAnsi="바탕" w:eastAsia="바탕"/>
          <w:color w:val="000000"/>
          <w:sz w:val="19"/>
        </w:rPr>
        <w:t>대응 구간이 없거나 둘 이상이면 자동 확정하지 않고 분석에서 제외한다.</w:t>
      </w:r>
    </w:p>
    <w:p>
      <w:pPr>
        <w:widowControl/>
        <w:spacing w:before="0" w:after="60" w:line="331" w:lineRule="auto"/>
        <w:ind w:firstLine="397"/>
        <w:jc w:val="both"/>
      </w:pPr>
      <w:r>
        <w:rPr>
          <w:rFonts w:ascii="바탕" w:hAnsi="바탕" w:eastAsia="바탕"/>
          <w:color w:val="000000"/>
          <w:sz w:val="19"/>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바탕" w:hAnsi="바탕" w:eastAsia="바탕"/>
          <w:color w:val="000000"/>
          <w:sz w:val="19"/>
        </w:rPr>
        <w:t xml:space="preserve">각 구성에서 하나 이상의 레이어가 </w:t>
      </w:r>
      <w:r>
        <w:rPr>
          <w:rFonts w:ascii="Consolas" w:hAnsi="Consolas" w:eastAsia="Consolas"/>
          <w:color w:val="000000"/>
          <w:sz w:val="18"/>
        </w:rPr>
        <w:t>[BLOCKED]</w:t>
      </w:r>
      <w:r>
        <w:rPr>
          <w:rFonts w:ascii="바탕" w:hAnsi="바탕" w:eastAsia="바탕"/>
          <w:color w:val="000000"/>
          <w:sz w:val="19"/>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맑은 고딕" w:hAnsi="맑은 고딕" w:eastAsia="맑은 고딕"/>
          <w:b/>
          <w:color w:val="000000"/>
          <w:sz w:val="22"/>
        </w:rPr>
        <w:t>4. 동일 원천값 짝비교와 불확실성 추정</w:t>
      </w:r>
    </w:p>
    <w:p>
      <w:pPr>
        <w:widowControl/>
        <w:spacing w:before="0" w:after="60" w:line="331" w:lineRule="auto"/>
        <w:ind w:firstLine="397"/>
        <w:jc w:val="both"/>
      </w:pPr>
      <w:r>
        <w:rPr>
          <w:rFonts w:ascii="바탕" w:hAnsi="바탕" w:eastAsia="바탕"/>
          <w:color w:val="000000"/>
          <w:sz w:val="19"/>
        </w:rPr>
        <w:t xml:space="preserve">변이 효과를 추정하기 위해 PII 유형과 원천 </w:t>
      </w:r>
      <w:r>
        <w:rPr>
          <w:rFonts w:ascii="Consolas" w:hAnsi="Consolas" w:eastAsia="Consolas"/>
          <w:color w:val="000000"/>
          <w:sz w:val="18"/>
        </w:rPr>
        <w:t>pii_value</w:t>
      </w:r>
      <w:r>
        <w:rPr>
          <w:rFonts w:ascii="바탕" w:hAnsi="바탕" w:eastAsia="바탕"/>
          <w:color w:val="000000"/>
          <w:sz w:val="19"/>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바탕" w:hAnsi="바탕" w:eastAsia="바탕"/>
          <w:color w:val="000000"/>
          <w:sz w:val="19"/>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바탕" w:hAnsi="바탕" w:eastAsia="바탕"/>
          <w:color w:val="000000"/>
          <w:sz w:val="19"/>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인지 별도로 검사하였다.</w:t>
      </w:r>
    </w:p>
    <w:p>
      <w:pPr>
        <w:widowControl/>
        <w:spacing w:before="0" w:after="60" w:line="331" w:lineRule="auto"/>
        <w:ind w:firstLine="397"/>
        <w:jc w:val="both"/>
      </w:pPr>
      <w:r>
        <w:rPr>
          <w:rFonts w:ascii="바탕" w:hAnsi="바탕" w:eastAsia="바탕"/>
          <w:color w:val="000000"/>
          <w:sz w:val="19"/>
        </w:rPr>
        <w:t xml:space="preserve">오탐에 대한 보조검사는 세 단계로 수행하였다. 첫째, 저장소의 </w:t>
      </w:r>
      <w:r>
        <w:rPr>
          <w:rFonts w:ascii="Consolas" w:hAnsi="Consolas" w:eastAsia="Consolas"/>
          <w:color w:val="000000"/>
          <w:sz w:val="18"/>
        </w:rPr>
        <w:t>normal_kr_10k.json</w:t>
      </w:r>
      <w:r>
        <w:rPr>
          <w:rFonts w:ascii="바탕" w:hAnsi="바탕" w:eastAsia="바탕"/>
          <w:color w:val="000000"/>
          <w:sz w:val="19"/>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8"/>
        </w:rPr>
        <w:t>조문내용</w:t>
      </w:r>
      <w:r>
        <w:rPr>
          <w:rFonts w:ascii="바탕" w:hAnsi="바탕" w:eastAsia="바탕"/>
          <w:color w:val="000000"/>
          <w:sz w:val="19"/>
        </w:rPr>
        <w:t>·</w:t>
      </w:r>
      <w:r>
        <w:rPr>
          <w:rFonts w:ascii="Consolas" w:hAnsi="Consolas" w:eastAsia="Consolas"/>
          <w:color w:val="000000"/>
          <w:sz w:val="18"/>
        </w:rPr>
        <w:t>항내용</w:t>
      </w:r>
      <w:r>
        <w:rPr>
          <w:rFonts w:ascii="바탕" w:hAnsi="바탕" w:eastAsia="바탕"/>
          <w:color w:val="000000"/>
          <w:sz w:val="19"/>
        </w:rPr>
        <w:t>·</w:t>
      </w:r>
      <w:r>
        <w:rPr>
          <w:rFonts w:ascii="Consolas" w:hAnsi="Consolas" w:eastAsia="Consolas"/>
          <w:color w:val="000000"/>
          <w:sz w:val="18"/>
        </w:rPr>
        <w:t>호내용</w:t>
      </w:r>
      <w:r>
        <w:rPr>
          <w:rFonts w:ascii="바탕" w:hAnsi="바탕" w:eastAsia="바탕"/>
          <w:color w:val="000000"/>
          <w:sz w:val="19"/>
        </w:rPr>
        <w:t>·</w:t>
      </w:r>
      <w:r>
        <w:rPr>
          <w:rFonts w:ascii="Consolas" w:hAnsi="Consolas" w:eastAsia="Consolas"/>
          <w:color w:val="000000"/>
          <w:sz w:val="18"/>
        </w:rPr>
        <w:t>목내용</w:t>
      </w:r>
      <w:r>
        <w:rPr>
          <w:rFonts w:ascii="바탕" w:hAnsi="바탕" w:eastAsia="바탕"/>
          <w:color w:val="000000"/>
          <w:sz w:val="19"/>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8"/>
        </w:rPr>
        <w:t>paper/audit_public_law_hard_negatives.py</w:t>
      </w:r>
      <w:r>
        <w:rPr>
          <w:rFonts w:ascii="바탕" w:hAnsi="바탕" w:eastAsia="바탕"/>
          <w:color w:val="000000"/>
          <w:sz w:val="19"/>
        </w:rPr>
        <w:t>는 원문을 출력하지 않고 법령 XML·코드·평가자료의 SHA-256과 집계만 출력한다. 법령 조문은 실제 공개문서이지만 의료·금융·상담 트래픽을 대표하지 않으므로, 이 결과도 실서비스 오탐률로 해석하지 않는다.</w:t>
      </w:r>
    </w:p>
    <w:p>
      <w:pPr>
        <w:widowControl/>
        <w:spacing w:before="0" w:after="60" w:line="331" w:lineRule="auto"/>
        <w:ind w:firstLine="397"/>
        <w:jc w:val="both"/>
      </w:pPr>
      <w:r>
        <w:rPr>
          <w:rFonts w:ascii="바탕" w:hAnsi="바탕" w:eastAsia="바탕"/>
          <w:color w:val="000000"/>
          <w:sz w:val="19"/>
        </w:rPr>
        <w:t xml:space="preserve">기존 </w:t>
      </w:r>
      <w:r>
        <w:rPr>
          <w:rFonts w:ascii="Consolas" w:hAnsi="Consolas" w:eastAsia="Consolas"/>
          <w:color w:val="000000"/>
          <w:sz w:val="18"/>
        </w:rPr>
        <w:t>run_e_final_4way.py</w:t>
      </w:r>
      <w:r>
        <w:rPr>
          <w:rFonts w:ascii="바탕" w:hAnsi="바탕" w:eastAsia="바탕"/>
          <w:color w:val="000000"/>
          <w:sz w:val="19"/>
        </w:rPr>
        <w:t xml:space="preserve">와 </w:t>
      </w:r>
      <w:r>
        <w:rPr>
          <w:rFonts w:ascii="Consolas" w:hAnsi="Consolas" w:eastAsia="Consolas"/>
          <w:color w:val="000000"/>
          <w:sz w:val="18"/>
        </w:rPr>
        <w:t>analyze_true_detection.py</w:t>
      </w:r>
      <w:r>
        <w:rPr>
          <w:rFonts w:ascii="바탕" w:hAnsi="바탕" w:eastAsia="바탕"/>
          <w:color w:val="000000"/>
          <w:sz w:val="19"/>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맑은 고딕" w:hAnsi="맑은 고딕" w:eastAsia="맑은 고딕"/>
          <w:b/>
          <w:color w:val="000000"/>
          <w:sz w:val="22"/>
        </w:rPr>
        <w:t>5. 데이터·코드 재현성 검사</w:t>
      </w:r>
    </w:p>
    <w:p>
      <w:pPr>
        <w:widowControl/>
        <w:spacing w:before="0" w:after="60" w:line="331" w:lineRule="auto"/>
        <w:ind w:firstLine="397"/>
        <w:jc w:val="both"/>
      </w:pPr>
      <w:r>
        <w:rPr>
          <w:rFonts w:ascii="바탕" w:hAnsi="바탕" w:eastAsia="바탕"/>
          <w:color w:val="000000"/>
          <w:sz w:val="19"/>
        </w:rPr>
        <w:t>다음 항목을 독립적으로 검사하였다.</w:t>
      </w:r>
    </w:p>
    <w:p>
      <w:pPr>
        <w:pStyle w:val="ListNumber"/>
        <w:widowControl/>
        <w:spacing w:before="0" w:after="60" w:line="331" w:lineRule="auto"/>
        <w:jc w:val="both"/>
      </w:pPr>
      <w:r>
        <w:rPr>
          <w:rFonts w:ascii="Consolas" w:hAnsi="Consolas" w:eastAsia="Consolas"/>
          <w:color w:val="000000"/>
          <w:sz w:val="18"/>
        </w:rPr>
        <w:t>payloads_10k.json</w:t>
      </w:r>
      <w:r>
        <w:rPr>
          <w:rFonts w:ascii="바탕" w:hAnsi="바탕" w:eastAsia="바탕"/>
          <w:color w:val="000000"/>
          <w:sz w:val="19"/>
        </w:rPr>
        <w:t>이라는 이름을 가진 파일들의 실제 payload 수와 메타데이터</w:t>
      </w:r>
    </w:p>
    <w:p>
      <w:pPr>
        <w:pStyle w:val="ListNumber"/>
        <w:widowControl/>
        <w:spacing w:before="0" w:after="60" w:line="331" w:lineRule="auto"/>
        <w:jc w:val="both"/>
      </w:pPr>
      <w:r>
        <w:rPr>
          <w:rFonts w:ascii="바탕" w:hAnsi="바탕" w:eastAsia="바탕"/>
          <w:color w:val="000000"/>
          <w:sz w:val="19"/>
        </w:rPr>
        <w:t>fuzzer의 기본 코퍼스 정책과 누락 시 동작</w:t>
      </w:r>
    </w:p>
    <w:p>
      <w:pPr>
        <w:pStyle w:val="ListNumber"/>
        <w:widowControl/>
        <w:spacing w:before="0" w:after="60" w:line="331" w:lineRule="auto"/>
        <w:jc w:val="both"/>
      </w:pPr>
      <w:r>
        <w:rPr>
          <w:rFonts w:ascii="바탕" w:hAnsi="바탕" w:eastAsia="바탕"/>
          <w:color w:val="000000"/>
          <w:sz w:val="19"/>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target과 </w:t>
      </w:r>
      <w:r>
        <w:rPr>
          <w:rFonts w:ascii="Consolas" w:hAnsi="Consolas" w:eastAsia="Consolas"/>
          <w:color w:val="000000"/>
          <w:sz w:val="18"/>
        </w:rPr>
        <w:t>sample_10k.py</w:t>
      </w:r>
      <w:r>
        <w:rPr>
          <w:rFonts w:ascii="바탕" w:hAnsi="바탕" w:eastAsia="바탕"/>
          <w:color w:val="000000"/>
          <w:sz w:val="19"/>
        </w:rPr>
        <w:t>의 표본 생성 경로</w:t>
      </w:r>
    </w:p>
    <w:p>
      <w:pPr>
        <w:pStyle w:val="ListNumber"/>
        <w:widowControl/>
        <w:spacing w:before="0" w:after="60" w:line="331" w:lineRule="auto"/>
        <w:jc w:val="both"/>
      </w:pPr>
      <w:r>
        <w:rPr>
          <w:rFonts w:ascii="바탕" w:hAnsi="바탕" w:eastAsia="바탕"/>
          <w:color w:val="000000"/>
          <w:sz w:val="19"/>
        </w:rPr>
        <w:t>격리 환경의 Layer 0·fuzzer 테스트</w:t>
      </w:r>
    </w:p>
    <w:p>
      <w:pPr>
        <w:pStyle w:val="ListNumber"/>
        <w:widowControl/>
        <w:spacing w:before="0" w:after="60" w:line="331" w:lineRule="auto"/>
        <w:jc w:val="both"/>
      </w:pPr>
      <w:r>
        <w:rPr>
          <w:rFonts w:ascii="바탕" w:hAnsi="바탕" w:eastAsia="바탕"/>
          <w:color w:val="000000"/>
          <w:sz w:val="19"/>
        </w:rPr>
        <w:t>정규식 패턴과 키워드 카테고리 수</w:t>
      </w:r>
    </w:p>
    <w:p>
      <w:pPr>
        <w:pStyle w:val="ListNumber"/>
        <w:widowControl/>
        <w:spacing w:before="0" w:after="60" w:line="331" w:lineRule="auto"/>
        <w:jc w:val="both"/>
      </w:pPr>
      <w:r>
        <w:rPr>
          <w:rFonts w:ascii="바탕" w:hAnsi="바탕" w:eastAsia="바탕"/>
          <w:color w:val="000000"/>
          <w:sz w:val="19"/>
        </w:rPr>
        <w:t>VIN 제9자리 체크디지트</w:t>
      </w:r>
    </w:p>
    <w:p>
      <w:pPr>
        <w:pStyle w:val="ListNumber"/>
        <w:widowControl/>
        <w:spacing w:before="0" w:after="60" w:line="331" w:lineRule="auto"/>
        <w:jc w:val="both"/>
      </w:pPr>
      <w:r>
        <w:rPr>
          <w:rFonts w:ascii="바탕" w:hAnsi="바탕" w:eastAsia="바탕"/>
          <w:color w:val="000000"/>
          <w:sz w:val="19"/>
        </w:rPr>
        <w:t>레이어별 저장 지연시간과 비용 귀속</w:t>
      </w:r>
    </w:p>
    <w:p>
      <w:pPr>
        <w:widowControl/>
        <w:spacing w:before="0" w:after="60" w:line="331" w:lineRule="auto"/>
        <w:ind w:firstLine="397"/>
        <w:jc w:val="both"/>
      </w:pPr>
      <w:r>
        <w:rPr>
          <w:rFonts w:ascii="바탕" w:hAnsi="바탕" w:eastAsia="바탕"/>
          <w:color w:val="000000"/>
          <w:sz w:val="19"/>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맑은 고딕" w:hAnsi="맑은 고딕" w:eastAsia="맑은 고딕"/>
          <w:b/>
          <w:color w:val="000000"/>
          <w:sz w:val="22"/>
        </w:rPr>
        <w:t>6. 법령·제품·문헌 검증</w:t>
      </w:r>
    </w:p>
    <w:p>
      <w:pPr>
        <w:widowControl/>
        <w:spacing w:before="0" w:after="60" w:line="331" w:lineRule="auto"/>
        <w:ind w:firstLine="397"/>
        <w:jc w:val="both"/>
      </w:pPr>
      <w:r>
        <w:rPr>
          <w:rFonts w:ascii="바탕" w:hAnsi="바탕" w:eastAsia="바탕"/>
          <w:color w:val="000000"/>
          <w:sz w:val="19"/>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맑은 고딕" w:hAnsi="맑은 고딕" w:eastAsia="맑은 고딕"/>
          <w:b/>
          <w:color w:val="000000"/>
          <w:sz w:val="22"/>
        </w:rPr>
        <w:t>7. 연구윤리</w:t>
      </w:r>
    </w:p>
    <w:p>
      <w:pPr>
        <w:widowControl/>
        <w:spacing w:before="0" w:after="60" w:line="331" w:lineRule="auto"/>
        <w:ind w:firstLine="397"/>
        <w:jc w:val="both"/>
      </w:pPr>
      <w:r>
        <w:rPr>
          <w:rFonts w:ascii="바탕" w:hAnsi="바탕" w:eastAsia="바탕"/>
          <w:color w:val="000000"/>
          <w:sz w:val="19"/>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바탕" w:hAnsi="바탕" w:eastAsia="바탕"/>
          <w:color w:val="000000"/>
          <w:sz w:val="19"/>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맑은 고딕" w:hAnsi="맑은 고딕" w:eastAsia="맑은 고딕"/>
          <w:b/>
          <w:color w:val="000000"/>
          <w:sz w:val="25"/>
        </w:rPr>
        <w:t>IV. 분석결과</w:t>
      </w:r>
    </w:p>
    <w:p>
      <w:pPr>
        <w:pStyle w:val="Heading2"/>
        <w:keepNext/>
        <w:keepLines/>
      </w:pPr>
      <w:r>
        <w:rPr>
          <w:rFonts w:ascii="맑은 고딕" w:hAnsi="맑은 고딕" w:eastAsia="맑은 고딕"/>
          <w:b/>
          <w:color w:val="000000"/>
          <w:sz w:val="22"/>
        </w:rPr>
        <w:t>1. 기존 다계층 가드레일의 유출 가능성</w:t>
      </w:r>
    </w:p>
    <w:p>
      <w:pPr>
        <w:widowControl/>
        <w:spacing w:before="0" w:after="60" w:line="331" w:lineRule="auto"/>
        <w:ind w:firstLine="397"/>
        <w:jc w:val="both"/>
      </w:pPr>
      <w:r>
        <w:rPr>
          <w:rFonts w:ascii="바탕" w:hAnsi="바탕" w:eastAsia="바탕"/>
          <w:color w:val="000000"/>
          <w:sz w:val="19"/>
        </w:rPr>
        <w:t>변이 후 보호대상을 복원한 9,964건에 새 평가기를 적용한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3.13%</w:t>
            </w:r>
          </w:p>
        </w:tc>
      </w:tr>
    </w:tbl>
    <w:p>
      <w:pPr>
        <w:spacing w:after="20"/>
      </w:pPr>
    </w:p>
    <w:p>
      <w:pPr>
        <w:widowControl/>
        <w:spacing w:before="0" w:after="60" w:line="331" w:lineRule="auto"/>
        <w:ind w:firstLine="397"/>
        <w:jc w:val="both"/>
      </w:pPr>
      <w:r>
        <w:rPr>
          <w:rFonts w:ascii="바탕" w:hAnsi="바탕" w:eastAsia="바탕"/>
          <w:color w:val="000000"/>
          <w:sz w:val="19"/>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바탕" w:hAnsi="바탕" w:eastAsia="바탕"/>
          <w:b/>
          <w:color w:val="000000"/>
          <w:sz w:val="19"/>
        </w:rPr>
        <w:t>기술적 유출 가능성</w:t>
      </w:r>
      <w:r>
        <w:rPr>
          <w:rFonts w:ascii="바탕" w:hAnsi="바탕" w:eastAsia="바탕"/>
          <w:color w:val="000000"/>
          <w:sz w:val="19"/>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맑은 고딕" w:hAnsi="맑은 고딕" w:eastAsia="맑은 고딕"/>
          <w:b/>
          <w:color w:val="000000"/>
          <w:sz w:val="22"/>
        </w:rPr>
        <w:t>2. 변이 입력의 위험 증가와 Layer 0의 추가 차단</w:t>
      </w:r>
    </w:p>
    <w:p>
      <w:pPr>
        <w:widowControl/>
        <w:spacing w:before="0" w:after="60" w:line="331" w:lineRule="auto"/>
        <w:ind w:firstLine="397"/>
        <w:jc w:val="both"/>
      </w:pPr>
      <w:r>
        <w:rPr>
          <w:rFonts w:ascii="바탕" w:hAnsi="바탕" w:eastAsia="바탕"/>
          <w:color w:val="000000"/>
          <w:sz w:val="19"/>
        </w:rPr>
        <w:t>동일 PII 유형·원천값의 원형과 변이 사례를 짝지은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-0.65%p (-2.42~+1.14)</w:t>
            </w:r>
          </w:p>
        </w:tc>
      </w:tr>
    </w:tbl>
    <w:p>
      <w:pPr>
        <w:spacing w:after="20"/>
      </w:pPr>
    </w:p>
    <w:p>
      <w:pPr>
        <w:widowControl/>
        <w:spacing w:before="0" w:after="60" w:line="331" w:lineRule="auto"/>
        <w:ind w:firstLine="397"/>
        <w:jc w:val="both"/>
      </w:pPr>
      <w:r>
        <w:rPr>
          <w:rFonts w:ascii="바탕" w:hAnsi="바탕" w:eastAsia="바탕"/>
          <w:color w:val="000000"/>
          <w:sz w:val="19"/>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바탕" w:hAnsi="바탕" w:eastAsia="바탕"/>
          <w:color w:val="000000"/>
          <w:sz w:val="19"/>
        </w:rPr>
        <w:t xml:space="preserve">변이기법별 기술통계도 이 구분과 일치한다. 한국어 </w:t>
      </w:r>
      <w:r>
        <w:rPr>
          <w:rFonts w:ascii="Consolas" w:hAnsi="Consolas" w:eastAsia="Consolas"/>
          <w:color w:val="000000"/>
          <w:sz w:val="18"/>
        </w:rPr>
        <w:t>soft_hyphen</w:t>
      </w:r>
      <w:r>
        <w:rPr>
          <w:rFonts w:ascii="바탕" w:hAnsi="바탕" w:eastAsia="바탕"/>
          <w:color w:val="000000"/>
          <w:sz w:val="19"/>
        </w:rPr>
        <w:t xml:space="preserve">은 원형 21.2%에서 변이 61.6%, </w:t>
      </w:r>
      <w:r>
        <w:rPr>
          <w:rFonts w:ascii="Consolas" w:hAnsi="Consolas" w:eastAsia="Consolas"/>
          <w:color w:val="000000"/>
          <w:sz w:val="18"/>
        </w:rPr>
        <w:t>combining</w:t>
      </w:r>
      <w:r>
        <w:rPr>
          <w:rFonts w:ascii="바탕" w:hAnsi="바탕" w:eastAsia="바탕"/>
          <w:color w:val="000000"/>
          <w:sz w:val="19"/>
        </w:rPr>
        <w:t xml:space="preserve">은 19.5%에서 45.1%, </w:t>
      </w:r>
      <w:r>
        <w:rPr>
          <w:rFonts w:ascii="Consolas" w:hAnsi="Consolas" w:eastAsia="Consolas"/>
          <w:color w:val="000000"/>
          <w:sz w:val="18"/>
        </w:rPr>
        <w:t>fullwidth</w:t>
      </w:r>
      <w:r>
        <w:rPr>
          <w:rFonts w:ascii="바탕" w:hAnsi="바탕" w:eastAsia="바탕"/>
          <w:color w:val="000000"/>
          <w:sz w:val="19"/>
        </w:rPr>
        <w:t xml:space="preserve">는 18.3%에서 40.4%, </w:t>
      </w:r>
      <w:r>
        <w:rPr>
          <w:rFonts w:ascii="Consolas" w:hAnsi="Consolas" w:eastAsia="Consolas"/>
          <w:color w:val="000000"/>
          <w:sz w:val="18"/>
        </w:rPr>
        <w:t>homoglyph</w:t>
      </w:r>
      <w:r>
        <w:rPr>
          <w:rFonts w:ascii="바탕" w:hAnsi="바탕" w:eastAsia="바탕"/>
          <w:color w:val="000000"/>
          <w:sz w:val="19"/>
        </w:rPr>
        <w:t xml:space="preserve">는 18.2%에서 40.0%, </w:t>
      </w:r>
      <w:r>
        <w:rPr>
          <w:rFonts w:ascii="Consolas" w:hAnsi="Consolas" w:eastAsia="Consolas"/>
          <w:color w:val="000000"/>
          <w:sz w:val="18"/>
        </w:rPr>
        <w:t>kr_digits</w:t>
      </w:r>
      <w:r>
        <w:rPr>
          <w:rFonts w:ascii="바탕" w:hAnsi="바탕" w:eastAsia="바탕"/>
          <w:color w:val="000000"/>
          <w:sz w:val="19"/>
        </w:rPr>
        <w:t xml:space="preserve">는 20.9%에서 52.7%로 미차단율이 높아졌다. 반면 </w:t>
      </w:r>
      <w:r>
        <w:rPr>
          <w:rFonts w:ascii="Consolas" w:hAnsi="Consolas" w:eastAsia="Consolas"/>
          <w:color w:val="000000"/>
          <w:sz w:val="18"/>
        </w:rPr>
        <w:t>ctx_json</w:t>
      </w:r>
      <w:r>
        <w:rPr>
          <w:rFonts w:ascii="바탕" w:hAnsi="바탕" w:eastAsia="바탕"/>
          <w:color w:val="000000"/>
          <w:sz w:val="19"/>
        </w:rPr>
        <w:t xml:space="preserve">, </w:t>
      </w:r>
      <w:r>
        <w:rPr>
          <w:rFonts w:ascii="Consolas" w:hAnsi="Consolas" w:eastAsia="Consolas"/>
          <w:color w:val="000000"/>
          <w:sz w:val="18"/>
        </w:rPr>
        <w:t>ctx_rag</w:t>
      </w:r>
      <w:r>
        <w:rPr>
          <w:rFonts w:ascii="바탕" w:hAnsi="바탕" w:eastAsia="바탕"/>
          <w:color w:val="000000"/>
          <w:sz w:val="19"/>
        </w:rPr>
        <w:t xml:space="preserve">, </w:t>
      </w:r>
      <w:r>
        <w:rPr>
          <w:rFonts w:ascii="Consolas" w:hAnsi="Consolas" w:eastAsia="Consolas"/>
          <w:color w:val="000000"/>
          <w:sz w:val="18"/>
        </w:rPr>
        <w:t>houyi</w:t>
      </w:r>
      <w:r>
        <w:rPr>
          <w:rFonts w:ascii="바탕" w:hAnsi="바탕" w:eastAsia="바탕"/>
          <w:color w:val="000000"/>
          <w:sz w:val="19"/>
        </w:rPr>
        <w:t xml:space="preserve">, </w:t>
      </w:r>
      <w:r>
        <w:rPr>
          <w:rFonts w:ascii="Consolas" w:hAnsi="Consolas" w:eastAsia="Consolas"/>
          <w:color w:val="000000"/>
          <w:sz w:val="18"/>
        </w:rPr>
        <w:t>code_switch</w:t>
      </w:r>
      <w:r>
        <w:rPr>
          <w:rFonts w:ascii="바탕" w:hAnsi="바탕" w:eastAsia="바탕"/>
          <w:color w:val="000000"/>
          <w:sz w:val="19"/>
        </w:rPr>
        <w:t xml:space="preserve">처럼 보호대상 값을 보존한 변이는 증가가 일관되지 않았다. 따라서 RQ1에 대한 답은 “모든 변이가 위험을 높인다”가 아니라, </w:t>
      </w:r>
      <w:r>
        <w:rPr>
          <w:rFonts w:ascii="바탕" w:hAnsi="바탕" w:eastAsia="바탕"/>
          <w:b/>
          <w:color w:val="000000"/>
          <w:sz w:val="19"/>
        </w:rPr>
        <w:t>PII 값 자체를 바꾸는 문자·인코딩·표기 변이가 기존 계층의 미차단 위험을 높인다</w:t>
      </w:r>
      <w:r>
        <w:rPr>
          <w:rFonts w:ascii="바탕" w:hAnsi="바탕" w:eastAsia="바탕"/>
          <w:color w:val="000000"/>
          <w:sz w:val="19"/>
        </w:rPr>
        <w:t>는 것이다.</w:t>
      </w:r>
    </w:p>
    <w:p>
      <w:pPr>
        <w:widowControl/>
        <w:spacing w:before="0" w:after="60" w:line="331" w:lineRule="auto"/>
        <w:ind w:firstLine="397"/>
        <w:jc w:val="both"/>
      </w:pPr>
      <w:r>
        <w:rPr>
          <w:rFonts w:ascii="바탕" w:hAnsi="바탕" w:eastAsia="바탕"/>
          <w:color w:val="000000"/>
          <w:sz w:val="19"/>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바탕" w:hAnsi="바탕" w:eastAsia="바탕"/>
          <w:color w:val="000000"/>
          <w:sz w:val="19"/>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바탕" w:hAnsi="바탕" w:eastAsia="바탕"/>
          <w:b/>
          <w:color w:val="000000"/>
          <w:sz w:val="19"/>
        </w:rPr>
        <w:t>한국어 입력을 위한 필수 심층방어 계층</w:t>
      </w:r>
      <w:r>
        <w:rPr>
          <w:rFonts w:ascii="바탕" w:hAnsi="바탕" w:eastAsia="바탕"/>
          <w:color w:val="000000"/>
          <w:sz w:val="19"/>
        </w:rPr>
        <w:t>으로 배치할 필요가 있다.</w:t>
      </w:r>
    </w:p>
    <w:p>
      <w:pPr>
        <w:pStyle w:val="Heading2"/>
        <w:keepNext/>
        <w:keepLines/>
      </w:pPr>
      <w:r>
        <w:rPr>
          <w:rFonts w:ascii="맑은 고딕" w:hAnsi="맑은 고딕" w:eastAsia="맑은 고딕"/>
          <w:b/>
          <w:color w:val="000000"/>
          <w:sz w:val="22"/>
        </w:rPr>
        <w:t>3. 전체 데이터에서 변이 후 정답 추적의 실패</w:t>
      </w:r>
    </w:p>
    <w:p>
      <w:pPr>
        <w:widowControl/>
        <w:spacing w:before="0" w:after="60" w:line="331" w:lineRule="auto"/>
        <w:ind w:firstLine="397"/>
        <w:jc w:val="both"/>
      </w:pPr>
      <w:r>
        <w:rPr>
          <w:rFonts w:ascii="바탕" w:hAnsi="바탕" w:eastAsia="바탕"/>
          <w:color w:val="000000"/>
          <w:sz w:val="19"/>
        </w:rPr>
        <w:t xml:space="preserve">10,000건 중 원래 </w:t>
      </w:r>
      <w:r>
        <w:rPr>
          <w:rFonts w:ascii="Consolas" w:hAnsi="Consolas" w:eastAsia="Consolas"/>
          <w:color w:val="000000"/>
          <w:sz w:val="18"/>
        </w:rPr>
        <w:t>pii_value</w:t>
      </w:r>
      <w:r>
        <w:rPr>
          <w:rFonts w:ascii="바탕" w:hAnsi="바탕" w:eastAsia="바탕"/>
          <w:color w:val="000000"/>
          <w:sz w:val="19"/>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0.36%</w:t>
            </w:r>
          </w:p>
        </w:tc>
      </w:tr>
    </w:tbl>
    <w:p>
      <w:pPr>
        <w:spacing w:after="20"/>
      </w:pPr>
    </w:p>
    <w:p>
      <w:pPr>
        <w:widowControl/>
        <w:spacing w:before="0" w:after="60" w:line="331" w:lineRule="auto"/>
        <w:ind w:firstLine="397"/>
        <w:jc w:val="both"/>
      </w:pPr>
      <w:r>
        <w:rPr>
          <w:rFonts w:ascii="바탕" w:hAnsi="바탕" w:eastAsia="바탕"/>
          <w:color w:val="000000"/>
          <w:sz w:val="19"/>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맑은 고딕" w:hAnsi="맑은 고딕" w:eastAsia="맑은 고딕"/>
          <w:b/>
          <w:color w:val="000000"/>
          <w:sz w:val="22"/>
        </w:rPr>
        <w:t>4. 방어구성별 저장 판정과 평가기 민감도</w:t>
      </w:r>
    </w:p>
    <w:p>
      <w:pPr>
        <w:widowControl/>
        <w:spacing w:before="0" w:after="60" w:line="331" w:lineRule="auto"/>
        <w:ind w:firstLine="397"/>
        <w:jc w:val="both"/>
      </w:pPr>
      <w:r>
        <w:rPr>
          <w:rFonts w:ascii="바탕" w:hAnsi="바탕" w:eastAsia="바탕"/>
          <w:color w:val="000000"/>
          <w:sz w:val="19"/>
        </w:rPr>
        <w:t>최종 논문 수치를 만든 평가기와 정규화를 추가한 다른 평가기를 동일 결과에 적용한 값은 표 4와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-12</w:t>
            </w:r>
          </w:p>
        </w:tc>
      </w:tr>
    </w:tbl>
    <w:p>
      <w:pPr>
        <w:spacing w:after="20"/>
      </w:pPr>
    </w:p>
    <w:p>
      <w:pPr>
        <w:widowControl/>
        <w:spacing w:before="0" w:after="60" w:line="331" w:lineRule="auto"/>
        <w:ind w:firstLine="397"/>
        <w:jc w:val="both"/>
      </w:pPr>
      <w:r>
        <w:rPr>
          <w:rFonts w:ascii="바탕" w:hAnsi="바탕" w:eastAsia="바탕"/>
          <w:color w:val="000000"/>
          <w:sz w:val="19"/>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바탕" w:hAnsi="바탕" w:eastAsia="바탕"/>
          <w:color w:val="000000"/>
          <w:sz w:val="19"/>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맑은 고딕" w:hAnsi="맑은 고딕" w:eastAsia="맑은 고딕"/>
          <w:b/>
          <w:color w:val="000000"/>
          <w:sz w:val="22"/>
        </w:rPr>
        <w:t>5. Layer 0의 정상문장·법령 하드 네거티브 오탐</w:t>
      </w:r>
    </w:p>
    <w:p>
      <w:pPr>
        <w:widowControl/>
        <w:spacing w:before="0" w:after="60" w:line="331" w:lineRule="auto"/>
        <w:ind w:firstLine="397"/>
        <w:jc w:val="both"/>
      </w:pPr>
      <w:r>
        <w:rPr>
          <w:rFonts w:ascii="바탕" w:hAnsi="바탕" w:eastAsia="바탕"/>
          <w:color w:val="000000"/>
          <w:sz w:val="19"/>
        </w:rPr>
        <w:t>동일한 Layer 0 normalizer와 detector를 세 자료에 실행한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548"/>
        <w:gridCol w:w="1688"/>
        <w:gridCol w:w="1998"/>
        <w:gridCol w:w="1688"/>
        <w:gridCol w:w="2048"/>
      </w:tblGrid>
      <w:tr>
        <w:trPr>
          <w:tblHeader w:val="true"/>
          <w:cantSplit/>
        </w:trPr>
        <w:tc>
          <w:tcPr>
            <w:tcW w:type="dxa" w:w="254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평가자료</w:t>
            </w:r>
          </w:p>
        </w:tc>
        <w:tc>
          <w:tcPr>
            <w:tcW w:type="dxa" w:w="16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단위</w:t>
            </w:r>
          </w:p>
        </w:tc>
        <w:tc>
          <w:tcPr>
            <w:tcW w:type="dxa" w:w="199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탐지·차단 후보</w:t>
            </w:r>
          </w:p>
        </w:tc>
        <w:tc>
          <w:tcPr>
            <w:tcW w:type="dxa" w:w="16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비율</w:t>
            </w:r>
          </w:p>
        </w:tc>
        <w:tc>
          <w:tcPr>
            <w:tcW w:type="dxa" w:w="204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주요 탐지유형</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합성 정상 한국어</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0.00%</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없음</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명시적 hard-negative fixture</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25.00%</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한국 전화번호 1</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공식 법령 조문</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1,519</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1.91%</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부서 18, 국적 11</w:t>
            </w:r>
          </w:p>
        </w:tc>
      </w:tr>
    </w:tbl>
    <w:p>
      <w:pPr>
        <w:spacing w:after="20"/>
      </w:pPr>
    </w:p>
    <w:p>
      <w:pPr>
        <w:widowControl/>
        <w:spacing w:before="0" w:after="60" w:line="331" w:lineRule="auto"/>
        <w:ind w:firstLine="397"/>
        <w:jc w:val="both"/>
      </w:pPr>
      <w:r>
        <w:rPr>
          <w:rFonts w:ascii="바탕" w:hAnsi="바탕" w:eastAsia="바탕"/>
          <w:color w:val="000000"/>
          <w:sz w:val="19"/>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바탕" w:hAnsi="바탕" w:eastAsia="바탕"/>
          <w:color w:val="000000"/>
          <w:sz w:val="19"/>
        </w:rPr>
        <w:t>합성 정상문장 생성기는 직접적인 PII 유사패턴을 의도적으로 피하므로 0%는 회귀검사 결과일 뿐이다. 반대로 4건 fixture의 25%는 분모가 너무 작아 일반화할 수 없다. 법령 1.91%도 진성 개인정보가 없는 실제 공개문서에서 어휘적 오탐이 발생한다는 존재 증거이지, 의료·금융·상담 서비스의 오탐률 추정치는 아니다. 세 결과를 함께 보면 Layer 0의 추가 차단 효과와 키워드 탐지의 문맥 한계를 동시에 보고해야 한다.</w:t>
      </w:r>
    </w:p>
    <w:p>
      <w:pPr>
        <w:pStyle w:val="Heading2"/>
        <w:keepNext/>
        <w:keepLines/>
      </w:pPr>
      <w:r>
        <w:rPr>
          <w:rFonts w:ascii="맑은 고딕" w:hAnsi="맑은 고딕" w:eastAsia="맑은 고딕"/>
          <w:b/>
          <w:color w:val="000000"/>
          <w:sz w:val="22"/>
        </w:rPr>
        <w:t>6. 표본 파일과 생성 경로의 충돌</w:t>
      </w:r>
    </w:p>
    <w:p>
      <w:pPr>
        <w:widowControl/>
        <w:spacing w:before="0" w:after="60" w:line="331" w:lineRule="auto"/>
        <w:ind w:firstLine="397"/>
        <w:jc w:val="both"/>
      </w:pPr>
      <w:r>
        <w:rPr>
          <w:rFonts w:ascii="바탕" w:hAnsi="바탕" w:eastAsia="바탕"/>
          <w:color w:val="000000"/>
          <w:sz w:val="19"/>
        </w:rPr>
        <w:t>저장소에는 이름이 같은 두 표본 파일이 있다.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91</w:t>
            </w:r>
          </w:p>
        </w:tc>
      </w:tr>
    </w:tbl>
    <w:p>
      <w:pPr>
        <w:spacing w:after="20"/>
      </w:pPr>
    </w:p>
    <w:p>
      <w:pPr>
        <w:widowControl/>
        <w:spacing w:before="0" w:after="60" w:line="331" w:lineRule="auto"/>
        <w:ind w:firstLine="397"/>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target은 fuzzer를 </w:t>
      </w:r>
      <w:r>
        <w:rPr>
          <w:rFonts w:ascii="Consolas" w:hAnsi="Consolas" w:eastAsia="Consolas"/>
          <w:color w:val="000000"/>
          <w:sz w:val="18"/>
        </w:rPr>
        <w:t>--count 3</w:t>
      </w:r>
      <w:r>
        <w:rPr>
          <w:rFonts w:ascii="바탕" w:hAnsi="바탕" w:eastAsia="바탕"/>
          <w:color w:val="000000"/>
          <w:sz w:val="19"/>
        </w:rPr>
        <w:t xml:space="preserve">으로 실행한 뒤 </w:t>
      </w:r>
      <w:r>
        <w:rPr>
          <w:rFonts w:ascii="Consolas" w:hAnsi="Consolas" w:eastAsia="Consolas"/>
          <w:color w:val="000000"/>
          <w:sz w:val="18"/>
        </w:rPr>
        <w:t>sample_10k.py</w:t>
      </w:r>
      <w:r>
        <w:rPr>
          <w:rFonts w:ascii="바탕" w:hAnsi="바탕" w:eastAsia="바탕"/>
          <w:color w:val="000000"/>
          <w:sz w:val="19"/>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맑은 고딕" w:hAnsi="맑은 고딕" w:eastAsia="맑은 고딕"/>
          <w:b/>
          <w:color w:val="000000"/>
          <w:sz w:val="22"/>
        </w:rPr>
        <w:t>7. 필수 코퍼스 누락과 테스트 실패</w:t>
      </w:r>
    </w:p>
    <w:p>
      <w:pPr>
        <w:widowControl/>
        <w:spacing w:before="0" w:after="60" w:line="331" w:lineRule="auto"/>
        <w:ind w:firstLine="397"/>
        <w:jc w:val="both"/>
      </w:pPr>
      <w:r>
        <w:rPr>
          <w:rFonts w:ascii="바탕" w:hAnsi="바탕" w:eastAsia="바탕"/>
          <w:color w:val="000000"/>
          <w:sz w:val="19"/>
        </w:rPr>
        <w:t xml:space="preserve">fuzzer v4의 기본 정책은 </w:t>
      </w:r>
      <w:r>
        <w:rPr>
          <w:rFonts w:ascii="Consolas" w:hAnsi="Consolas" w:eastAsia="Consolas"/>
          <w:color w:val="000000"/>
          <w:sz w:val="18"/>
        </w:rPr>
        <w:t>corpus_policy=required</w:t>
      </w:r>
      <w:r>
        <w:rPr>
          <w:rFonts w:ascii="바탕" w:hAnsi="바탕" w:eastAsia="바탕"/>
          <w:color w:val="000000"/>
          <w:sz w:val="19"/>
        </w:rPr>
        <w:t>이며 다음 파일을 요구한다.</w:t>
      </w:r>
    </w:p>
    <w:p>
      <w:pPr>
        <w:pStyle w:val="ListBullet"/>
        <w:widowControl/>
        <w:spacing w:before="0" w:after="60" w:line="331" w:lineRule="auto"/>
        <w:jc w:val="both"/>
      </w:pPr>
      <w:r>
        <w:rPr>
          <w:rFonts w:ascii="Consolas" w:hAnsi="Consolas" w:eastAsia="Consolas"/>
          <w:color w:val="000000"/>
          <w:sz w:val="18"/>
        </w:rPr>
        <w:t>PII/fuzzer/data/tagged_korean_names.jsonl</w:t>
      </w:r>
    </w:p>
    <w:p>
      <w:pPr>
        <w:pStyle w:val="ListBullet"/>
        <w:widowControl/>
        <w:spacing w:before="0" w:after="60" w:line="331" w:lineRule="auto"/>
        <w:jc w:val="both"/>
      </w:pPr>
      <w:r>
        <w:rPr>
          <w:rFonts w:ascii="Consolas" w:hAnsi="Consolas" w:eastAsia="Consolas"/>
          <w:color w:val="000000"/>
          <w:sz w:val="18"/>
        </w:rPr>
        <w:t>PII/fuzzer/data/tagged_korean_addresses.jsonl</w:t>
      </w:r>
    </w:p>
    <w:p>
      <w:pPr>
        <w:widowControl/>
        <w:spacing w:before="0" w:after="60" w:line="331" w:lineRule="auto"/>
        <w:ind w:firstLine="397"/>
        <w:jc w:val="both"/>
      </w:pPr>
      <w:r>
        <w:rPr>
          <w:rFonts w:ascii="바탕" w:hAnsi="바탕" w:eastAsia="바탕"/>
          <w:color w:val="000000"/>
          <w:sz w:val="19"/>
        </w:rPr>
        <w:t xml:space="preserve">두 파일은 확인한 4개 저장소와 109개 원격 ref 어디에도 없었다. fuzzer는 기본 정책에서 파일이 없으면 </w:t>
      </w:r>
      <w:r>
        <w:rPr>
          <w:rFonts w:ascii="Consolas" w:hAnsi="Consolas" w:eastAsia="Consolas"/>
          <w:color w:val="000000"/>
          <w:sz w:val="18"/>
        </w:rPr>
        <w:t>RuntimeError</w:t>
      </w:r>
      <w:r>
        <w:rPr>
          <w:rFonts w:ascii="바탕" w:hAnsi="바탕" w:eastAsia="바탕"/>
          <w:color w:val="000000"/>
          <w:sz w:val="19"/>
        </w:rPr>
        <w:t xml:space="preserve">를 발생시킨다. </w:t>
      </w: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target도 두 코퍼스를 생성하지 않는다.</w:t>
      </w:r>
    </w:p>
    <w:p>
      <w:pPr>
        <w:widowControl/>
        <w:spacing w:before="0" w:after="60" w:line="331" w:lineRule="auto"/>
        <w:ind w:firstLine="397"/>
        <w:jc w:val="both"/>
      </w:pPr>
      <w:r>
        <w:rPr>
          <w:rFonts w:ascii="바탕" w:hAnsi="바탕" w:eastAsia="바탕"/>
          <w:color w:val="000000"/>
          <w:sz w:val="19"/>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맑은 고딕" w:hAnsi="맑은 고딕" w:eastAsia="맑은 고딕"/>
          <w:b/>
          <w:color w:val="000000"/>
          <w:sz w:val="22"/>
        </w:rPr>
        <w:t>8. 체크섬과 데이터 유효성</w:t>
      </w:r>
    </w:p>
    <w:p>
      <w:pPr>
        <w:widowControl/>
        <w:spacing w:before="0" w:after="60" w:line="331" w:lineRule="auto"/>
        <w:ind w:firstLine="397"/>
        <w:jc w:val="both"/>
      </w:pPr>
      <w:r>
        <w:rPr>
          <w:rFonts w:ascii="바탕" w:hAnsi="바탕" w:eastAsia="바탕"/>
          <w:color w:val="000000"/>
          <w:sz w:val="19"/>
        </w:rPr>
        <w:t xml:space="preserve">10,000건 데이터에는 VIN 유형 72개 행, 고유 원본값 10개가 포함되어 있고 모두 </w:t>
      </w:r>
      <w:r>
        <w:rPr>
          <w:rFonts w:ascii="Consolas" w:hAnsi="Consolas" w:eastAsia="Consolas"/>
          <w:color w:val="000000"/>
          <w:sz w:val="18"/>
        </w:rPr>
        <w:t>rule_valid: true</w:t>
      </w:r>
      <w:r>
        <w:rPr>
          <w:rFonts w:ascii="바탕" w:hAnsi="바탕" w:eastAsia="바탕"/>
          <w:color w:val="000000"/>
          <w:sz w:val="19"/>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바탕" w:hAnsi="바탕" w:eastAsia="바탕"/>
          <w:color w:val="000000"/>
          <w:sz w:val="19"/>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맑은 고딕" w:hAnsi="맑은 고딕" w:eastAsia="맑은 고딕"/>
          <w:b/>
          <w:color w:val="000000"/>
          <w:sz w:val="22"/>
        </w:rPr>
        <w:t>9. 탐지기 수, 지연시간 및 비용</w:t>
      </w:r>
    </w:p>
    <w:p>
      <w:pPr>
        <w:widowControl/>
        <w:spacing w:before="0" w:after="60" w:line="331" w:lineRule="auto"/>
        <w:ind w:firstLine="397"/>
        <w:jc w:val="both"/>
      </w:pPr>
      <w:r>
        <w:rPr>
          <w:rFonts w:ascii="바탕" w:hAnsi="바탕" w:eastAsia="바탕"/>
          <w:color w:val="000000"/>
          <w:sz w:val="19"/>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바탕" w:hAnsi="바탕" w:eastAsia="바탕"/>
          <w:color w:val="000000"/>
          <w:sz w:val="19"/>
        </w:rPr>
        <w:t>저장된 레이어별 지연시간 10,000건을 재계산한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7530ms</w:t>
            </w:r>
          </w:p>
        </w:tc>
      </w:tr>
    </w:tbl>
    <w:p>
      <w:pPr>
        <w:spacing w:after="20"/>
      </w:pPr>
    </w:p>
    <w:p>
      <w:pPr>
        <w:widowControl/>
        <w:spacing w:before="0" w:after="60" w:line="331" w:lineRule="auto"/>
        <w:ind w:firstLine="397"/>
        <w:jc w:val="both"/>
      </w:pPr>
      <w:r>
        <w:rPr>
          <w:rFonts w:ascii="바탕" w:hAnsi="바탕" w:eastAsia="바탕"/>
          <w:color w:val="000000"/>
          <w:sz w:val="19"/>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8"/>
        </w:rPr>
        <w:t>$0.08</w:t>
      </w:r>
      <w:r>
        <w:rPr>
          <w:rFonts w:ascii="바탕" w:hAnsi="바탕" w:eastAsia="바탕"/>
          <w:color w:val="000000"/>
          <w:sz w:val="19"/>
        </w:rPr>
        <w:t xml:space="preserve">을 C의 L4 비용으로 귀속할 수 없다. </w:t>
      </w:r>
      <w:r>
        <w:rPr>
          <w:rFonts w:ascii="Consolas" w:hAnsi="Consolas" w:eastAsia="Consolas"/>
          <w:color w:val="000000"/>
          <w:sz w:val="18"/>
        </w:rPr>
        <w:t>$0.08</w:t>
      </w:r>
      <w:r>
        <w:rPr>
          <w:rFonts w:ascii="바탕" w:hAnsi="바탕" w:eastAsia="바탕"/>
          <w:color w:val="000000"/>
          <w:sz w:val="19"/>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맑은 고딕" w:hAnsi="맑은 고딕" w:eastAsia="맑은 고딕"/>
          <w:b/>
          <w:color w:val="000000"/>
          <w:sz w:val="22"/>
        </w:rPr>
        <w:t>10. 제품·법·이론 주장 검증</w:t>
      </w:r>
    </w:p>
    <w:p>
      <w:pPr>
        <w:widowControl/>
        <w:spacing w:before="0" w:after="60" w:line="331" w:lineRule="auto"/>
        <w:ind w:firstLine="397"/>
        <w:jc w:val="both"/>
      </w:pPr>
      <w:r>
        <w:rPr>
          <w:rFonts w:ascii="바탕" w:hAnsi="바탕" w:eastAsia="바탕"/>
          <w:color w:val="000000"/>
          <w:sz w:val="19"/>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바탕" w:hAnsi="바탕" w:eastAsia="바탕"/>
          <w:color w:val="000000"/>
          <w:sz w:val="19"/>
        </w:rPr>
        <w:t xml:space="preserve">법조문 검증에서는 </w:t>
      </w:r>
      <w:r>
        <w:rPr>
          <w:rFonts w:ascii="Consolas" w:hAnsi="Consolas" w:eastAsia="Consolas"/>
          <w:color w:val="000000"/>
          <w:sz w:val="18"/>
        </w:rPr>
        <w:t>§71④</w:t>
      </w:r>
      <w:r>
        <w:rPr>
          <w:rFonts w:ascii="바탕" w:hAnsi="바탕" w:eastAsia="바탕"/>
          <w:color w:val="000000"/>
          <w:sz w:val="19"/>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바탕" w:hAnsi="바탕" w:eastAsia="바탕"/>
          <w:color w:val="000000"/>
          <w:sz w:val="19"/>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맑은 고딕" w:hAnsi="맑은 고딕" w:eastAsia="맑은 고딕"/>
          <w:b/>
          <w:color w:val="000000"/>
          <w:sz w:val="25"/>
        </w:rPr>
        <w:t>V. 논의</w:t>
      </w:r>
    </w:p>
    <w:p>
      <w:pPr>
        <w:pStyle w:val="Heading2"/>
        <w:keepNext/>
        <w:keepLines/>
      </w:pPr>
      <w:r>
        <w:rPr>
          <w:rFonts w:ascii="맑은 고딕" w:hAnsi="맑은 고딕" w:eastAsia="맑은 고딕"/>
          <w:b/>
          <w:color w:val="000000"/>
          <w:sz w:val="22"/>
        </w:rPr>
        <w:t>1. Layer 0가 필요한 이유</w:t>
      </w:r>
    </w:p>
    <w:p>
      <w:pPr>
        <w:widowControl/>
        <w:spacing w:before="0" w:after="60" w:line="331" w:lineRule="auto"/>
        <w:ind w:firstLine="397"/>
        <w:jc w:val="both"/>
      </w:pPr>
      <w:r>
        <w:rPr>
          <w:rFonts w:ascii="바탕" w:hAnsi="바탕" w:eastAsia="바탕"/>
          <w:color w:val="000000"/>
          <w:sz w:val="19"/>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바탕" w:hAnsi="바탕" w:eastAsia="바탕"/>
          <w:color w:val="000000"/>
          <w:sz w:val="19"/>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8"/>
        </w:rPr>
        <w:t>BLOCK/[BLOCKED]</w:t>
      </w:r>
      <w:r>
        <w:rPr>
          <w:rFonts w:ascii="바탕" w:hAnsi="바탕" w:eastAsia="바탕"/>
          <w:color w:val="000000"/>
          <w:sz w:val="19"/>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바탕" w:hAnsi="바탕" w:eastAsia="바탕"/>
          <w:color w:val="000000"/>
          <w:sz w:val="19"/>
        </w:rPr>
        <w:t>심층방어 관점에서 Layer 0가 필요한 이유는 다음과 같다.</w:t>
      </w:r>
    </w:p>
    <w:p>
      <w:pPr>
        <w:pStyle w:val="ListNumber"/>
        <w:widowControl/>
        <w:spacing w:before="0" w:after="60" w:line="331" w:lineRule="auto"/>
        <w:jc w:val="both"/>
      </w:pPr>
      <w:r>
        <w:rPr>
          <w:rFonts w:ascii="바탕" w:hAnsi="바탕" w:eastAsia="바탕"/>
          <w:color w:val="000000"/>
          <w:sz w:val="19"/>
        </w:rPr>
        <w:t>자모·한자·약어·혼용어·문맥 삽입 등 한국어 특유 변형을 후속 제품에 전달하기 전에 정규화한다.</w:t>
      </w:r>
    </w:p>
    <w:p>
      <w:pPr>
        <w:pStyle w:val="ListNumber"/>
        <w:widowControl/>
        <w:spacing w:before="0" w:after="60" w:line="331" w:lineRule="auto"/>
        <w:jc w:val="both"/>
      </w:pPr>
      <w:r>
        <w:rPr>
          <w:rFonts w:ascii="바탕" w:hAnsi="바탕" w:eastAsia="바탕"/>
          <w:color w:val="000000"/>
          <w:sz w:val="19"/>
        </w:rPr>
        <w:t>외부 모델 호출 전에 차단하므로 PII가 외부 API로 전달될 기회를 줄인다.</w:t>
      </w:r>
    </w:p>
    <w:p>
      <w:pPr>
        <w:pStyle w:val="ListNumber"/>
        <w:widowControl/>
        <w:spacing w:before="0" w:after="60" w:line="331" w:lineRule="auto"/>
        <w:jc w:val="both"/>
      </w:pPr>
      <w:r>
        <w:rPr>
          <w:rFonts w:ascii="바탕" w:hAnsi="바탕" w:eastAsia="바탕"/>
          <w:color w:val="000000"/>
          <w:sz w:val="19"/>
        </w:rPr>
        <w:t>결정론적 규칙과 사전은 판정 근거를 기록하고 사후 감사할 수 있다.</w:t>
      </w:r>
    </w:p>
    <w:p>
      <w:pPr>
        <w:pStyle w:val="ListNumber"/>
        <w:widowControl/>
        <w:spacing w:before="0" w:after="60" w:line="331" w:lineRule="auto"/>
        <w:jc w:val="both"/>
      </w:pPr>
      <w:r>
        <w:rPr>
          <w:rFonts w:ascii="바탕" w:hAnsi="바탕" w:eastAsia="바탕"/>
          <w:color w:val="000000"/>
          <w:sz w:val="19"/>
        </w:rPr>
        <w:t>외부 연결이나 LLM 호출이 제한되는 폐쇄망에서도 작동할 수 있다.</w:t>
      </w:r>
    </w:p>
    <w:p>
      <w:pPr>
        <w:pStyle w:val="ListNumber"/>
        <w:widowControl/>
        <w:spacing w:before="0" w:after="60" w:line="331" w:lineRule="auto"/>
        <w:jc w:val="both"/>
      </w:pPr>
      <w:r>
        <w:rPr>
          <w:rFonts w:ascii="바탕" w:hAnsi="바탕" w:eastAsia="바탕"/>
          <w:color w:val="000000"/>
          <w:sz w:val="19"/>
        </w:rPr>
        <w:t>후속 Presidio·Bedrock·Lakera·LLM 판별기와 서로 다른 실패양상을 가져 단일 장애점을 줄인다.</w:t>
      </w:r>
    </w:p>
    <w:p>
      <w:pPr>
        <w:widowControl/>
        <w:spacing w:before="0" w:after="60" w:line="331" w:lineRule="auto"/>
        <w:ind w:firstLine="397"/>
        <w:jc w:val="both"/>
      </w:pPr>
      <w:r>
        <w:rPr>
          <w:rFonts w:ascii="바탕" w:hAnsi="바탕" w:eastAsia="바탕"/>
          <w:color w:val="000000"/>
          <w:sz w:val="19"/>
        </w:rPr>
        <w:t>다만 Layer 0는 독립된 완전방어가 아니다. 새 평가에서도 C 구성의 미차단은 706건이었다. 또한 합성 정상문장 10,000건에서는 오탐이 없었지만, 공식 법령 조문 1,519개 중 29개(1.91%)에서 “대한민국”과 “연구소” 같은 비식별 어휘가 국적·부서로 탐지되었다. 사전·패턴 기반 탐지는 새로운 표현과 문맥을 놓칠 뿐 아니라 일반 문장을 과잉차단할 수 있다. 따라서 Layer 0는 후속 계층과 문맥 점수·allowlist·감사 절차를 결합하는 “필요하지만 충분하지 않은” 입력 통제로 규정해야 한다.</w:t>
      </w:r>
    </w:p>
    <w:p>
      <w:pPr>
        <w:pStyle w:val="Heading2"/>
        <w:keepNext/>
        <w:keepLines/>
      </w:pPr>
      <w:r>
        <w:rPr>
          <w:rFonts w:ascii="맑은 고딕" w:hAnsi="맑은 고딕" w:eastAsia="맑은 고딕"/>
          <w:b/>
          <w:color w:val="000000"/>
          <w:sz w:val="22"/>
        </w:rPr>
        <w:t>2. 매우 작은 p-value보다 먼저 확인해야 할 것</w:t>
      </w:r>
    </w:p>
    <w:p>
      <w:pPr>
        <w:widowControl/>
        <w:spacing w:before="0" w:after="60" w:line="331" w:lineRule="auto"/>
        <w:ind w:firstLine="397"/>
        <w:jc w:val="both"/>
      </w:pPr>
      <w:r>
        <w:rPr>
          <w:rFonts w:ascii="바탕" w:hAnsi="바탕" w:eastAsia="바탕"/>
          <w:color w:val="000000"/>
          <w:sz w:val="19"/>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바탕" w:hAnsi="바탕" w:eastAsia="바탕"/>
          <w:color w:val="000000"/>
          <w:sz w:val="19"/>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맑은 고딕" w:hAnsi="맑은 고딕" w:eastAsia="맑은 고딕"/>
          <w:b/>
          <w:color w:val="000000"/>
          <w:sz w:val="22"/>
        </w:rPr>
        <w:t>3. 보호자 역량의 측정</w:t>
      </w:r>
    </w:p>
    <w:p>
      <w:pPr>
        <w:widowControl/>
        <w:spacing w:before="0" w:after="60" w:line="331" w:lineRule="auto"/>
        <w:ind w:firstLine="397"/>
        <w:jc w:val="both"/>
      </w:pPr>
      <w:r>
        <w:rPr>
          <w:rFonts w:ascii="바탕" w:hAnsi="바탕" w:eastAsia="바탕"/>
          <w:color w:val="000000"/>
          <w:sz w:val="19"/>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바탕" w:hAnsi="바탕" w:eastAsia="바탕"/>
          <w:color w:val="000000"/>
          <w:sz w:val="19"/>
        </w:rPr>
        <w:t>따라서 후속 연구는 보호자 역량을 다음과 같이 나누어 측정할 수 있다.</w:t>
      </w:r>
    </w:p>
    <w:p>
      <w:pPr>
        <w:pStyle w:val="ListNumber"/>
        <w:widowControl/>
        <w:spacing w:before="0" w:after="60" w:line="331" w:lineRule="auto"/>
        <w:jc w:val="both"/>
      </w:pPr>
      <w:r>
        <w:rPr>
          <w:rFonts w:ascii="바탕" w:hAnsi="바탕" w:eastAsia="바탕"/>
          <w:b/>
          <w:color w:val="000000"/>
          <w:sz w:val="19"/>
        </w:rPr>
        <w:t>탐지 범위:</w:t>
      </w:r>
      <w:r>
        <w:rPr>
          <w:rFonts w:ascii="바탕" w:hAnsi="바탕" w:eastAsia="바탕"/>
          <w:color w:val="000000"/>
          <w:sz w:val="19"/>
        </w:rPr>
        <w:t xml:space="preserve"> 어떤 법적·기술적 정보유형을 식별하는가</w:t>
      </w:r>
    </w:p>
    <w:p>
      <w:pPr>
        <w:pStyle w:val="ListNumber"/>
        <w:widowControl/>
        <w:spacing w:before="0" w:after="60" w:line="331" w:lineRule="auto"/>
        <w:jc w:val="both"/>
      </w:pPr>
      <w:r>
        <w:rPr>
          <w:rFonts w:ascii="바탕" w:hAnsi="바탕" w:eastAsia="바탕"/>
          <w:b/>
          <w:color w:val="000000"/>
          <w:sz w:val="19"/>
        </w:rPr>
        <w:t>개입 정확성:</w:t>
      </w:r>
      <w:r>
        <w:rPr>
          <w:rFonts w:ascii="바탕" w:hAnsi="바탕" w:eastAsia="바탕"/>
          <w:color w:val="000000"/>
          <w:sz w:val="19"/>
        </w:rPr>
        <w:t xml:space="preserve"> 보호 대상만 차단·마스킹하고 비민감 정보는 통과시키는가</w:t>
      </w:r>
    </w:p>
    <w:p>
      <w:pPr>
        <w:pStyle w:val="ListNumber"/>
        <w:widowControl/>
        <w:spacing w:before="0" w:after="60" w:line="331" w:lineRule="auto"/>
        <w:jc w:val="both"/>
      </w:pPr>
      <w:r>
        <w:rPr>
          <w:rFonts w:ascii="바탕" w:hAnsi="바탕" w:eastAsia="바탕"/>
          <w:b/>
          <w:color w:val="000000"/>
          <w:sz w:val="19"/>
        </w:rPr>
        <w:t>회복탄력성:</w:t>
      </w:r>
      <w:r>
        <w:rPr>
          <w:rFonts w:ascii="바탕" w:hAnsi="바탕" w:eastAsia="바탕"/>
          <w:color w:val="000000"/>
          <w:sz w:val="19"/>
        </w:rPr>
        <w:t xml:space="preserve"> 문자·인코딩·문맥 변이에 일관되게 대응하는가</w:t>
      </w:r>
    </w:p>
    <w:p>
      <w:pPr>
        <w:pStyle w:val="ListNumber"/>
        <w:widowControl/>
        <w:spacing w:before="0" w:after="60" w:line="331" w:lineRule="auto"/>
        <w:jc w:val="both"/>
      </w:pPr>
      <w:r>
        <w:rPr>
          <w:rFonts w:ascii="바탕" w:hAnsi="바탕" w:eastAsia="바탕"/>
          <w:b/>
          <w:color w:val="000000"/>
          <w:sz w:val="19"/>
        </w:rPr>
        <w:t>운영 지속성:</w:t>
      </w:r>
      <w:r>
        <w:rPr>
          <w:rFonts w:ascii="바탕" w:hAnsi="바탕" w:eastAsia="바탕"/>
          <w:color w:val="000000"/>
          <w:sz w:val="19"/>
        </w:rPr>
        <w:t xml:space="preserve"> 오류·지연·비용·외부 연결 제약에서 기능하는가</w:t>
      </w:r>
    </w:p>
    <w:p>
      <w:pPr>
        <w:pStyle w:val="ListNumber"/>
        <w:widowControl/>
        <w:spacing w:before="0" w:after="60" w:line="331" w:lineRule="auto"/>
        <w:jc w:val="both"/>
      </w:pPr>
      <w:r>
        <w:rPr>
          <w:rFonts w:ascii="바탕" w:hAnsi="바탕" w:eastAsia="바탕"/>
          <w:b/>
          <w:color w:val="000000"/>
          <w:sz w:val="19"/>
        </w:rPr>
        <w:t>감사가능성:</w:t>
      </w:r>
      <w:r>
        <w:rPr>
          <w:rFonts w:ascii="바탕" w:hAnsi="바탕" w:eastAsia="바탕"/>
          <w:color w:val="000000"/>
          <w:sz w:val="19"/>
        </w:rPr>
        <w:t xml:space="preserve"> 버전·설정·판정 근거를 사후 검증할 수 있는가</w:t>
      </w:r>
    </w:p>
    <w:p>
      <w:pPr>
        <w:widowControl/>
        <w:spacing w:before="0" w:after="60" w:line="331" w:lineRule="auto"/>
        <w:ind w:firstLine="397"/>
        <w:jc w:val="both"/>
      </w:pPr>
      <w:r>
        <w:rPr>
          <w:rFonts w:ascii="바탕" w:hAnsi="바탕" w:eastAsia="바탕"/>
          <w:color w:val="000000"/>
          <w:sz w:val="19"/>
        </w:rPr>
        <w:t>이러한 다차원 측정은 단일 탐지율을 “보호자 유능성” 전체로 과잉 해석하는 것을 막는다.</w:t>
      </w:r>
    </w:p>
    <w:p>
      <w:pPr>
        <w:pStyle w:val="Heading2"/>
        <w:keepNext/>
        <w:keepLines/>
      </w:pPr>
      <w:r>
        <w:rPr>
          <w:rFonts w:ascii="맑은 고딕" w:hAnsi="맑은 고딕" w:eastAsia="맑은 고딕"/>
          <w:b/>
          <w:color w:val="000000"/>
          <w:sz w:val="22"/>
        </w:rPr>
        <w:t>4. PII와 법상 민감정보의 분리</w:t>
      </w:r>
    </w:p>
    <w:p>
      <w:pPr>
        <w:widowControl/>
        <w:spacing w:before="0" w:after="60" w:line="331" w:lineRule="auto"/>
        <w:ind w:firstLine="397"/>
        <w:jc w:val="both"/>
      </w:pPr>
      <w:r>
        <w:rPr>
          <w:rFonts w:ascii="바탕" w:hAnsi="바탕" w:eastAsia="바탕"/>
          <w:color w:val="000000"/>
          <w:sz w:val="19"/>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바탕" w:hAnsi="바탕" w:eastAsia="바탕"/>
          <w:color w:val="000000"/>
          <w:sz w:val="19"/>
        </w:rPr>
        <w:t xml:space="preserve">기술 데이터셋의 </w:t>
      </w:r>
      <w:r>
        <w:rPr>
          <w:rFonts w:ascii="Consolas" w:hAnsi="Consolas" w:eastAsia="Consolas"/>
          <w:color w:val="000000"/>
          <w:sz w:val="18"/>
        </w:rPr>
        <w:t>pii_type</w:t>
      </w:r>
    </w:p>
    <w:p>
      <w:pPr>
        <w:pStyle w:val="ListBullet"/>
        <w:widowControl/>
        <w:spacing w:before="0" w:after="60" w:line="331" w:lineRule="auto"/>
        <w:jc w:val="both"/>
      </w:pPr>
      <w:r>
        <w:rPr>
          <w:rFonts w:ascii="바탕" w:hAnsi="바탕" w:eastAsia="바탕"/>
          <w:color w:val="000000"/>
          <w:sz w:val="19"/>
        </w:rPr>
        <w:t>개인정보 보호법상 범주와 조문</w:t>
      </w:r>
    </w:p>
    <w:p>
      <w:pPr>
        <w:pStyle w:val="ListBullet"/>
        <w:widowControl/>
        <w:spacing w:before="0" w:after="60" w:line="331" w:lineRule="auto"/>
        <w:jc w:val="both"/>
      </w:pPr>
      <w:r>
        <w:rPr>
          <w:rFonts w:ascii="바탕" w:hAnsi="바탕" w:eastAsia="바탕"/>
          <w:color w:val="000000"/>
          <w:sz w:val="19"/>
        </w:rPr>
        <w:t>합성값의 현실성·유효성 규칙</w:t>
      </w:r>
    </w:p>
    <w:p>
      <w:pPr>
        <w:pStyle w:val="ListBullet"/>
        <w:widowControl/>
        <w:spacing w:before="0" w:after="60" w:line="331" w:lineRule="auto"/>
        <w:jc w:val="both"/>
      </w:pPr>
      <w:r>
        <w:rPr>
          <w:rFonts w:ascii="바탕" w:hAnsi="바탕" w:eastAsia="바탕"/>
          <w:color w:val="000000"/>
          <w:sz w:val="19"/>
        </w:rPr>
        <w:t>기대되는 기술 조치</w:t>
      </w:r>
    </w:p>
    <w:p>
      <w:pPr>
        <w:pStyle w:val="ListBullet"/>
        <w:widowControl/>
        <w:spacing w:before="0" w:after="60" w:line="331" w:lineRule="auto"/>
        <w:jc w:val="both"/>
      </w:pPr>
      <w:r>
        <w:rPr>
          <w:rFonts w:ascii="바탕" w:hAnsi="바탕" w:eastAsia="바탕"/>
          <w:color w:val="000000"/>
          <w:sz w:val="19"/>
        </w:rPr>
        <w:t>오탐과 미탐이 야기할 수 있는 피해</w:t>
      </w:r>
    </w:p>
    <w:p>
      <w:pPr>
        <w:widowControl/>
        <w:spacing w:before="0" w:after="60" w:line="331" w:lineRule="auto"/>
        <w:ind w:firstLine="397"/>
        <w:jc w:val="both"/>
      </w:pPr>
      <w:r>
        <w:rPr>
          <w:rFonts w:ascii="바탕" w:hAnsi="바탕" w:eastAsia="바탕"/>
          <w:color w:val="000000"/>
          <w:sz w:val="19"/>
        </w:rPr>
        <w:t>이 매핑이 없으면 “95종 모두가 제23조상 민감정보”라는 오해가 발생하고, 성능 수치를 법적 준수율로 잘못 번역할 위험이 있다.</w:t>
      </w:r>
    </w:p>
    <w:p>
      <w:pPr>
        <w:pStyle w:val="Heading2"/>
        <w:keepNext/>
        <w:keepLines/>
      </w:pPr>
      <w:r>
        <w:rPr>
          <w:rFonts w:ascii="맑은 고딕" w:hAnsi="맑은 고딕" w:eastAsia="맑은 고딕"/>
          <w:b/>
          <w:color w:val="000000"/>
          <w:sz w:val="22"/>
        </w:rPr>
        <w:t>5. 형사·행정 제재와 기술 평가의 관계</w:t>
      </w:r>
    </w:p>
    <w:p>
      <w:pPr>
        <w:widowControl/>
        <w:spacing w:before="0" w:after="60" w:line="331" w:lineRule="auto"/>
        <w:ind w:firstLine="397"/>
        <w:jc w:val="both"/>
      </w:pPr>
      <w:r>
        <w:rPr>
          <w:rFonts w:ascii="바탕" w:hAnsi="바탕" w:eastAsia="바탕"/>
          <w:color w:val="000000"/>
          <w:sz w:val="19"/>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바탕" w:hAnsi="바탕" w:eastAsia="바탕"/>
          <w:color w:val="000000"/>
          <w:sz w:val="19"/>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맑은 고딕" w:hAnsi="맑은 고딕" w:eastAsia="맑은 고딕"/>
          <w:b/>
          <w:color w:val="000000"/>
          <w:sz w:val="22"/>
        </w:rPr>
        <w:t>6. 제품 성능 주장의 시간 의존성</w:t>
      </w:r>
    </w:p>
    <w:p>
      <w:pPr>
        <w:widowControl/>
        <w:spacing w:before="0" w:after="60" w:line="331" w:lineRule="auto"/>
        <w:ind w:firstLine="397"/>
        <w:jc w:val="both"/>
      </w:pPr>
      <w:r>
        <w:rPr>
          <w:rFonts w:ascii="바탕" w:hAnsi="바탕" w:eastAsia="바탕"/>
          <w:color w:val="000000"/>
          <w:sz w:val="19"/>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바탕" w:hAnsi="바탕" w:eastAsia="바탕"/>
          <w:color w:val="000000"/>
          <w:sz w:val="19"/>
        </w:rPr>
        <w:t>논문은 각 제품에 대해 최소한 다음을 기록해야 한다.</w:t>
      </w:r>
    </w:p>
    <w:p>
      <w:pPr>
        <w:pStyle w:val="ListBullet"/>
        <w:widowControl/>
        <w:spacing w:before="0" w:after="60" w:line="331" w:lineRule="auto"/>
        <w:jc w:val="both"/>
      </w:pPr>
      <w:r>
        <w:rPr>
          <w:rFonts w:ascii="바탕" w:hAnsi="바탕" w:eastAsia="바탕"/>
          <w:color w:val="000000"/>
          <w:sz w:val="19"/>
        </w:rPr>
        <w:t>공급자와 제품명</w:t>
      </w:r>
    </w:p>
    <w:p>
      <w:pPr>
        <w:pStyle w:val="ListBullet"/>
        <w:widowControl/>
        <w:spacing w:before="0" w:after="60" w:line="331" w:lineRule="auto"/>
        <w:jc w:val="both"/>
      </w:pPr>
      <w:r>
        <w:rPr>
          <w:rFonts w:ascii="바탕" w:hAnsi="바탕" w:eastAsia="바탕"/>
          <w:color w:val="000000"/>
          <w:sz w:val="19"/>
        </w:rPr>
        <w:t>평가 region과 날짜</w:t>
      </w:r>
    </w:p>
    <w:p>
      <w:pPr>
        <w:pStyle w:val="ListBullet"/>
        <w:widowControl/>
        <w:spacing w:before="0" w:after="60" w:line="331" w:lineRule="auto"/>
        <w:jc w:val="both"/>
      </w:pPr>
      <w:r>
        <w:rPr>
          <w:rFonts w:ascii="바탕" w:hAnsi="바탕" w:eastAsia="바탕"/>
          <w:color w:val="000000"/>
          <w:sz w:val="19"/>
        </w:rPr>
        <w:t>guardrail ID·version·tier</w:t>
      </w:r>
    </w:p>
    <w:p>
      <w:pPr>
        <w:pStyle w:val="ListBullet"/>
        <w:widowControl/>
        <w:spacing w:before="0" w:after="60" w:line="331" w:lineRule="auto"/>
        <w:jc w:val="both"/>
      </w:pPr>
      <w:r>
        <w:rPr>
          <w:rFonts w:ascii="바탕" w:hAnsi="바탕" w:eastAsia="바탕"/>
          <w:color w:val="000000"/>
          <w:sz w:val="19"/>
        </w:rPr>
        <w:t>활성 policy·entity</w:t>
      </w:r>
    </w:p>
    <w:p>
      <w:pPr>
        <w:pStyle w:val="ListBullet"/>
        <w:widowControl/>
        <w:spacing w:before="0" w:after="60" w:line="331" w:lineRule="auto"/>
        <w:jc w:val="both"/>
      </w:pPr>
      <w:r>
        <w:rPr>
          <w:rFonts w:ascii="바탕" w:hAnsi="바탕" w:eastAsia="바탕"/>
          <w:color w:val="000000"/>
          <w:sz w:val="19"/>
        </w:rPr>
        <w:t>입력·출력 중 적용 위치</w:t>
      </w:r>
    </w:p>
    <w:p>
      <w:pPr>
        <w:pStyle w:val="ListBullet"/>
        <w:widowControl/>
        <w:spacing w:before="0" w:after="60" w:line="331" w:lineRule="auto"/>
        <w:jc w:val="both"/>
      </w:pPr>
      <w:r>
        <w:rPr>
          <w:rFonts w:ascii="바탕" w:hAnsi="바탕" w:eastAsia="바탕"/>
          <w:color w:val="000000"/>
          <w:sz w:val="19"/>
        </w:rPr>
        <w:t>게이트웨이·SDK·모델 버전</w:t>
      </w:r>
    </w:p>
    <w:p>
      <w:pPr>
        <w:pStyle w:val="ListBullet"/>
        <w:widowControl/>
        <w:spacing w:before="0" w:after="60" w:line="331" w:lineRule="auto"/>
        <w:jc w:val="both"/>
      </w:pPr>
      <w:r>
        <w:rPr>
          <w:rFonts w:ascii="바탕" w:hAnsi="바탕" w:eastAsia="바탕"/>
          <w:color w:val="000000"/>
          <w:sz w:val="19"/>
        </w:rPr>
        <w:t>오류·재시도·rate limit 처리</w:t>
      </w:r>
    </w:p>
    <w:p>
      <w:pPr>
        <w:widowControl/>
        <w:spacing w:before="0" w:after="60" w:line="331" w:lineRule="auto"/>
        <w:ind w:firstLine="397"/>
        <w:jc w:val="both"/>
      </w:pPr>
      <w:r>
        <w:rPr>
          <w:rFonts w:ascii="바탕" w:hAnsi="바탕" w:eastAsia="바탕"/>
          <w:color w:val="000000"/>
          <w:sz w:val="19"/>
        </w:rPr>
        <w:t>이 정보가 없으면 제품 간 비교는 재현할 수 없고, 시간 경과에 따른 성능 변화도 구분할 수 없다.</w:t>
      </w:r>
    </w:p>
    <w:p>
      <w:pPr>
        <w:pStyle w:val="Heading1"/>
        <w:keepNext/>
        <w:keepLines/>
      </w:pPr>
      <w:r>
        <w:rPr>
          <w:rFonts w:ascii="맑은 고딕" w:hAnsi="맑은 고딕" w:eastAsia="맑은 고딕"/>
          <w:b/>
          <w:color w:val="000000"/>
          <w:sz w:val="25"/>
        </w:rPr>
        <w:t>VI. 형사정책적 제언</w:t>
      </w:r>
    </w:p>
    <w:p>
      <w:pPr>
        <w:pStyle w:val="Heading2"/>
        <w:keepNext/>
        <w:keepLines/>
      </w:pPr>
      <w:r>
        <w:rPr>
          <w:rFonts w:ascii="맑은 고딕" w:hAnsi="맑은 고딕" w:eastAsia="맑은 고딕"/>
          <w:b/>
          <w:color w:val="000000"/>
          <w:sz w:val="22"/>
        </w:rPr>
        <w:t>1. 변이 후 정답 중심의 평가표준</w:t>
      </w:r>
    </w:p>
    <w:p>
      <w:pPr>
        <w:widowControl/>
        <w:spacing w:before="0" w:after="60" w:line="331" w:lineRule="auto"/>
        <w:ind w:firstLine="397"/>
        <w:jc w:val="both"/>
      </w:pPr>
      <w:r>
        <w:rPr>
          <w:rFonts w:ascii="바탕" w:hAnsi="바탕" w:eastAsia="바탕"/>
          <w:color w:val="000000"/>
          <w:sz w:val="19"/>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바탕" w:hAnsi="바탕" w:eastAsia="바탕"/>
          <w:color w:val="000000"/>
          <w:sz w:val="19"/>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맑은 고딕" w:hAnsi="맑은 고딕" w:eastAsia="맑은 고딕"/>
          <w:b/>
          <w:color w:val="000000"/>
          <w:sz w:val="22"/>
        </w:rPr>
        <w:t>2. 사람 검토와 불확실성 보고</w:t>
      </w:r>
    </w:p>
    <w:p>
      <w:pPr>
        <w:widowControl/>
        <w:spacing w:before="0" w:after="60" w:line="331" w:lineRule="auto"/>
        <w:ind w:firstLine="397"/>
        <w:jc w:val="both"/>
      </w:pPr>
      <w:r>
        <w:rPr>
          <w:rFonts w:ascii="바탕" w:hAnsi="바탕" w:eastAsia="바탕"/>
          <w:color w:val="000000"/>
          <w:sz w:val="19"/>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바탕" w:hAnsi="바탕" w:eastAsia="바탕"/>
          <w:color w:val="000000"/>
          <w:sz w:val="19"/>
        </w:rPr>
        <w:t>논문은 탐지율뿐 아니라 효과크기와 95% 신뢰구간, 카테고리별 분모, 오류·타임아웃, 불확실 사례 수를 보고해야 한다. 본 연구의 법령 조문 감사처럼 재배포·출처 추적이 가능한 실제 비민감 한국어 문장으로 오탐을 확인하되, 한 도메인의 어휘분포를 일반화하지 않도록 의료·금융·상담·개발문서 등으로 외부검증 도메인을 확장해야 한다.</w:t>
      </w:r>
    </w:p>
    <w:p>
      <w:pPr>
        <w:pStyle w:val="Heading2"/>
        <w:keepNext/>
        <w:keepLines/>
      </w:pPr>
      <w:r>
        <w:rPr>
          <w:rFonts w:ascii="맑은 고딕" w:hAnsi="맑은 고딕" w:eastAsia="맑은 고딕"/>
          <w:b/>
          <w:color w:val="000000"/>
          <w:sz w:val="22"/>
        </w:rPr>
        <w:t>3. 데이터 유효성과 출처</w:t>
      </w:r>
    </w:p>
    <w:p>
      <w:pPr>
        <w:widowControl/>
        <w:spacing w:before="0" w:after="60" w:line="331" w:lineRule="auto"/>
        <w:ind w:firstLine="397"/>
        <w:jc w:val="both"/>
      </w:pPr>
      <w:r>
        <w:rPr>
          <w:rFonts w:ascii="바탕" w:hAnsi="바탕" w:eastAsia="바탕"/>
          <w:color w:val="000000"/>
          <w:sz w:val="19"/>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바탕" w:hAnsi="바탕" w:eastAsia="바탕"/>
          <w:color w:val="000000"/>
          <w:sz w:val="19"/>
        </w:rPr>
        <w:t xml:space="preserve">10,000건 표본 생성 명령은 결과가 정확히 10,000건이 아니면 실패해야 한다. </w:t>
      </w:r>
      <w:r>
        <w:rPr>
          <w:rFonts w:ascii="Consolas" w:hAnsi="Consolas" w:eastAsia="Consolas"/>
          <w:color w:val="000000"/>
          <w:sz w:val="18"/>
        </w:rPr>
        <w:t>payloads_10k.json</w:t>
      </w:r>
      <w:r>
        <w:rPr>
          <w:rFonts w:ascii="바탕" w:hAnsi="바탕" w:eastAsia="바탕"/>
          <w:color w:val="000000"/>
          <w:sz w:val="19"/>
        </w:rPr>
        <w:t>처럼 수량을 파일명에 넣을 경우 메타데이터와 실제 행 수의 일치 여부를 CI에서 검사해야 한다.</w:t>
      </w:r>
    </w:p>
    <w:p>
      <w:pPr>
        <w:pStyle w:val="Heading2"/>
        <w:keepNext/>
        <w:keepLines/>
      </w:pPr>
      <w:r>
        <w:rPr>
          <w:rFonts w:ascii="맑은 고딕" w:hAnsi="맑은 고딕" w:eastAsia="맑은 고딕"/>
          <w:b/>
          <w:color w:val="000000"/>
          <w:sz w:val="22"/>
        </w:rPr>
        <w:t>4. 깨끗한 환경 재현과 독립 감사</w:t>
      </w:r>
    </w:p>
    <w:p>
      <w:pPr>
        <w:widowControl/>
        <w:spacing w:before="0" w:after="60" w:line="331" w:lineRule="auto"/>
        <w:ind w:firstLine="397"/>
        <w:jc w:val="both"/>
      </w:pPr>
      <w:r>
        <w:rPr>
          <w:rFonts w:ascii="바탕" w:hAnsi="바탕" w:eastAsia="바탕"/>
          <w:color w:val="000000"/>
          <w:sz w:val="19"/>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바탕" w:hAnsi="바탕" w:eastAsia="바탕"/>
          <w:color w:val="000000"/>
          <w:sz w:val="19"/>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바탕" w:hAnsi="바탕" w:eastAsia="바탕"/>
          <w:color w:val="000000"/>
          <w:sz w:val="19"/>
        </w:rPr>
        <w:t>데이터 행 수·스키마·유효성 검사</w:t>
      </w:r>
    </w:p>
    <w:p>
      <w:pPr>
        <w:pStyle w:val="ListNumber"/>
        <w:widowControl/>
        <w:spacing w:before="0" w:after="60" w:line="331" w:lineRule="auto"/>
        <w:jc w:val="both"/>
      </w:pPr>
      <w:r>
        <w:rPr>
          <w:rFonts w:ascii="바탕" w:hAnsi="바탕" w:eastAsia="바탕"/>
          <w:color w:val="000000"/>
          <w:sz w:val="19"/>
        </w:rPr>
        <w:t>평가기 단위테스트와 gold span 표본검사</w:t>
      </w:r>
    </w:p>
    <w:p>
      <w:pPr>
        <w:pStyle w:val="ListNumber"/>
        <w:widowControl/>
        <w:spacing w:before="0" w:after="60" w:line="331" w:lineRule="auto"/>
        <w:jc w:val="both"/>
      </w:pPr>
      <w:r>
        <w:rPr>
          <w:rFonts w:ascii="바탕" w:hAnsi="바탕" w:eastAsia="바탕"/>
          <w:color w:val="000000"/>
          <w:sz w:val="19"/>
        </w:rPr>
        <w:t>저장 결과에서 표·통계의 독립 재계산</w:t>
      </w:r>
    </w:p>
    <w:p>
      <w:pPr>
        <w:pStyle w:val="ListNumber"/>
        <w:widowControl/>
        <w:spacing w:before="0" w:after="60" w:line="331" w:lineRule="auto"/>
        <w:jc w:val="both"/>
      </w:pPr>
      <w:r>
        <w:rPr>
          <w:rFonts w:ascii="바탕" w:hAnsi="바탕" w:eastAsia="바탕"/>
          <w:color w:val="000000"/>
          <w:sz w:val="19"/>
        </w:rPr>
        <w:t>제품·법령·참고문헌의 공식 원문 대조</w:t>
      </w:r>
    </w:p>
    <w:p>
      <w:pPr>
        <w:pStyle w:val="Heading2"/>
        <w:keepNext/>
        <w:keepLines/>
      </w:pPr>
      <w:r>
        <w:rPr>
          <w:rFonts w:ascii="맑은 고딕" w:hAnsi="맑은 고딕" w:eastAsia="맑은 고딕"/>
          <w:b/>
          <w:color w:val="000000"/>
          <w:sz w:val="22"/>
        </w:rPr>
        <w:t>5. 영향평가와 안전조치 문서화</w:t>
      </w:r>
    </w:p>
    <w:p>
      <w:pPr>
        <w:widowControl/>
        <w:spacing w:before="0" w:after="60" w:line="331" w:lineRule="auto"/>
        <w:ind w:firstLine="397"/>
        <w:jc w:val="both"/>
      </w:pPr>
      <w:r>
        <w:rPr>
          <w:rFonts w:ascii="바탕" w:hAnsi="바탕" w:eastAsia="바탕"/>
          <w:color w:val="000000"/>
          <w:sz w:val="19"/>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바탕" w:hAnsi="바탕" w:eastAsia="바탕"/>
          <w:color w:val="000000"/>
          <w:sz w:val="19"/>
        </w:rPr>
        <w:t>처리하는 개인정보·민감정보 유형과 법적 근거</w:t>
      </w:r>
    </w:p>
    <w:p>
      <w:pPr>
        <w:pStyle w:val="ListBullet"/>
        <w:widowControl/>
        <w:spacing w:before="0" w:after="60" w:line="331" w:lineRule="auto"/>
        <w:jc w:val="both"/>
      </w:pPr>
      <w:r>
        <w:rPr>
          <w:rFonts w:ascii="바탕" w:hAnsi="바탕" w:eastAsia="바탕"/>
          <w:color w:val="000000"/>
          <w:sz w:val="19"/>
        </w:rPr>
        <w:t>가드레일 적용 위치와 실패 시 데이터 흐름</w:t>
      </w:r>
    </w:p>
    <w:p>
      <w:pPr>
        <w:pStyle w:val="ListBullet"/>
        <w:widowControl/>
        <w:spacing w:before="0" w:after="60" w:line="331" w:lineRule="auto"/>
        <w:jc w:val="both"/>
      </w:pPr>
      <w:r>
        <w:rPr>
          <w:rFonts w:ascii="바탕" w:hAnsi="바탕" w:eastAsia="바탕"/>
          <w:color w:val="000000"/>
          <w:sz w:val="19"/>
        </w:rPr>
        <w:t>언어·변이·문맥별 평가범위</w:t>
      </w:r>
    </w:p>
    <w:p>
      <w:pPr>
        <w:pStyle w:val="ListBullet"/>
        <w:widowControl/>
        <w:spacing w:before="0" w:after="60" w:line="331" w:lineRule="auto"/>
        <w:jc w:val="both"/>
      </w:pPr>
      <w:r>
        <w:rPr>
          <w:rFonts w:ascii="바탕" w:hAnsi="바탕" w:eastAsia="바탕"/>
          <w:color w:val="000000"/>
          <w:sz w:val="19"/>
        </w:rPr>
        <w:t>오탐·미탐·오류·지연·비용</w:t>
      </w:r>
    </w:p>
    <w:p>
      <w:pPr>
        <w:pStyle w:val="ListBullet"/>
        <w:widowControl/>
        <w:spacing w:before="0" w:after="60" w:line="331" w:lineRule="auto"/>
        <w:jc w:val="both"/>
      </w:pPr>
      <w:r>
        <w:rPr>
          <w:rFonts w:ascii="바탕" w:hAnsi="바탕" w:eastAsia="바탕"/>
          <w:color w:val="000000"/>
          <w:sz w:val="19"/>
        </w:rPr>
        <w:t>버전 변경 후 재평가 조건</w:t>
      </w:r>
    </w:p>
    <w:p>
      <w:pPr>
        <w:pStyle w:val="ListBullet"/>
        <w:widowControl/>
        <w:spacing w:before="0" w:after="60" w:line="331" w:lineRule="auto"/>
        <w:jc w:val="both"/>
      </w:pPr>
      <w:r>
        <w:rPr>
          <w:rFonts w:ascii="바탕" w:hAnsi="바탕" w:eastAsia="바탕"/>
          <w:color w:val="000000"/>
          <w:sz w:val="19"/>
        </w:rPr>
        <w:t>외부 API 사용이 제한되는 폐쇄망 대안</w:t>
      </w:r>
    </w:p>
    <w:p>
      <w:pPr>
        <w:pStyle w:val="ListBullet"/>
        <w:widowControl/>
        <w:spacing w:before="0" w:after="60" w:line="331" w:lineRule="auto"/>
        <w:jc w:val="both"/>
      </w:pPr>
      <w:r>
        <w:rPr>
          <w:rFonts w:ascii="바탕" w:hAnsi="바탕" w:eastAsia="바탕"/>
          <w:color w:val="000000"/>
          <w:sz w:val="19"/>
        </w:rPr>
        <w:t>독립 검토자와 재현자료의 위치</w:t>
      </w:r>
    </w:p>
    <w:p>
      <w:pPr>
        <w:widowControl/>
        <w:spacing w:before="0" w:after="60" w:line="331" w:lineRule="auto"/>
        <w:ind w:firstLine="397"/>
        <w:jc w:val="both"/>
      </w:pPr>
      <w:r>
        <w:rPr>
          <w:rFonts w:ascii="바탕" w:hAnsi="바탕" w:eastAsia="바탕"/>
          <w:color w:val="000000"/>
          <w:sz w:val="19"/>
        </w:rPr>
        <w:t>이러한 절차는 특정 솔루션을 법정 표준으로 고정하기보다, 조직이 자신의 보호조치가 실제 데이터 흐름에서 작동하는지 입증하도록 한다.</w:t>
      </w:r>
    </w:p>
    <w:p>
      <w:pPr>
        <w:pStyle w:val="Heading1"/>
        <w:keepNext/>
        <w:keepLines/>
      </w:pPr>
      <w:r>
        <w:rPr>
          <w:rFonts w:ascii="맑은 고딕" w:hAnsi="맑은 고딕" w:eastAsia="맑은 고딕"/>
          <w:b/>
          <w:color w:val="000000"/>
          <w:sz w:val="25"/>
        </w:rPr>
        <w:t>VII. 한계</w:t>
      </w:r>
    </w:p>
    <w:p>
      <w:pPr>
        <w:widowControl/>
        <w:spacing w:before="0" w:after="60" w:line="331" w:lineRule="auto"/>
        <w:ind w:firstLine="397"/>
        <w:jc w:val="both"/>
      </w:pPr>
      <w:r>
        <w:rPr>
          <w:rFonts w:ascii="바탕" w:hAnsi="바탕" w:eastAsia="바탕"/>
          <w:color w:val="000000"/>
          <w:sz w:val="19"/>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바탕" w:hAnsi="바탕" w:eastAsia="바탕"/>
          <w:color w:val="000000"/>
          <w:sz w:val="19"/>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바탕" w:hAnsi="바탕" w:eastAsia="바탕"/>
          <w:color w:val="000000"/>
          <w:sz w:val="19"/>
        </w:rPr>
        <w:t>셋째, 공개 법령 조문 1,519개를 추가하여 합성 정상 한국어의 약점을 일부 보완했지만, 법률문서만으로 의료·금융·상담 도메인의 어휘와 PII 유사 형식을 대표할 수 없다. 29개 탐지 사례는 자동 규칙과 단일 연구자의 문맥 판정에 따른 과잉차단 후보이며 독립 검토자 2인의 이중 라벨을 거치지 않았다. 따라서 1.91%를 실서비스 오탐률로 해석할 수 없고, 서비스 도메인의 자연발생 hard negative가 여전히 필요하다.</w:t>
      </w:r>
    </w:p>
    <w:p>
      <w:pPr>
        <w:widowControl/>
        <w:spacing w:before="0" w:after="60" w:line="331" w:lineRule="auto"/>
        <w:ind w:firstLine="397"/>
        <w:jc w:val="both"/>
      </w:pPr>
      <w:r>
        <w:rPr>
          <w:rFonts w:ascii="바탕" w:hAnsi="바탕" w:eastAsia="바탕"/>
          <w:color w:val="000000"/>
          <w:sz w:val="19"/>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바탕" w:hAnsi="바탕" w:eastAsia="바탕"/>
          <w:color w:val="000000"/>
          <w:sz w:val="19"/>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바탕" w:hAnsi="바탕" w:eastAsia="바탕"/>
          <w:color w:val="000000"/>
          <w:sz w:val="19"/>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맑은 고딕" w:hAnsi="맑은 고딕" w:eastAsia="맑은 고딕"/>
          <w:b/>
          <w:color w:val="000000"/>
          <w:sz w:val="25"/>
        </w:rPr>
        <w:t>VIII. 결론</w:t>
      </w:r>
    </w:p>
    <w:p>
      <w:pPr>
        <w:widowControl/>
        <w:spacing w:before="0" w:after="60" w:line="331" w:lineRule="auto"/>
        <w:ind w:firstLine="397"/>
        <w:jc w:val="both"/>
      </w:pPr>
      <w:r>
        <w:rPr>
          <w:rFonts w:ascii="바탕" w:hAnsi="바탕" w:eastAsia="바탕"/>
          <w:color w:val="000000"/>
          <w:sz w:val="19"/>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바탕" w:hAnsi="바탕" w:eastAsia="바탕"/>
          <w:color w:val="000000"/>
          <w:sz w:val="19"/>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8"/>
        </w:rPr>
        <w:t>BLOCK/[BLOCKED]</w:t>
      </w:r>
      <w:r>
        <w:rPr>
          <w:rFonts w:ascii="바탕" w:hAnsi="바탕" w:eastAsia="바탕"/>
          <w:color w:val="000000"/>
          <w:sz w:val="19"/>
        </w:rPr>
        <w:t>였다. 반대 방향 사례는 없었다. 따라서 한국어 생성형 AI 서비스에는 변형을 후속 계층 이전에 정규화하고 한국어 패턴을 검사하는 Layer 0가 필수 심층방어 계층으로 필요하다. 그러나 706건의 잔존 미차단과 공식 법령 조문 29건의 과잉차단 후보는 Layer 0가 충분조건이 아니며 문맥 기반 완화와 후속 검증이 필요함을 동시에 보여준다.</w:t>
      </w:r>
    </w:p>
    <w:p>
      <w:pPr>
        <w:widowControl/>
        <w:spacing w:before="0" w:after="60" w:line="331" w:lineRule="auto"/>
        <w:ind w:firstLine="397"/>
        <w:jc w:val="both"/>
      </w:pPr>
      <w:r>
        <w:rPr>
          <w:rFonts w:ascii="바탕" w:hAnsi="바탕" w:eastAsia="바탕"/>
          <w:color w:val="000000"/>
          <w:sz w:val="19"/>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맑은 고딕" w:hAnsi="맑은 고딕" w:eastAsia="맑은 고딕"/>
          <w:b/>
          <w:color w:val="000000"/>
          <w:sz w:val="25"/>
        </w:rPr>
        <w:t>참고문헌</w:t>
      </w:r>
    </w:p>
    <w:p>
      <w:pPr>
        <w:pStyle w:val="Heading2"/>
        <w:keepNext/>
        <w:keepLines/>
      </w:pPr>
      <w:r>
        <w:rPr>
          <w:rFonts w:ascii="맑은 고딕" w:hAnsi="맑은 고딕" w:eastAsia="맑은 고딕"/>
          <w:b/>
          <w:color w:val="000000"/>
          <w:sz w:val="22"/>
        </w:rPr>
        <w:t>1. 국내문헌</w:t>
      </w:r>
    </w:p>
    <w:p>
      <w:pPr>
        <w:widowControl/>
        <w:spacing w:before="0" w:after="60" w:line="331" w:lineRule="auto"/>
        <w:ind w:firstLine="397"/>
        <w:jc w:val="both"/>
      </w:pPr>
      <w:r>
        <w:rPr>
          <w:rFonts w:ascii="바탕" w:hAnsi="바탕" w:eastAsia="바탕"/>
          <w:color w:val="000000"/>
          <w:sz w:val="19"/>
        </w:rPr>
        <w:t xml:space="preserve">박기태·조제성. (2017). 청소년의 일상적 생활양식이 사이버범죄피해에 미치는 영향. </w:t>
      </w:r>
      <w:r>
        <w:rPr>
          <w:rFonts w:ascii="바탕" w:hAnsi="바탕" w:eastAsia="바탕"/>
          <w:i/>
          <w:color w:val="000000"/>
          <w:sz w:val="19"/>
        </w:rPr>
        <w:t>경찰학연구</w:t>
      </w:r>
      <w:r>
        <w:rPr>
          <w:rFonts w:ascii="바탕" w:hAnsi="바탕" w:eastAsia="바탕"/>
          <w:color w:val="000000"/>
          <w:sz w:val="19"/>
        </w:rPr>
        <w:t>, 17(3), 141–168. https://doi.org/10.22816/polsci.2017.17.3.006</w:t>
      </w:r>
    </w:p>
    <w:p>
      <w:pPr>
        <w:widowControl/>
        <w:spacing w:before="0" w:after="60" w:line="331" w:lineRule="auto"/>
        <w:ind w:firstLine="397"/>
        <w:jc w:val="both"/>
      </w:pPr>
      <w:r>
        <w:rPr>
          <w:rFonts w:ascii="바탕" w:hAnsi="바탕" w:eastAsia="바탕"/>
          <w:color w:val="000000"/>
          <w:sz w:val="19"/>
        </w:rPr>
        <w:t xml:space="preserve">서지혜·최진선·박진수. (2020). A Lifestyle-Routine Activity Theory (LRAT) Approach to Cybercrime Victimization: An Empirical Assessment of SNS Lifestyle Exposure Activities. </w:t>
      </w:r>
      <w:r>
        <w:rPr>
          <w:rFonts w:ascii="바탕" w:hAnsi="바탕" w:eastAsia="바탕"/>
          <w:i/>
          <w:color w:val="000000"/>
          <w:sz w:val="19"/>
        </w:rPr>
        <w:t>Asia Pacific Journal of Information Systems</w:t>
      </w:r>
      <w:r>
        <w:rPr>
          <w:rFonts w:ascii="바탕" w:hAnsi="바탕" w:eastAsia="바탕"/>
          <w:color w:val="000000"/>
          <w:sz w:val="19"/>
        </w:rPr>
        <w:t>, 30(1), 53–71. https://doi.org/10.14329/apjis.2020.30.1.53</w:t>
      </w:r>
    </w:p>
    <w:p>
      <w:pPr>
        <w:widowControl/>
        <w:spacing w:before="0" w:after="60" w:line="331" w:lineRule="auto"/>
        <w:ind w:firstLine="397"/>
        <w:jc w:val="both"/>
      </w:pPr>
      <w:r>
        <w:rPr>
          <w:rFonts w:ascii="바탕" w:hAnsi="바탕" w:eastAsia="바탕"/>
          <w:color w:val="000000"/>
          <w:sz w:val="19"/>
        </w:rPr>
        <w:t xml:space="preserve">이윤호·김도우·유영재. (2011). 사이버 공간에서의 일상활동과 범죄피해. </w:t>
      </w:r>
      <w:r>
        <w:rPr>
          <w:rFonts w:ascii="바탕" w:hAnsi="바탕" w:eastAsia="바탕"/>
          <w:i/>
          <w:color w:val="000000"/>
          <w:sz w:val="19"/>
        </w:rPr>
        <w:t>한국공안행정학회보</w:t>
      </w:r>
      <w:r>
        <w:rPr>
          <w:rFonts w:ascii="바탕" w:hAnsi="바탕" w:eastAsia="바탕"/>
          <w:color w:val="000000"/>
          <w:sz w:val="19"/>
        </w:rPr>
        <w:t>, 20(3), 213–240.</w:t>
      </w:r>
    </w:p>
    <w:p>
      <w:pPr>
        <w:widowControl/>
        <w:spacing w:before="0" w:after="60" w:line="331" w:lineRule="auto"/>
        <w:ind w:firstLine="397"/>
        <w:jc w:val="both"/>
      </w:pPr>
      <w:r>
        <w:rPr>
          <w:rFonts w:ascii="바탕" w:hAnsi="바탕" w:eastAsia="바탕"/>
          <w:color w:val="000000"/>
          <w:sz w:val="19"/>
        </w:rPr>
        <w:t xml:space="preserve">노희주·조윤오. (2025). 온라인 괴롭힘 반복피해의 영향 요인에 관한 연구: 생활양식-일상활동 이론을 중심으로. </w:t>
      </w:r>
      <w:r>
        <w:rPr>
          <w:rFonts w:ascii="바탕" w:hAnsi="바탕" w:eastAsia="바탕"/>
          <w:i/>
          <w:color w:val="000000"/>
          <w:sz w:val="19"/>
        </w:rPr>
        <w:t>교정담론</w:t>
      </w:r>
      <w:r>
        <w:rPr>
          <w:rFonts w:ascii="바탕" w:hAnsi="바탕" w:eastAsia="바탕"/>
          <w:color w:val="000000"/>
          <w:sz w:val="19"/>
        </w:rPr>
        <w:t>, 19(1), 63–94.</w:t>
      </w:r>
    </w:p>
    <w:p>
      <w:pPr>
        <w:widowControl/>
        <w:spacing w:before="0" w:after="60" w:line="331" w:lineRule="auto"/>
        <w:ind w:firstLine="397"/>
        <w:jc w:val="both"/>
      </w:pPr>
      <w:r>
        <w:rPr>
          <w:rFonts w:ascii="바탕" w:hAnsi="바탕" w:eastAsia="바탕"/>
          <w:color w:val="000000"/>
          <w:sz w:val="19"/>
        </w:rPr>
        <w:t xml:space="preserve">블라데미르 T. 콩고·여승준·최진혁. (2025). Applying Routine Activity Theory To Cybercrime: Revisiting ‘VIVA’ Model. </w:t>
      </w:r>
      <w:r>
        <w:rPr>
          <w:rFonts w:ascii="바탕" w:hAnsi="바탕" w:eastAsia="바탕"/>
          <w:i/>
          <w:color w:val="000000"/>
          <w:sz w:val="19"/>
        </w:rPr>
        <w:t>한국경찰학회보</w:t>
      </w:r>
      <w:r>
        <w:rPr>
          <w:rFonts w:ascii="바탕" w:hAnsi="바탕" w:eastAsia="바탕"/>
          <w:color w:val="000000"/>
          <w:sz w:val="19"/>
        </w:rPr>
        <w:t>, 27(1), 61–90.</w:t>
      </w:r>
    </w:p>
    <w:p>
      <w:pPr>
        <w:pStyle w:val="Heading2"/>
        <w:keepNext/>
        <w:keepLines/>
      </w:pPr>
      <w:r>
        <w:rPr>
          <w:rFonts w:ascii="맑은 고딕" w:hAnsi="맑은 고딕" w:eastAsia="맑은 고딕"/>
          <w:b/>
          <w:color w:val="000000"/>
          <w:sz w:val="22"/>
        </w:rPr>
        <w:t>2. 국외문헌</w:t>
      </w:r>
    </w:p>
    <w:p>
      <w:pPr>
        <w:widowControl/>
        <w:spacing w:before="0" w:after="60" w:line="331" w:lineRule="auto"/>
        <w:ind w:firstLine="397"/>
        <w:jc w:val="both"/>
      </w:pPr>
      <w:r>
        <w:rPr>
          <w:rFonts w:ascii="바탕" w:hAnsi="바탕" w:eastAsia="바탕"/>
          <w:color w:val="000000"/>
          <w:sz w:val="19"/>
        </w:rPr>
        <w:t xml:space="preserve">Clarke, R. V. (1980). “Situational” Crime Prevention: Theory and Practice. </w:t>
      </w:r>
      <w:r>
        <w:rPr>
          <w:rFonts w:ascii="바탕" w:hAnsi="바탕" w:eastAsia="바탕"/>
          <w:i/>
          <w:color w:val="000000"/>
          <w:sz w:val="19"/>
        </w:rPr>
        <w:t>The British Journal of Criminology</w:t>
      </w:r>
      <w:r>
        <w:rPr>
          <w:rFonts w:ascii="바탕" w:hAnsi="바탕" w:eastAsia="바탕"/>
          <w:color w:val="000000"/>
          <w:sz w:val="19"/>
        </w:rPr>
        <w:t>, 20(2), 136–147. https://doi.org/10.1093/oxfordjournals.bjc.a047153</w:t>
      </w:r>
    </w:p>
    <w:p>
      <w:pPr>
        <w:widowControl/>
        <w:spacing w:before="0" w:after="60" w:line="331" w:lineRule="auto"/>
        <w:ind w:firstLine="397"/>
        <w:jc w:val="both"/>
      </w:pPr>
      <w:r>
        <w:rPr>
          <w:rFonts w:ascii="바탕" w:hAnsi="바탕" w:eastAsia="바탕"/>
          <w:color w:val="000000"/>
          <w:sz w:val="19"/>
        </w:rPr>
        <w:t xml:space="preserve">Clarke, R. V. (1983). Situational Crime Prevention: Its Theoretical Basis and Practical Scope. </w:t>
      </w:r>
      <w:r>
        <w:rPr>
          <w:rFonts w:ascii="바탕" w:hAnsi="바탕" w:eastAsia="바탕"/>
          <w:i/>
          <w:color w:val="000000"/>
          <w:sz w:val="19"/>
        </w:rPr>
        <w:t>Crime and Justice</w:t>
      </w:r>
      <w:r>
        <w:rPr>
          <w:rFonts w:ascii="바탕" w:hAnsi="바탕" w:eastAsia="바탕"/>
          <w:color w:val="000000"/>
          <w:sz w:val="19"/>
        </w:rPr>
        <w:t>, 4, 225–256. https://doi.org/10.1086/449090</w:t>
      </w:r>
    </w:p>
    <w:p>
      <w:pPr>
        <w:widowControl/>
        <w:spacing w:before="0" w:after="60" w:line="331" w:lineRule="auto"/>
        <w:ind w:firstLine="397"/>
        <w:jc w:val="both"/>
      </w:pPr>
      <w:r>
        <w:rPr>
          <w:rFonts w:ascii="바탕" w:hAnsi="바탕" w:eastAsia="바탕"/>
          <w:color w:val="000000"/>
          <w:sz w:val="19"/>
        </w:rPr>
        <w:t xml:space="preserve">Cohen, L. E., &amp; Felson, M. (1979). Social Change and Crime Rate Trends: A Routine Activity Approach. </w:t>
      </w:r>
      <w:r>
        <w:rPr>
          <w:rFonts w:ascii="바탕" w:hAnsi="바탕" w:eastAsia="바탕"/>
          <w:i/>
          <w:color w:val="000000"/>
          <w:sz w:val="19"/>
        </w:rPr>
        <w:t>American Sociological Review</w:t>
      </w:r>
      <w:r>
        <w:rPr>
          <w:rFonts w:ascii="바탕" w:hAnsi="바탕" w:eastAsia="바탕"/>
          <w:color w:val="000000"/>
          <w:sz w:val="19"/>
        </w:rPr>
        <w:t>, 44(4), 588–608. https://doi.org/10.2307/2094589</w:t>
      </w:r>
    </w:p>
    <w:p>
      <w:pPr>
        <w:widowControl/>
        <w:spacing w:before="0" w:after="60" w:line="331" w:lineRule="auto"/>
        <w:ind w:firstLine="397"/>
        <w:jc w:val="both"/>
      </w:pPr>
      <w:r>
        <w:rPr>
          <w:rFonts w:ascii="바탕" w:hAnsi="바탕" w:eastAsia="바탕"/>
          <w:color w:val="000000"/>
          <w:sz w:val="19"/>
        </w:rPr>
        <w:t xml:space="preserve">Felson, M., &amp; Clarke, R. V. (1998). </w:t>
      </w:r>
      <w:r>
        <w:rPr>
          <w:rFonts w:ascii="바탕" w:hAnsi="바탕" w:eastAsia="바탕"/>
          <w:i/>
          <w:color w:val="000000"/>
          <w:sz w:val="19"/>
        </w:rPr>
        <w:t>Opportunity Makes the Thief: Practical Theory for Crime Prevention</w:t>
      </w:r>
      <w:r>
        <w:rPr>
          <w:rFonts w:ascii="바탕" w:hAnsi="바탕" w:eastAsia="바탕"/>
          <w:color w:val="000000"/>
          <w:sz w:val="19"/>
        </w:rPr>
        <w:t>. Home Office, Police Research Series Paper 98.</w:t>
      </w:r>
    </w:p>
    <w:p>
      <w:pPr>
        <w:widowControl/>
        <w:spacing w:before="0" w:after="60" w:line="331" w:lineRule="auto"/>
        <w:ind w:firstLine="397"/>
        <w:jc w:val="both"/>
      </w:pPr>
      <w:r>
        <w:rPr>
          <w:rFonts w:ascii="바탕" w:hAnsi="바탕" w:eastAsia="바탕"/>
          <w:color w:val="000000"/>
          <w:sz w:val="19"/>
        </w:rPr>
        <w:t xml:space="preserve">Leukfeldt, E. R., &amp; Yar, M. (2016). Applying Routine Activity Theory to Cybercrime: A Theoretical and Empirical Analysis. </w:t>
      </w:r>
      <w:r>
        <w:rPr>
          <w:rFonts w:ascii="바탕" w:hAnsi="바탕" w:eastAsia="바탕"/>
          <w:i/>
          <w:color w:val="000000"/>
          <w:sz w:val="19"/>
        </w:rPr>
        <w:t>Deviant Behavior</w:t>
      </w:r>
      <w:r>
        <w:rPr>
          <w:rFonts w:ascii="바탕" w:hAnsi="바탕" w:eastAsia="바탕"/>
          <w:color w:val="000000"/>
          <w:sz w:val="19"/>
        </w:rPr>
        <w:t>, 37(3), 263–280. https://doi.org/10.1080/01639625.2015.1012409</w:t>
      </w:r>
    </w:p>
    <w:p>
      <w:pPr>
        <w:widowControl/>
        <w:spacing w:before="0" w:after="60" w:line="331" w:lineRule="auto"/>
        <w:ind w:firstLine="397"/>
        <w:jc w:val="both"/>
      </w:pPr>
      <w:r>
        <w:rPr>
          <w:rFonts w:ascii="바탕" w:hAnsi="바탕" w:eastAsia="바탕"/>
          <w:color w:val="000000"/>
          <w:sz w:val="19"/>
        </w:rPr>
        <w:t xml:space="preserve">Reppetto, T. A. (1976). Crime Prevention and the Displacement Phenomenon. </w:t>
      </w:r>
      <w:r>
        <w:rPr>
          <w:rFonts w:ascii="바탕" w:hAnsi="바탕" w:eastAsia="바탕"/>
          <w:i/>
          <w:color w:val="000000"/>
          <w:sz w:val="19"/>
        </w:rPr>
        <w:t>Crime &amp; Delinquency</w:t>
      </w:r>
      <w:r>
        <w:rPr>
          <w:rFonts w:ascii="바탕" w:hAnsi="바탕" w:eastAsia="바탕"/>
          <w:color w:val="000000"/>
          <w:sz w:val="19"/>
        </w:rPr>
        <w:t>, 22(2), 166–177. https://doi.org/10.1177/001112877602200204</w:t>
      </w:r>
    </w:p>
    <w:p>
      <w:pPr>
        <w:widowControl/>
        <w:spacing w:before="0" w:after="60" w:line="331" w:lineRule="auto"/>
        <w:ind w:firstLine="397"/>
        <w:jc w:val="both"/>
      </w:pPr>
      <w:r>
        <w:rPr>
          <w:rFonts w:ascii="바탕" w:hAnsi="바탕" w:eastAsia="바탕"/>
          <w:color w:val="000000"/>
          <w:sz w:val="19"/>
        </w:rPr>
        <w:t xml:space="preserve">Williams, M. L. (2016). Guardians Upon High: An Application of Routine Activities Theory to Online Identity Theft in Europe at the Country and Individual Level. </w:t>
      </w:r>
      <w:r>
        <w:rPr>
          <w:rFonts w:ascii="바탕" w:hAnsi="바탕" w:eastAsia="바탕"/>
          <w:i/>
          <w:color w:val="000000"/>
          <w:sz w:val="19"/>
        </w:rPr>
        <w:t>The British Journal of Criminology</w:t>
      </w:r>
      <w:r>
        <w:rPr>
          <w:rFonts w:ascii="바탕" w:hAnsi="바탕" w:eastAsia="바탕"/>
          <w:color w:val="000000"/>
          <w:sz w:val="19"/>
        </w:rPr>
        <w:t>, 56(1), 21–48. https://doi.org/10.1093/bjc/azv011</w:t>
      </w:r>
    </w:p>
    <w:p>
      <w:pPr>
        <w:widowControl/>
        <w:spacing w:before="0" w:after="60" w:line="331" w:lineRule="auto"/>
        <w:ind w:firstLine="397"/>
        <w:jc w:val="both"/>
      </w:pPr>
      <w:r>
        <w:rPr>
          <w:rFonts w:ascii="바탕" w:hAnsi="바탕" w:eastAsia="바탕"/>
          <w:color w:val="000000"/>
          <w:sz w:val="19"/>
        </w:rPr>
        <w:t xml:space="preserve">Yar, M. (2005). The Novelty of “Cybercrime”: An Assessment in Light of Routine Activity Theory. </w:t>
      </w:r>
      <w:r>
        <w:rPr>
          <w:rFonts w:ascii="바탕" w:hAnsi="바탕" w:eastAsia="바탕"/>
          <w:i/>
          <w:color w:val="000000"/>
          <w:sz w:val="19"/>
        </w:rPr>
        <w:t>European Journal of Criminology</w:t>
      </w:r>
      <w:r>
        <w:rPr>
          <w:rFonts w:ascii="바탕" w:hAnsi="바탕" w:eastAsia="바탕"/>
          <w:color w:val="000000"/>
          <w:sz w:val="19"/>
        </w:rPr>
        <w:t>, 2(4), 407–427. https://doi.org/10.1177/147737080556056</w:t>
      </w:r>
    </w:p>
    <w:p>
      <w:pPr>
        <w:pStyle w:val="Heading2"/>
        <w:keepNext/>
        <w:keepLines/>
      </w:pPr>
      <w:r>
        <w:rPr>
          <w:rFonts w:ascii="맑은 고딕" w:hAnsi="맑은 고딕" w:eastAsia="맑은 고딕"/>
          <w:b/>
          <w:color w:val="000000"/>
          <w:sz w:val="22"/>
        </w:rPr>
        <w:t>3. 법령·공식자료</w:t>
      </w:r>
    </w:p>
    <w:p>
      <w:pPr>
        <w:widowControl/>
        <w:spacing w:before="0" w:after="60" w:line="331" w:lineRule="auto"/>
        <w:ind w:firstLine="397"/>
        <w:jc w:val="both"/>
      </w:pPr>
      <w:r>
        <w:rPr>
          <w:rFonts w:ascii="바탕" w:hAnsi="바탕" w:eastAsia="바탕"/>
          <w:color w:val="000000"/>
          <w:sz w:val="19"/>
        </w:rPr>
        <w:t>개인정보 보호법. 법률 제20897호, 2025. 4. 1. 일부개정, 2025. 10. 2. 시행.</w:t>
      </w:r>
    </w:p>
    <w:p>
      <w:pPr>
        <w:widowControl/>
        <w:spacing w:before="0" w:after="60" w:line="331" w:lineRule="auto"/>
        <w:ind w:firstLine="397"/>
        <w:jc w:val="both"/>
      </w:pPr>
      <w:r>
        <w:rPr>
          <w:rFonts w:ascii="바탕" w:hAnsi="바탕" w:eastAsia="바탕"/>
          <w:color w:val="000000"/>
          <w:sz w:val="19"/>
        </w:rPr>
        <w:t>개인정보 보호법 시행령. 대통령령 제36340호, 2026. 5. 19. 일부개정·시행.</w:t>
      </w:r>
    </w:p>
    <w:p>
      <w:pPr>
        <w:widowControl/>
        <w:spacing w:before="0" w:after="60" w:line="331" w:lineRule="auto"/>
        <w:ind w:firstLine="397"/>
        <w:jc w:val="both"/>
      </w:pPr>
      <w:r>
        <w:rPr>
          <w:rFonts w:ascii="바탕" w:hAnsi="바탕" w:eastAsia="바탕"/>
          <w:color w:val="000000"/>
          <w:sz w:val="19"/>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바탕" w:hAnsi="바탕" w:eastAsia="바탕"/>
          <w:color w:val="000000"/>
          <w:sz w:val="19"/>
        </w:rPr>
        <w:t xml:space="preserve">법제처. </w:t>
      </w:r>
      <w:r>
        <w:rPr>
          <w:rFonts w:ascii="바탕" w:hAnsi="바탕" w:eastAsia="바탕"/>
          <w:i/>
          <w:color w:val="000000"/>
          <w:sz w:val="19"/>
        </w:rPr>
        <w:t>국가법령정보 공동활용 LAW OPEN DATA</w:t>
      </w:r>
      <w:r>
        <w:rPr>
          <w:rFonts w:ascii="바탕" w:hAnsi="바탕" w:eastAsia="바탕"/>
          <w:color w:val="000000"/>
          <w:sz w:val="19"/>
        </w:rPr>
        <w:t>. https://open.law.go.kr/LSO/information/service.do (접근일: 2026. 7. 26).</w:t>
      </w:r>
    </w:p>
    <w:p>
      <w:pPr>
        <w:widowControl/>
        <w:spacing w:before="0" w:after="60" w:line="331" w:lineRule="auto"/>
        <w:ind w:firstLine="397"/>
        <w:jc w:val="both"/>
      </w:pPr>
      <w:r>
        <w:rPr>
          <w:rFonts w:ascii="바탕" w:hAnsi="바탕" w:eastAsia="바탕"/>
          <w:color w:val="000000"/>
          <w:sz w:val="19"/>
        </w:rPr>
        <w:t xml:space="preserve">Amazon Web Services. </w:t>
      </w:r>
      <w:r>
        <w:rPr>
          <w:rFonts w:ascii="바탕" w:hAnsi="바탕" w:eastAsia="바탕"/>
          <w:i/>
          <w:color w:val="000000"/>
          <w:sz w:val="19"/>
        </w:rPr>
        <w:t>Languages supported by Amazon Bedrock Guardrails</w:t>
      </w:r>
      <w:r>
        <w:rPr>
          <w:rFonts w:ascii="바탕" w:hAnsi="바탕" w:eastAsia="바탕"/>
          <w:color w:val="000000"/>
          <w:sz w:val="19"/>
        </w:rPr>
        <w:t>. https://docs.aws.amazon.com/bedrock/latest/userguide/guardrails-supported-languages.html (접근일: 2026. 7. 26).</w:t>
      </w:r>
    </w:p>
    <w:p>
      <w:pPr>
        <w:widowControl/>
        <w:spacing w:before="0" w:after="60" w:line="331" w:lineRule="auto"/>
        <w:ind w:firstLine="397"/>
        <w:jc w:val="both"/>
      </w:pPr>
      <w:r>
        <w:rPr>
          <w:rFonts w:ascii="바탕" w:hAnsi="바탕" w:eastAsia="바탕"/>
          <w:color w:val="000000"/>
          <w:sz w:val="19"/>
        </w:rPr>
        <w:t xml:space="preserve">Data Privacy Stack. </w:t>
      </w:r>
      <w:r>
        <w:rPr>
          <w:rFonts w:ascii="바탕" w:hAnsi="바탕" w:eastAsia="바탕"/>
          <w:i/>
          <w:color w:val="000000"/>
          <w:sz w:val="19"/>
        </w:rPr>
        <w:t>Presidio: Supported entities</w:t>
      </w:r>
      <w:r>
        <w:rPr>
          <w:rFonts w:ascii="바탕" w:hAnsi="바탕" w:eastAsia="바탕"/>
          <w:color w:val="000000"/>
          <w:sz w:val="19"/>
        </w:rPr>
        <w:t>. https://presidio.dataprivacystack.org/supported_entities/ (접근일: 2026. 7. 26; Microsoft 문서의 현행 이전 위치).</w:t>
      </w:r>
    </w:p>
    <w:p>
      <w:pPr>
        <w:widowControl/>
        <w:spacing w:before="0" w:after="60" w:line="331" w:lineRule="auto"/>
        <w:ind w:firstLine="397"/>
        <w:jc w:val="both"/>
      </w:pPr>
      <w:r>
        <w:rPr>
          <w:rFonts w:ascii="바탕" w:hAnsi="바탕" w:eastAsia="바탕"/>
          <w:color w:val="000000"/>
          <w:sz w:val="19"/>
        </w:rPr>
        <w:t xml:space="preserve">National Highway Traffic Safety Administration. </w:t>
      </w:r>
      <w:r>
        <w:rPr>
          <w:rFonts w:ascii="바탕" w:hAnsi="바탕" w:eastAsia="바탕"/>
          <w:i/>
          <w:color w:val="000000"/>
          <w:sz w:val="19"/>
        </w:rPr>
        <w:t>The Vehicle Identification Number (VIN)</w:t>
      </w:r>
      <w:r>
        <w:rPr>
          <w:rFonts w:ascii="바탕" w:hAnsi="바탕" w:eastAsia="바탕"/>
          <w:color w:val="000000"/>
          <w:sz w:val="19"/>
        </w:rPr>
        <w:t>. https://www.nhtsa.gov/document/vehicle-identification-number-vin</w:t>
      </w:r>
    </w:p>
    <w:p>
      <w:pPr>
        <w:widowControl/>
        <w:spacing w:before="0" w:after="60" w:line="331" w:lineRule="auto"/>
        <w:ind w:firstLine="397"/>
        <w:jc w:val="both"/>
      </w:pPr>
      <w:r>
        <w:rPr>
          <w:rFonts w:ascii="바탕" w:hAnsi="바탕" w:eastAsia="바탕"/>
          <w:color w:val="000000"/>
          <w:sz w:val="19"/>
        </w:rPr>
        <w:t xml:space="preserve">U.S. Government Publishing Office. </w:t>
      </w:r>
      <w:r>
        <w:rPr>
          <w:rFonts w:ascii="바탕" w:hAnsi="바탕" w:eastAsia="바탕"/>
          <w:i/>
          <w:color w:val="000000"/>
          <w:sz w:val="19"/>
        </w:rPr>
        <w:t>49 CFR Part 565—Vehicle Identification Number Requirements</w:t>
      </w:r>
      <w:r>
        <w:rPr>
          <w:rFonts w:ascii="바탕" w:hAnsi="바탕" w:eastAsia="바탕"/>
          <w:color w:val="000000"/>
          <w:sz w:val="19"/>
        </w:rPr>
        <w:t>. https://www.govinfo.gov/content/pkg/CFR-2019-title49-vol6/pdf/CFR-2019-title49-vol6-part565.pdf</w:t>
      </w:r>
    </w:p>
    <w:p>
      <w:pPr>
        <w:widowControl/>
        <w:spacing w:before="0" w:after="60" w:line="331" w:lineRule="auto"/>
        <w:ind w:firstLine="397"/>
        <w:jc w:val="both"/>
      </w:pPr>
      <w:r>
        <w:rPr>
          <w:rFonts w:ascii="바탕" w:hAnsi="바탕" w:eastAsia="바탕"/>
          <w:color w:val="000000"/>
          <w:sz w:val="19"/>
        </w:rPr>
        <w:t>한국범죄학회. 「범죄와 정책」 소개. https://ksoc.re.kr/%EB%B2%94%EC%A3%84%EC%99%80-%EC%A0%95%EC%B1%85-%EC%86%8C%EA%B0%9C (접근일: 2026. 7. 26).</w:t>
      </w:r>
    </w:p>
    <w:p>
      <w:pPr>
        <w:widowControl/>
        <w:spacing w:before="0" w:after="60" w:line="331" w:lineRule="auto"/>
        <w:ind w:firstLine="397"/>
        <w:jc w:val="both"/>
      </w:pPr>
      <w:r>
        <w:rPr>
          <w:rFonts w:ascii="바탕" w:hAnsi="바탕" w:eastAsia="바탕"/>
          <w:color w:val="000000"/>
          <w:sz w:val="19"/>
        </w:rPr>
        <w:t>한국범죄학회. 「범죄와 정책」 편집규정. https://ksoc.re.kr/%ED%8E%B8%EC%A7%91%EA%B7%9C%EC%A0%95 (접근일: 2026. 7. 26).</w:t>
      </w:r>
    </w:p>
    <w:p>
      <w:pPr>
        <w:pStyle w:val="Heading1"/>
        <w:keepNext/>
        <w:keepLines/>
      </w:pPr>
      <w:r>
        <w:rPr>
          <w:rFonts w:ascii="맑은 고딕" w:hAnsi="맑은 고딕" w:eastAsia="맑은 고딕"/>
          <w:b/>
          <w:color w:val="000000"/>
          <w:sz w:val="25"/>
        </w:rPr>
        <w:t>부록: 결과 해석을 위한 주의문</w:t>
      </w:r>
    </w:p>
    <w:p>
      <w:pPr>
        <w:widowControl/>
        <w:spacing w:before="0" w:after="60" w:line="331" w:lineRule="auto"/>
        <w:ind w:firstLine="397"/>
        <w:jc w:val="both"/>
      </w:pPr>
      <w:r>
        <w:rPr>
          <w:rFonts w:ascii="바탕" w:hAnsi="바탕" w:eastAsia="바탕"/>
          <w:color w:val="000000"/>
          <w:sz w:val="19"/>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바탕" w:hAnsi="바탕" w:eastAsia="바탕"/>
          <w:color w:val="000000"/>
          <w:sz w:val="19"/>
        </w:rPr>
        <w:t>A/B/C/D 수치는 같은 저장 산출물에 새 평가기를 적용한 감사 결과다. 당시 제품 설정을 복원한 전향적 재실행이나 현재 제품의 보편적 순위를 뜻하지 않는다. 법령 조문 감사는 실제 공개문서에서 어휘적 과잉차단이 발생함을 확인했지만 서비스 도메인을 대표하지 않는다. 제품 선택이나 규제기준에 사용하려면 자동 복원 표본과 hard negative의 독립 사람 검토, 복수 서비스 도메인 외부검증, 설정을 고정한 재실험이 추가되어야 한다.</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바탕" w:hAnsi="바탕" w:eastAsia="바탕"/>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바탕" w:hAnsi="바탕" w:eastAsia="바탕"/>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맑은 고딕" w:hAnsi="맑은 고딕" w:eastAsia="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맑은 고딕" w:hAnsi="맑은 고딕" w:eastAsia="맑은 고딕"/>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바탕" w:hAnsi="바탕" w:eastAsia="바탕"/>
      <w:b w:val="0"/>
      <w:color w:val="000000"/>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바탕" w:hAnsi="바탕" w:eastAsia="바탕"/>
      <w:b w:val="0"/>
      <w:color w:val="000000"/>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바탕" w:hAnsi="바탕" w:eastAsia="바탕"/>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