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DA43" w14:textId="77777777" w:rsidR="00704F40" w:rsidRDefault="00704F40">
      <w:pPr>
        <w:spacing w:before="1440"/>
      </w:pPr>
    </w:p>
    <w:p w14:paraId="16FAE94D" w14:textId="77777777" w:rsidR="00704F40" w:rsidRDefault="00000000">
      <w:pPr>
        <w:spacing w:before="200" w:after="120"/>
        <w:jc w:val="center"/>
      </w:pPr>
      <w:r>
        <w:rPr>
          <w:rFonts w:eastAsia="Arial"/>
          <w:b/>
          <w:bCs/>
          <w:color w:val="1E3A5F"/>
          <w:sz w:val="56"/>
          <w:szCs w:val="56"/>
        </w:rPr>
        <w:t>Web3废弃项目深度调研</w:t>
      </w:r>
    </w:p>
    <w:p w14:paraId="32D4ED59" w14:textId="77777777" w:rsidR="00704F40" w:rsidRDefault="00000000">
      <w:pPr>
        <w:spacing w:before="80" w:after="400"/>
        <w:jc w:val="center"/>
      </w:pPr>
      <w:r>
        <w:rPr>
          <w:rFonts w:eastAsia="Arial"/>
          <w:b/>
          <w:bCs/>
          <w:color w:val="2E6BAC"/>
          <w:sz w:val="40"/>
          <w:szCs w:val="40"/>
        </w:rPr>
        <w:t>及项目风险预测工具开发前景分析</w:t>
      </w:r>
    </w:p>
    <w:p w14:paraId="2DA24DA1" w14:textId="77777777" w:rsidR="00704F40" w:rsidRDefault="00704F40">
      <w:pPr>
        <w:pBdr>
          <w:bottom w:val="single" w:sz="6" w:space="4" w:color="2E6BAC"/>
        </w:pBdr>
        <w:spacing w:before="80" w:after="240"/>
        <w:jc w:val="center"/>
      </w:pPr>
    </w:p>
    <w:p w14:paraId="4688F6F6" w14:textId="77777777" w:rsidR="00704F40" w:rsidRDefault="00000000">
      <w:pPr>
        <w:spacing w:before="160" w:after="80"/>
        <w:jc w:val="center"/>
      </w:pPr>
      <w:r>
        <w:rPr>
          <w:rFonts w:eastAsia="Arial"/>
          <w:color w:val="555555"/>
          <w:sz w:val="24"/>
          <w:szCs w:val="24"/>
        </w:rPr>
        <w:t>市场调研 · 竞品分析 · 开发路线规划</w:t>
      </w:r>
    </w:p>
    <w:p w14:paraId="0F7718EB" w14:textId="77777777" w:rsidR="00704F40" w:rsidRDefault="00000000">
      <w:pPr>
        <w:spacing w:before="40" w:after="40"/>
        <w:jc w:val="center"/>
      </w:pPr>
      <w:r>
        <w:rPr>
          <w:rFonts w:eastAsia="Arial"/>
          <w:color w:val="777777"/>
        </w:rPr>
        <w:t>2026年2月</w:t>
      </w:r>
    </w:p>
    <w:p w14:paraId="6703AD8F" w14:textId="77777777" w:rsidR="00704F40" w:rsidRDefault="00000000">
      <w:r>
        <w:br w:type="page"/>
      </w:r>
    </w:p>
    <w:p w14:paraId="13263E03" w14:textId="77777777" w:rsidR="00704F40" w:rsidRDefault="00000000">
      <w:pPr>
        <w:pStyle w:val="1"/>
      </w:pPr>
      <w:r>
        <w:lastRenderedPageBreak/>
        <w:t>一、Web3废弃项目现状：规模与数据</w:t>
      </w:r>
    </w:p>
    <w:p w14:paraId="3D25C49E" w14:textId="77777777" w:rsidR="00704F40" w:rsidRDefault="00704F40">
      <w:pPr>
        <w:pBdr>
          <w:bottom w:val="single" w:sz="4" w:space="1" w:color="2E6BAC"/>
        </w:pBdr>
        <w:spacing w:before="100" w:after="100"/>
      </w:pPr>
    </w:p>
    <w:p w14:paraId="6CF4BED5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Web3领域的项目失败率令人震惊，已成为该行业最突出的结构性问题之一。从链上数据、VC投资回报、用户活跃度等多维度来看，绝大多数项目在上线后短时间内即走向衰亡。</w:t>
      </w:r>
    </w:p>
    <w:p w14:paraId="0449DEA1" w14:textId="77777777" w:rsidR="00704F40" w:rsidRDefault="00000000">
      <w:pPr>
        <w:pStyle w:val="2"/>
      </w:pPr>
      <w:r>
        <w:t>1.1 核心失败数据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60"/>
      </w:tblGrid>
      <w:tr w:rsidR="00704F40" w14:paraId="4910A4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E7386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领域/指标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29585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F1837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数据来源</w:t>
            </w:r>
          </w:p>
        </w:tc>
      </w:tr>
      <w:tr w:rsidR="00704F40" w14:paraId="7F0027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2C87D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GameFi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项目总体失败率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2329C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93%（定义：日活&lt;100 + 代币跌幅&gt;90%）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C644A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ChainPlay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2024年11月</w:t>
            </w:r>
          </w:p>
        </w:tc>
      </w:tr>
      <w:tr w:rsidR="00704F40" w14:paraId="7B3700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DF10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整体Web3项目失败率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5B07C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约90%（涵盖DeFi/NFT/基础设施）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024F7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ByteIota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分析报告, 2025年</w:t>
            </w:r>
          </w:p>
        </w:tc>
      </w:tr>
      <w:tr w:rsidR="00704F40" w14:paraId="5CC57F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BF443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整体Web3投资总额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669C2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1120亿美元（大量沉没）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412E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多来源综合</w:t>
            </w:r>
          </w:p>
        </w:tc>
      </w:tr>
      <w:tr w:rsidR="00704F40" w14:paraId="44B8F6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4A22D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GameFi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代币均跌幅（ATH起）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E6E7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95%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FB393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ChainPlay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2024年</w:t>
            </w:r>
          </w:p>
        </w:tc>
      </w:tr>
      <w:tr w:rsidR="00704F40" w14:paraId="5E61F7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34C7A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NFT交易量萎缩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9A74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93%（从高峰期至今）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44403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多来源综合</w:t>
            </w:r>
          </w:p>
        </w:tc>
      </w:tr>
      <w:tr w:rsidR="00704F40" w14:paraId="37ABFB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D6C8E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NFT活跃交易者减少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A75A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96%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F668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多来源综合</w:t>
            </w:r>
          </w:p>
        </w:tc>
      </w:tr>
      <w:tr w:rsidR="00704F40" w14:paraId="0FBF01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1481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2024年Web3黑客/诈骗损失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795C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21亿美元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939E6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QuillAudits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2024年</w:t>
            </w:r>
          </w:p>
        </w:tc>
      </w:tr>
      <w:tr w:rsidR="00704F40" w14:paraId="7E0046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BEB6B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2024年Rug Pull损失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32ED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约8540万美元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85560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CertiK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2025年</w:t>
            </w:r>
          </w:p>
        </w:tc>
      </w:tr>
      <w:tr w:rsidR="00704F40" w14:paraId="3EDEC6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6C12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新ERC20代币中诈骗占比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C0D3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约50%（每2个新代币1个涉嫌诈骗）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4DFE9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CertiK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RPHunter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研究</w:t>
            </w:r>
          </w:p>
        </w:tc>
      </w:tr>
    </w:tbl>
    <w:p w14:paraId="0361142E" w14:textId="77777777" w:rsidR="00704F40" w:rsidRDefault="00704F40">
      <w:pPr>
        <w:spacing w:before="160"/>
      </w:pPr>
    </w:p>
    <w:p w14:paraId="3E4FDD50" w14:textId="77777777" w:rsidR="00704F40" w:rsidRDefault="00000000">
      <w:pPr>
        <w:pStyle w:val="2"/>
      </w:pPr>
      <w:r>
        <w:t>1.2 典型失败模式分类</w:t>
      </w:r>
    </w:p>
    <w:p w14:paraId="18EA0D2C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Web3废弃/失败项目可分为以下几类，每类背后有不同的失败逻辑：</w:t>
      </w:r>
    </w:p>
    <w:p w14:paraId="660812EB" w14:textId="77777777" w:rsidR="00704F40" w:rsidRDefault="00000000">
      <w:pPr>
        <w:spacing w:before="80" w:after="120"/>
      </w:pPr>
      <w:r>
        <w:rPr>
          <w:rFonts w:eastAsia="Arial"/>
          <w:b/>
          <w:bCs/>
          <w:color w:val="333333"/>
        </w:rPr>
        <w:t>① Rug Pull（硬式跑路）</w:t>
      </w:r>
    </w:p>
    <w:p w14:paraId="5ECABB94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开发者在智能合约中预埋后门，在积累足够资金后突然撤走流动性，投资者持有毫无价值的代币。这是最直接的欺诈行为，2024年仅此类损失就超8500万美元。</w:t>
      </w:r>
    </w:p>
    <w:p w14:paraId="228B006C" w14:textId="77777777" w:rsidR="00704F40" w:rsidRDefault="00000000">
      <w:pPr>
        <w:spacing w:before="80" w:after="120"/>
      </w:pPr>
      <w:r>
        <w:rPr>
          <w:rFonts w:eastAsia="Arial"/>
          <w:b/>
          <w:bCs/>
          <w:color w:val="333333"/>
        </w:rPr>
        <w:t>② 软式退出（Soft Exit）</w:t>
      </w:r>
    </w:p>
    <w:p w14:paraId="499BF90A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项目方逐渐停止更新、社区运营、社媒维护，团队隐身但不宣布关闭。用户活跃度自然凋零，最终成为"僵尸项目"。</w:t>
      </w:r>
      <w:proofErr w:type="spellStart"/>
      <w:r>
        <w:rPr>
          <w:rFonts w:eastAsia="Arial"/>
          <w:color w:val="333333"/>
        </w:rPr>
        <w:t>Decentraland</w:t>
      </w:r>
      <w:proofErr w:type="spellEnd"/>
      <w:r>
        <w:rPr>
          <w:rFonts w:eastAsia="Arial"/>
          <w:color w:val="333333"/>
        </w:rPr>
        <w:t>虽估值数十亿美元，但日活仅379人即为典型案例。</w:t>
      </w:r>
    </w:p>
    <w:p w14:paraId="7FADCB3F" w14:textId="77777777" w:rsidR="00704F40" w:rsidRDefault="00000000">
      <w:pPr>
        <w:spacing w:before="80" w:after="120"/>
      </w:pPr>
      <w:r>
        <w:rPr>
          <w:rFonts w:eastAsia="Arial"/>
          <w:b/>
          <w:bCs/>
          <w:color w:val="333333"/>
        </w:rPr>
        <w:t>③ 投机泡沫破裂</w:t>
      </w:r>
    </w:p>
    <w:p w14:paraId="495B2F31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项目本身无欺诈意图，但商业模式依赖代币价格维系（如Axie Infinity的边玩边赚模型），当市场情绪逆转，庞氏结构崩塌，用户大规模出走。</w:t>
      </w:r>
      <w:proofErr w:type="spellStart"/>
      <w:r>
        <w:rPr>
          <w:rFonts w:eastAsia="Arial"/>
          <w:color w:val="333333"/>
        </w:rPr>
        <w:t>GameFi</w:t>
      </w:r>
      <w:proofErr w:type="spellEnd"/>
      <w:r>
        <w:rPr>
          <w:rFonts w:eastAsia="Arial"/>
          <w:color w:val="333333"/>
        </w:rPr>
        <w:t xml:space="preserve"> 93%的失败多属此类。</w:t>
      </w:r>
    </w:p>
    <w:p w14:paraId="4A2E35A7" w14:textId="77777777" w:rsidR="00704F40" w:rsidRDefault="00000000">
      <w:pPr>
        <w:spacing w:before="80" w:after="120"/>
      </w:pPr>
      <w:r>
        <w:rPr>
          <w:rFonts w:eastAsia="Arial"/>
          <w:b/>
          <w:bCs/>
          <w:color w:val="333333"/>
        </w:rPr>
        <w:t>④ 技术性失败与黑客攻击</w:t>
      </w:r>
    </w:p>
    <w:p w14:paraId="69CD331D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lastRenderedPageBreak/>
        <w:t>智能合约漏洞、跨链桥被攻击导致项目直接损失资金后关闭。2024年访问控制漏洞占所有黑客损失的78%（约16.3亿美元）。</w:t>
      </w:r>
    </w:p>
    <w:p w14:paraId="002ECB83" w14:textId="77777777" w:rsidR="00704F40" w:rsidRDefault="00000000">
      <w:pPr>
        <w:spacing w:before="80" w:after="120"/>
      </w:pPr>
      <w:r>
        <w:rPr>
          <w:rFonts w:eastAsia="Arial"/>
          <w:b/>
          <w:bCs/>
          <w:color w:val="333333"/>
        </w:rPr>
        <w:t>⑤ 监管打压与合规失败</w:t>
      </w:r>
    </w:p>
    <w:p w14:paraId="1E420A41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部分项目因未能适应各国监管变化而被迫关闭，尤其是美国SEC对ICO/证券型代币的执法行动造成大量项目退出。</w:t>
      </w:r>
    </w:p>
    <w:p w14:paraId="669012CA" w14:textId="77777777" w:rsidR="00704F40" w:rsidRDefault="00000000">
      <w:pPr>
        <w:pStyle w:val="2"/>
      </w:pPr>
      <w:r>
        <w:t>1.3 失败时间规律</w:t>
      </w:r>
    </w:p>
    <w:p w14:paraId="402DB9EE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根据</w:t>
      </w:r>
      <w:proofErr w:type="spellStart"/>
      <w:r>
        <w:rPr>
          <w:rFonts w:eastAsia="Arial"/>
          <w:color w:val="333333"/>
        </w:rPr>
        <w:t>ChainPlay</w:t>
      </w:r>
      <w:proofErr w:type="spellEnd"/>
      <w:r>
        <w:rPr>
          <w:rFonts w:eastAsia="Arial"/>
          <w:color w:val="333333"/>
        </w:rPr>
        <w:t>对3200+个</w:t>
      </w:r>
      <w:proofErr w:type="spellStart"/>
      <w:r>
        <w:rPr>
          <w:rFonts w:eastAsia="Arial"/>
          <w:color w:val="333333"/>
        </w:rPr>
        <w:t>GameFi</w:t>
      </w:r>
      <w:proofErr w:type="spellEnd"/>
      <w:r>
        <w:rPr>
          <w:rFonts w:eastAsia="Arial"/>
          <w:color w:val="333333"/>
        </w:rPr>
        <w:t>项目的分析，平均每年有316个新项目上线，但同期有262个消亡，说明大量项目存活期不足12个月。失败高峰期集中在代币TGE（首次发行）后的3-6个月内——这与流动性锁定期解除、早期投资者套现的时间窗口高度吻合。</w:t>
      </w:r>
    </w:p>
    <w:p w14:paraId="3542C48A" w14:textId="77777777" w:rsidR="00704F40" w:rsidRDefault="00000000">
      <w:r>
        <w:br w:type="page"/>
      </w:r>
    </w:p>
    <w:p w14:paraId="5D7ABD3F" w14:textId="77777777" w:rsidR="00704F40" w:rsidRDefault="00000000">
      <w:pPr>
        <w:pStyle w:val="1"/>
      </w:pPr>
      <w:r>
        <w:lastRenderedPageBreak/>
        <w:t>二、废弃项目数据的分析价值</w:t>
      </w:r>
    </w:p>
    <w:p w14:paraId="48BAEEEE" w14:textId="77777777" w:rsidR="00704F40" w:rsidRDefault="00704F40">
      <w:pPr>
        <w:pBdr>
          <w:bottom w:val="single" w:sz="4" w:space="1" w:color="2E6BAC"/>
        </w:pBdr>
        <w:spacing w:before="100" w:after="100"/>
      </w:pPr>
    </w:p>
    <w:p w14:paraId="466D0085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"废弃项目数据库"表面上是失败的记录，实际上是训练风险识别模型的宝贵原材料。这类数据的核心价值体现在三个层面：</w:t>
      </w:r>
    </w:p>
    <w:p w14:paraId="5EB9C2E9" w14:textId="77777777" w:rsidR="00704F40" w:rsidRDefault="00000000">
      <w:pPr>
        <w:pStyle w:val="2"/>
      </w:pPr>
      <w:r>
        <w:t>2.1 特征工程价值：失败项目揭示的共同信号</w:t>
      </w:r>
    </w:p>
    <w:p w14:paraId="17774142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通过对历史失败案例的系统分析，研究者已识别出一批具有预测力的早期风险特征：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704F40" w14:paraId="65915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F47EF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特征维度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77630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具体指标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DEB86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预警意义</w:t>
            </w:r>
          </w:p>
        </w:tc>
      </w:tr>
      <w:tr w:rsidR="00704F40" w14:paraId="0F4AE6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3895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代币分布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8A81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前10地址持仓占比 &gt;60%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48FBD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高度集中=抛压风险极高</w:t>
            </w:r>
          </w:p>
        </w:tc>
      </w:tr>
      <w:tr w:rsidR="00704F40" w14:paraId="79FA5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A04D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流动性结构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77CED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LP锁定比例、锁定时长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0500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未锁定LP是Rug Pull前兆</w:t>
            </w:r>
          </w:p>
        </w:tc>
      </w:tr>
      <w:tr w:rsidR="00704F40" w14:paraId="76AA4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2CC2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智能合约代码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E673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Mint权限、黑名单函数、交易暂停函数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A25D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后门代码直接标志</w:t>
            </w:r>
          </w:p>
        </w:tc>
      </w:tr>
      <w:tr w:rsidR="00704F40" w14:paraId="0B7DD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0FB7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团队匿名度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B0E12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KYC缺失、创始人无历史可追溯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7914B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欺诈项目的高频特征</w:t>
            </w:r>
          </w:p>
        </w:tc>
      </w:tr>
      <w:tr w:rsidR="00704F40" w14:paraId="2BA6E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D58F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社媒行为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AC14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僵尸粉比例、Discord成员增长曲线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516C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水军/虚假繁荣信号</w:t>
            </w:r>
          </w:p>
        </w:tc>
      </w:tr>
      <w:tr w:rsidR="00704F40" w14:paraId="488B19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A908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链上行为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66BE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内部人交易模式、Sniper Bot活动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6118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内幕操盘迹象</w:t>
            </w:r>
          </w:p>
        </w:tc>
      </w:tr>
      <w:tr w:rsidR="00704F40" w14:paraId="57634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3B239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代币经济模型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9020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通胀率、解锁计划、激励来源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FD822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龐氏结构识别</w:t>
            </w:r>
          </w:p>
        </w:tc>
      </w:tr>
      <w:tr w:rsidR="00704F40" w14:paraId="37E9D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3927A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融资背景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7046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VC名单、审计机构资质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F973C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资信与背书质量</w:t>
            </w:r>
          </w:p>
        </w:tc>
      </w:tr>
    </w:tbl>
    <w:p w14:paraId="2161C4BC" w14:textId="77777777" w:rsidR="00704F40" w:rsidRDefault="00704F40">
      <w:pPr>
        <w:spacing w:before="160"/>
      </w:pPr>
    </w:p>
    <w:p w14:paraId="3EC5223C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学术研究已证明这些特征的预测力：麻省理工等机构的研究显示，结合合约代码+交易行为的双维度模型（如</w:t>
      </w:r>
      <w:proofErr w:type="spellStart"/>
      <w:r>
        <w:rPr>
          <w:rFonts w:eastAsia="Arial"/>
          <w:color w:val="333333"/>
        </w:rPr>
        <w:t>RPHunter</w:t>
      </w:r>
      <w:proofErr w:type="spellEnd"/>
      <w:r>
        <w:rPr>
          <w:rFonts w:eastAsia="Arial"/>
          <w:color w:val="333333"/>
        </w:rPr>
        <w:t>）能在Rug Pull发生前识别出超过80%的高危代币，精确率显著优于单一维度检测方法。</w:t>
      </w:r>
    </w:p>
    <w:p w14:paraId="2BBF2BA5" w14:textId="77777777" w:rsidR="00704F40" w:rsidRDefault="00000000">
      <w:pPr>
        <w:pStyle w:val="2"/>
      </w:pPr>
      <w:r>
        <w:t>2.2 模型训练价值：有标注的负样本</w:t>
      </w:r>
    </w:p>
    <w:p w14:paraId="5FFA163B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机器学习模型的质量高度依赖标注数据质量。Web3失败项目提供了罕见的"有结果标注的负样本"——我们知道哪些项目失败了（已死亡），知道它们什么时候死亡，知道死亡前的链上状态。这构成了监督学习的理想训练集。相比之下，传统金融的欺诈数据往往不公开，而区块链的透明性使得所有历史数据都可追溯。</w:t>
      </w:r>
    </w:p>
    <w:p w14:paraId="1833C59B" w14:textId="77777777" w:rsidR="00704F40" w:rsidRDefault="00000000">
      <w:pPr>
        <w:pStyle w:val="2"/>
      </w:pPr>
      <w:r>
        <w:t>2.3 产业洞察价值：市场周期与结构性规律</w:t>
      </w:r>
    </w:p>
    <w:p w14:paraId="15307B91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废弃项目数据还能揭示宏观规律：牛市末期项目质量断崖式下滑（2021-2022年大量劣质项目趁机融资）、特定赛道的系统性风险（如2023年跨链桥集中被攻击）、监管事件对项目存续的影响等。这些洞察对VC基金、合规机构、保险协议等都有直接商业价值。</w:t>
      </w:r>
    </w:p>
    <w:p w14:paraId="00011C42" w14:textId="77777777" w:rsidR="00704F40" w:rsidRDefault="00000000">
      <w:r>
        <w:br w:type="page"/>
      </w:r>
    </w:p>
    <w:p w14:paraId="45A5B464" w14:textId="77777777" w:rsidR="00704F40" w:rsidRDefault="00000000">
      <w:pPr>
        <w:pStyle w:val="1"/>
      </w:pPr>
      <w:r>
        <w:lastRenderedPageBreak/>
        <w:t>三、市场现有工具分析（竞品调研）</w:t>
      </w:r>
    </w:p>
    <w:p w14:paraId="010644D0" w14:textId="77777777" w:rsidR="00704F40" w:rsidRDefault="00704F40">
      <w:pPr>
        <w:pBdr>
          <w:bottom w:val="single" w:sz="4" w:space="1" w:color="2E6BAC"/>
        </w:pBdr>
        <w:spacing w:before="100" w:after="100"/>
      </w:pPr>
    </w:p>
    <w:p w14:paraId="688A90CA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当前市场上已存在一批风险检测工具，但普遍存在覆盖面窄、预测深度不足、用户体验割裂等问题，市场远未饱和。</w:t>
      </w:r>
    </w:p>
    <w:p w14:paraId="26E17C30" w14:textId="77777777" w:rsidR="00704F40" w:rsidRDefault="00000000">
      <w:pPr>
        <w:pStyle w:val="2"/>
      </w:pPr>
      <w:r>
        <w:t>3.1 主流现有工具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800"/>
        <w:gridCol w:w="3160"/>
      </w:tblGrid>
      <w:tr w:rsidR="00704F40" w14:paraId="5EB7B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60478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工具/平台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650EC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B6C11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D8517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局限性</w:t>
            </w:r>
          </w:p>
        </w:tc>
      </w:tr>
      <w:tr w:rsidR="00704F40" w14:paraId="00955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60C3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Token Sniffer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F976A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ERC20代币快速扫描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0738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速度快，免费，社区广泛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D00D3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仅检测合约代码，无行为分析，误报率高</w:t>
            </w:r>
          </w:p>
        </w:tc>
      </w:tr>
      <w:tr w:rsidR="00704F40" w14:paraId="50217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AF76A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RugCheck.xyz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28AFC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Solana代币Rug Pull检测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A8C9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视觉直观，内部人网络分析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02253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不评估团队/白皮书，对新代币误判多</w:t>
            </w:r>
          </w:p>
        </w:tc>
      </w:tr>
      <w:tr w:rsidR="00704F40" w14:paraId="644D7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4E70F" w14:textId="77777777" w:rsidR="00704F40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De.Fi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Scanner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DeFiYield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0FF5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多链代币+DeFi协议扫描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0A51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多链覆盖，可导出PDF报告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A403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界面复杂，对新型攻击模式更新滞后</w:t>
            </w:r>
          </w:p>
        </w:tc>
      </w:tr>
      <w:tr w:rsidR="00704F40" w14:paraId="6529E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DEEA2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CertiK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Skynet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86F9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智能合约安全审计+实时监控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D597C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权威性强，覆盖面广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E9FEB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主要面向项目方，个人投资者使用成本高</w:t>
            </w:r>
          </w:p>
        </w:tc>
      </w:tr>
      <w:tr w:rsidR="00704F40" w14:paraId="752595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17C98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QuillCheck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57E0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风险评估+安全审计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FBB5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AI辅助，支持漏洞修复建议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2BD5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偏向B端服务，非实时消费级工具</w:t>
            </w:r>
          </w:p>
        </w:tc>
      </w:tr>
      <w:tr w:rsidR="00704F40" w14:paraId="2FC0D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74D37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Webacy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A0EB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钱包/代币风险评分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39D9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使用梯度提升模型，有预测rug能力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136D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功能尚在迭代，覆盖链有限</w:t>
            </w:r>
          </w:p>
        </w:tc>
      </w:tr>
      <w:tr w:rsidR="00704F40" w14:paraId="6CE97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8F9D0" w14:textId="77777777" w:rsidR="00704F40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GoPlus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Security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46E0B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链上安全API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E486E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开发者友好，API接口丰富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D72C9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纯API服务，无C端产品界面</w:t>
            </w:r>
          </w:p>
        </w:tc>
      </w:tr>
    </w:tbl>
    <w:p w14:paraId="530C065D" w14:textId="77777777" w:rsidR="00704F40" w:rsidRDefault="00704F40">
      <w:pPr>
        <w:spacing w:before="160"/>
      </w:pPr>
    </w:p>
    <w:p w14:paraId="0F5D12E7" w14:textId="77777777" w:rsidR="00704F40" w:rsidRDefault="00000000">
      <w:pPr>
        <w:pStyle w:val="2"/>
      </w:pPr>
      <w:r>
        <w:t>3.2 现有工具的共同缺口</w:t>
      </w:r>
    </w:p>
    <w:p w14:paraId="00AAD7BA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通过对比分析，目前市场工具存在以下普遍性缺口：</w:t>
      </w:r>
    </w:p>
    <w:p w14:paraId="3522A9B4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预测性弱：大多数工具是事后检测（已死才标记），而非事前预警</w:t>
      </w:r>
    </w:p>
    <w:p w14:paraId="0DD51B89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维度单一：要么只分析合约代码，要么只看链上交易，缺乏多维度融合</w:t>
      </w:r>
    </w:p>
    <w:p w14:paraId="438E1E24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时序分析缺失：忽视项目生命周期中的动态演变信号（如社区活跃度下降趋势）</w:t>
      </w:r>
    </w:p>
    <w:p w14:paraId="3E271239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跨模态数据整合不足：社媒情绪、GitHub提交频率、团队历史等链外数据鲜少纳入模型</w:t>
      </w:r>
    </w:p>
    <w:p w14:paraId="7BF2ED58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面向散户的体验差：专业工具多为开发者设计，普通投资者难以直接使用</w:t>
      </w:r>
    </w:p>
    <w:p w14:paraId="3188449A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无纵向追踪：缺乏对项目健康度随时间变化的持续监测与评分</w:t>
      </w:r>
    </w:p>
    <w:p w14:paraId="53BC968B" w14:textId="77777777" w:rsidR="00704F40" w:rsidRDefault="00000000">
      <w:r>
        <w:br w:type="page"/>
      </w:r>
    </w:p>
    <w:p w14:paraId="04E84118" w14:textId="77777777" w:rsidR="00704F40" w:rsidRDefault="00000000">
      <w:pPr>
        <w:pStyle w:val="1"/>
      </w:pPr>
      <w:r>
        <w:lastRenderedPageBreak/>
        <w:t>四、风险预测工具开发路线规划</w:t>
      </w:r>
    </w:p>
    <w:p w14:paraId="5D15ED17" w14:textId="77777777" w:rsidR="00704F40" w:rsidRDefault="00704F40">
      <w:pPr>
        <w:pBdr>
          <w:bottom w:val="single" w:sz="4" w:space="1" w:color="2E6BAC"/>
        </w:pBdr>
        <w:spacing w:before="100" w:after="100"/>
      </w:pPr>
    </w:p>
    <w:p w14:paraId="2D356E1D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基于上述市场缺口，有机会构建一套面向多类用户（散户、VC、项目方）的综合性Web3项目风险评估平台。</w:t>
      </w:r>
    </w:p>
    <w:p w14:paraId="75CE1171" w14:textId="77777777" w:rsidR="00704F40" w:rsidRDefault="00000000">
      <w:pPr>
        <w:pStyle w:val="2"/>
      </w:pPr>
      <w:r>
        <w:t>4.1 产品定位与核心差异化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704F40" w14:paraId="0FA35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0241E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差异化维度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68DB5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现有产品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72782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目标产品</w:t>
            </w:r>
          </w:p>
        </w:tc>
      </w:tr>
      <w:tr w:rsidR="00704F40" w14:paraId="497EBD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8466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分析时态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19A9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事后检测为主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3422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事前预测 + 持续监测</w:t>
            </w:r>
          </w:p>
        </w:tc>
      </w:tr>
      <w:tr w:rsidR="00704F40" w14:paraId="1E117D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B623C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数据源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451A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链上合约/交易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CE31B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链上 + 链外（GitHub/社媒/团队）</w:t>
            </w:r>
          </w:p>
        </w:tc>
      </w:tr>
      <w:tr w:rsidR="00704F40" w14:paraId="7E590F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A053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模型架构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66F3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规则引擎或单一ML模型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543DB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多模型融合 + 时序分析</w:t>
            </w:r>
          </w:p>
        </w:tc>
      </w:tr>
      <w:tr w:rsidR="00704F40" w14:paraId="026C93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95E9D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用户界面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F785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开发者API或复杂仪表板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86A23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消费级UI + API双模式</w:t>
            </w:r>
          </w:p>
        </w:tc>
      </w:tr>
      <w:tr w:rsidR="00704F40" w14:paraId="72160E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516A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覆盖范围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255FE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单一链或单一赛道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9B589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多链 + 跨赛道风险评分</w:t>
            </w:r>
          </w:p>
        </w:tc>
      </w:tr>
    </w:tbl>
    <w:p w14:paraId="53354F22" w14:textId="77777777" w:rsidR="00704F40" w:rsidRDefault="00704F40">
      <w:pPr>
        <w:spacing w:before="160"/>
      </w:pPr>
    </w:p>
    <w:p w14:paraId="3F29A0D8" w14:textId="77777777" w:rsidR="00704F40" w:rsidRDefault="00000000">
      <w:pPr>
        <w:pStyle w:val="2"/>
      </w:pPr>
      <w:r>
        <w:t>4.2 技术架构设计</w:t>
      </w:r>
    </w:p>
    <w:p w14:paraId="3B0C61F9" w14:textId="77777777" w:rsidR="00704F40" w:rsidRDefault="00000000">
      <w:pPr>
        <w:pStyle w:val="3"/>
      </w:pPr>
      <w:r>
        <w:t>数据层（Data Layer）</w:t>
      </w:r>
    </w:p>
    <w:p w14:paraId="65176FB0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链上数据：通过The Graph、Alchemy、Moralis等API实时拉取合约代码、交易记录、流动性状态、持仓分布</w:t>
      </w:r>
    </w:p>
    <w:p w14:paraId="4F2491CC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链外数据：GitHub提交频率/代码质量、Twitter/Discord活跃度与情绪分析、团队成员历史记录（通过图谱关联）、融资信息（Crunchbase/</w:t>
      </w:r>
      <w:proofErr w:type="spellStart"/>
      <w:r>
        <w:rPr>
          <w:rFonts w:eastAsia="Arial"/>
          <w:color w:val="333333"/>
        </w:rPr>
        <w:t>RootData</w:t>
      </w:r>
      <w:proofErr w:type="spellEnd"/>
      <w:r>
        <w:rPr>
          <w:rFonts w:eastAsia="Arial"/>
          <w:color w:val="333333"/>
        </w:rPr>
        <w:t>）</w:t>
      </w:r>
    </w:p>
    <w:p w14:paraId="48FA174D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历史失败库：基于</w:t>
      </w:r>
      <w:proofErr w:type="spellStart"/>
      <w:r>
        <w:rPr>
          <w:rFonts w:eastAsia="Arial"/>
          <w:color w:val="333333"/>
        </w:rPr>
        <w:t>DappRadar</w:t>
      </w:r>
      <w:proofErr w:type="spellEnd"/>
      <w:r>
        <w:rPr>
          <w:rFonts w:eastAsia="Arial"/>
          <w:color w:val="333333"/>
        </w:rPr>
        <w:t>、</w:t>
      </w:r>
      <w:proofErr w:type="spellStart"/>
      <w:r>
        <w:rPr>
          <w:rFonts w:eastAsia="Arial"/>
          <w:color w:val="333333"/>
        </w:rPr>
        <w:t>ChainPlay</w:t>
      </w:r>
      <w:proofErr w:type="spellEnd"/>
      <w:r>
        <w:rPr>
          <w:rFonts w:eastAsia="Arial"/>
          <w:color w:val="333333"/>
        </w:rPr>
        <w:t>、</w:t>
      </w:r>
      <w:proofErr w:type="spellStart"/>
      <w:r>
        <w:rPr>
          <w:rFonts w:eastAsia="Arial"/>
          <w:color w:val="333333"/>
        </w:rPr>
        <w:t>CertiK</w:t>
      </w:r>
      <w:proofErr w:type="spellEnd"/>
      <w:r>
        <w:rPr>
          <w:rFonts w:eastAsia="Arial"/>
          <w:color w:val="333333"/>
        </w:rPr>
        <w:t>等整理的结构化失败项目数据集，作为模型训练基准</w:t>
      </w:r>
    </w:p>
    <w:p w14:paraId="3D5CB6CB" w14:textId="77777777" w:rsidR="00704F40" w:rsidRDefault="00000000">
      <w:pPr>
        <w:pStyle w:val="3"/>
      </w:pPr>
      <w:r>
        <w:t>模型层（Model Layer）</w:t>
      </w:r>
    </w:p>
    <w:p w14:paraId="28DD7113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智能合约静态分析：基于控制流图（CFG）识别危险函数（Mint无上限、blacklist、</w:t>
      </w:r>
      <w:proofErr w:type="spellStart"/>
      <w:r>
        <w:rPr>
          <w:rFonts w:eastAsia="Arial"/>
          <w:color w:val="333333"/>
        </w:rPr>
        <w:t>pausable</w:t>
      </w:r>
      <w:proofErr w:type="spellEnd"/>
      <w:r>
        <w:rPr>
          <w:rFonts w:eastAsia="Arial"/>
          <w:color w:val="333333"/>
        </w:rPr>
        <w:t>等），参考</w:t>
      </w:r>
      <w:proofErr w:type="spellStart"/>
      <w:r>
        <w:rPr>
          <w:rFonts w:eastAsia="Arial"/>
          <w:color w:val="333333"/>
        </w:rPr>
        <w:t>RPHunter</w:t>
      </w:r>
      <w:proofErr w:type="spellEnd"/>
      <w:r>
        <w:rPr>
          <w:rFonts w:eastAsia="Arial"/>
          <w:color w:val="333333"/>
        </w:rPr>
        <w:t>的代码风险信息提取方法</w:t>
      </w:r>
    </w:p>
    <w:p w14:paraId="5247ABE2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交易行为图神经网络（GNN）：建模地址间交易关系，识别内部人协调操盘和Sniper Bot活动</w:t>
      </w:r>
    </w:p>
    <w:p w14:paraId="2299EFF8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时序预警模型：LSTM/Transformer对项目健康指标的时序变化建模，捕捉衰退趋势</w:t>
      </w:r>
    </w:p>
    <w:p w14:paraId="0697C208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综合评分模型：梯度提升树（</w:t>
      </w:r>
      <w:proofErr w:type="spellStart"/>
      <w:r>
        <w:rPr>
          <w:rFonts w:eastAsia="Arial"/>
          <w:color w:val="333333"/>
        </w:rPr>
        <w:t>XGBoost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LightGBM</w:t>
      </w:r>
      <w:proofErr w:type="spellEnd"/>
      <w:r>
        <w:rPr>
          <w:rFonts w:eastAsia="Arial"/>
          <w:color w:val="333333"/>
        </w:rPr>
        <w:t>）融合多维特征，输出0-100的风险评分及置信度</w:t>
      </w:r>
    </w:p>
    <w:p w14:paraId="06FB6495" w14:textId="77777777" w:rsidR="00704F40" w:rsidRDefault="00000000">
      <w:pPr>
        <w:pStyle w:val="3"/>
      </w:pPr>
      <w:r>
        <w:t>产品层（Product Layer）</w:t>
      </w:r>
    </w:p>
    <w:p w14:paraId="754E5A07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面向散户：简洁的"一键扫描"界面，输入合约地址/代币名称，输出风险评级（红/橙/绿）+关键风险解释</w:t>
      </w:r>
    </w:p>
    <w:p w14:paraId="59E0BDB2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lastRenderedPageBreak/>
        <w:t>面向投资者/VC：详细尽调报告，包含多维雷达图、历史类似项目对比、风险因素权重分解</w:t>
      </w:r>
    </w:p>
    <w:p w14:paraId="1DDA38F2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面向项目方：自检工具 + 改进建议（审计前预扫描，提高审计通过率）</w:t>
      </w:r>
    </w:p>
    <w:p w14:paraId="57C7693D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API接口：提供风险评分API，供钱包、DEX、聚合器等B端集成</w:t>
      </w:r>
    </w:p>
    <w:p w14:paraId="181D3463" w14:textId="77777777" w:rsidR="00704F40" w:rsidRDefault="00000000">
      <w:pPr>
        <w:pStyle w:val="2"/>
      </w:pPr>
      <w:r>
        <w:t>4.3 分阶段开发路线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2500"/>
        <w:gridCol w:w="4160"/>
      </w:tblGrid>
      <w:tr w:rsidR="00704F40" w14:paraId="7CB5F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F6AAB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BFE82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F99A4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核心目标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60F4D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关键里程碑</w:t>
            </w:r>
          </w:p>
        </w:tc>
      </w:tr>
      <w:tr w:rsidR="00704F40" w14:paraId="28EB09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9971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MVP阶段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5C2A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0-3个月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8E87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验证核心假设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B03BB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合约静态分析+代币持仓分析，覆盖ETH/BSC，基础Web UI上线</w:t>
            </w:r>
          </w:p>
        </w:tc>
      </w:tr>
      <w:tr w:rsidR="00704F40" w14:paraId="76617A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2BB9A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Beta阶段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3F11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3-6个月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4D9A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引入行为分析+时序模型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E640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链外数据接入，社区公测，开发者API发布，积累用户反馈</w:t>
            </w:r>
          </w:p>
        </w:tc>
      </w:tr>
      <w:tr w:rsidR="00704F40" w14:paraId="53D781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47643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增长阶段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9970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6-12个月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37AD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多链扩展+商业化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DB7F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支持Solana/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Arbitrum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/Base，推出订阅制Pro版，B端API商业合同</w:t>
            </w:r>
          </w:p>
        </w:tc>
      </w:tr>
      <w:tr w:rsidR="00704F40" w14:paraId="71B3F6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AA39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成熟阶段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2616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12个月+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E55FA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生态整合+护城河构建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510D9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钱包/DEX集成，建立专有失败项目数据库，考虑DAO治理</w:t>
            </w:r>
          </w:p>
        </w:tc>
      </w:tr>
    </w:tbl>
    <w:p w14:paraId="1FF95F9B" w14:textId="77777777" w:rsidR="00704F40" w:rsidRDefault="00704F40">
      <w:pPr>
        <w:spacing w:before="160"/>
      </w:pPr>
    </w:p>
    <w:p w14:paraId="3CD58CCF" w14:textId="77777777" w:rsidR="00704F40" w:rsidRDefault="00000000">
      <w:r>
        <w:br w:type="page"/>
      </w:r>
    </w:p>
    <w:p w14:paraId="6787B052" w14:textId="77777777" w:rsidR="00704F40" w:rsidRDefault="00000000">
      <w:pPr>
        <w:pStyle w:val="1"/>
      </w:pPr>
      <w:r>
        <w:lastRenderedPageBreak/>
        <w:t>五、商业模式与市场规模</w:t>
      </w:r>
    </w:p>
    <w:p w14:paraId="5B8432CC" w14:textId="77777777" w:rsidR="00704F40" w:rsidRDefault="00704F40">
      <w:pPr>
        <w:pBdr>
          <w:bottom w:val="single" w:sz="4" w:space="1" w:color="2E6BAC"/>
        </w:pBdr>
        <w:spacing w:before="100" w:after="100"/>
      </w:pPr>
    </w:p>
    <w:p w14:paraId="799DA35B" w14:textId="77777777" w:rsidR="00704F40" w:rsidRDefault="00000000">
      <w:pPr>
        <w:pStyle w:val="2"/>
      </w:pPr>
      <w:r>
        <w:t>5.1 目标用户与付费意愿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00"/>
        <w:gridCol w:w="2860"/>
      </w:tblGrid>
      <w:tr w:rsidR="00704F40" w14:paraId="6F555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0E5CD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用户群体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CBA2B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规模估计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EF584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核心痛点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D8006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付费能力</w:t>
            </w:r>
          </w:p>
        </w:tc>
      </w:tr>
      <w:tr w:rsidR="00704F40" w14:paraId="1573E6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E4FFE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散户投资者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FA38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全球5000万+加密用户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2681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防骗、保本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FE43D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低（$5-20/月）</w:t>
            </w:r>
          </w:p>
        </w:tc>
      </w:tr>
      <w:tr w:rsidR="00704F40" w14:paraId="18AE5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5780E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加密VC/机构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B789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全球数千家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D377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尽调效率、风险管理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542B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高（$500-5000/月）</w:t>
            </w:r>
          </w:p>
        </w:tc>
      </w:tr>
      <w:tr w:rsidR="00704F40" w14:paraId="1EF89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7F7C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项目方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9965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每年数万个新项目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943A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提升可信度、通过审计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4178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中高（按次付费$200-2000）</w:t>
            </w:r>
          </w:p>
        </w:tc>
      </w:tr>
      <w:tr w:rsidR="00704F40" w14:paraId="3BA88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E822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钱包/交易所/DEX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2E5E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B端集成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ADEC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为用户提供安全保障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16EE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API授权费（高额）</w:t>
            </w:r>
          </w:p>
        </w:tc>
      </w:tr>
      <w:tr w:rsidR="00704F40" w14:paraId="6A99E8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DF99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Web3保险协议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CB42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新兴市场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7182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精算风险定价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6528F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数据订阅（高额）</w:t>
            </w:r>
          </w:p>
        </w:tc>
      </w:tr>
    </w:tbl>
    <w:p w14:paraId="2D87CAAB" w14:textId="77777777" w:rsidR="00704F40" w:rsidRDefault="00704F40">
      <w:pPr>
        <w:spacing w:before="160"/>
      </w:pPr>
    </w:p>
    <w:p w14:paraId="4D76D9A3" w14:textId="77777777" w:rsidR="00704F40" w:rsidRDefault="00000000">
      <w:pPr>
        <w:pStyle w:val="2"/>
      </w:pPr>
      <w:r>
        <w:t>5.2 收入模式</w:t>
      </w:r>
    </w:p>
    <w:p w14:paraId="6388220C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Freemium模式：基础扫描免费，高级功能（详细报告、API调用、历史追踪）付费订阅</w:t>
      </w:r>
    </w:p>
    <w:p w14:paraId="788F0C69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B端API授权：按调用次数或月活计费，面向钱包、DEX、聚合器集成</w:t>
      </w:r>
    </w:p>
    <w:p w14:paraId="22DC011F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项目方尽调服务：定价$200-2000/次的专业报告，含人工复核</w:t>
      </w:r>
    </w:p>
    <w:p w14:paraId="6D23C82B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数据订阅：向VC、合规机构出售结构化风险数据集</w:t>
      </w:r>
    </w:p>
    <w:p w14:paraId="10C30585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白标服务：为交易所、钱包提供定制化风险评分系统</w:t>
      </w:r>
    </w:p>
    <w:p w14:paraId="24B78860" w14:textId="77777777" w:rsidR="00704F40" w:rsidRDefault="00000000">
      <w:pPr>
        <w:pStyle w:val="2"/>
      </w:pPr>
      <w:r>
        <w:t>5.3 市场规模估算</w:t>
      </w:r>
    </w:p>
    <w:p w14:paraId="2FF7822C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参考可比市场：Web3安全审计市场2023年规模约3亿美元，预计2028年超12亿美元（CAGR约30%）。风险评分/监控工具作为审计的上下游补充，可寻址市场（TAM）估计在3-8亿美元区间，且随着机构投资者入场（BTC ETF通过后）将加速增长。</w:t>
      </w:r>
    </w:p>
    <w:p w14:paraId="4549ADC6" w14:textId="77777777" w:rsidR="00704F40" w:rsidRDefault="00000000">
      <w:r>
        <w:br w:type="page"/>
      </w:r>
    </w:p>
    <w:p w14:paraId="369C4BF6" w14:textId="77777777" w:rsidR="00704F40" w:rsidRDefault="00000000">
      <w:pPr>
        <w:pStyle w:val="1"/>
      </w:pPr>
      <w:r>
        <w:lastRenderedPageBreak/>
        <w:t>六、挑战与风险评估</w:t>
      </w:r>
    </w:p>
    <w:p w14:paraId="251AFDB3" w14:textId="77777777" w:rsidR="00704F40" w:rsidRDefault="00704F40">
      <w:pPr>
        <w:pBdr>
          <w:bottom w:val="single" w:sz="4" w:space="1" w:color="2E6BAC"/>
        </w:pBdr>
        <w:spacing w:before="100" w:after="100"/>
      </w:pPr>
    </w:p>
    <w:p w14:paraId="178393FF" w14:textId="77777777" w:rsidR="00704F40" w:rsidRDefault="00000000">
      <w:pPr>
        <w:pStyle w:val="2"/>
      </w:pPr>
      <w:r>
        <w:t>6.1 技术挑战</w:t>
      </w:r>
    </w:p>
    <w:p w14:paraId="2DD15A8E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对抗性进化：欺诈者会针对已知检测规则调整策略（如通过代理合约隐藏危险函数），模型需持续迭代</w:t>
      </w:r>
    </w:p>
    <w:p w14:paraId="538BC6E9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误报率控制：过高的误报率会误伤合法项目，损害产品公信力；需在敏感性和特异性间精细平衡</w:t>
      </w:r>
    </w:p>
    <w:p w14:paraId="345AC3DE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数据标注质量："已死"的判定标准有争议（是价格跌90%？还是团队消失？），标注噪声影响模型精度</w:t>
      </w:r>
    </w:p>
    <w:p w14:paraId="1918F2B8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多链异构：不同区块链的数据结构、共识机制差异大，跨链统一建模成本高</w:t>
      </w:r>
    </w:p>
    <w:p w14:paraId="6D2432DD" w14:textId="77777777" w:rsidR="00704F40" w:rsidRDefault="00000000">
      <w:pPr>
        <w:pStyle w:val="2"/>
      </w:pPr>
      <w:r>
        <w:t>6.2 商业挑战</w:t>
      </w:r>
    </w:p>
    <w:p w14:paraId="20C04711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"预言家困境"：如果成功预测项目失败，可能被指控为做空或市场操纵，需谨慎处理法律边界</w:t>
      </w:r>
    </w:p>
    <w:p w14:paraId="0B73178B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竞品加速：</w:t>
      </w:r>
      <w:proofErr w:type="spellStart"/>
      <w:r>
        <w:rPr>
          <w:rFonts w:eastAsia="Arial"/>
          <w:color w:val="333333"/>
        </w:rPr>
        <w:t>CertiK</w:t>
      </w:r>
      <w:proofErr w:type="spellEnd"/>
      <w:r>
        <w:rPr>
          <w:rFonts w:eastAsia="Arial"/>
          <w:color w:val="333333"/>
        </w:rPr>
        <w:t>、</w:t>
      </w:r>
      <w:proofErr w:type="spellStart"/>
      <w:r>
        <w:rPr>
          <w:rFonts w:eastAsia="Arial"/>
          <w:color w:val="333333"/>
        </w:rPr>
        <w:t>GoPlus</w:t>
      </w:r>
      <w:proofErr w:type="spellEnd"/>
      <w:r>
        <w:rPr>
          <w:rFonts w:eastAsia="Arial"/>
          <w:color w:val="333333"/>
        </w:rPr>
        <w:t>等大型安全公司资金雄厚，可快速复制功能；需在细分市场和用户体验上建立差异化</w:t>
      </w:r>
    </w:p>
    <w:p w14:paraId="595AE418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用户教育成本：散户对风险工具的付费意愿仍低，需要通过免费流量撬动B端商业化</w:t>
      </w:r>
    </w:p>
    <w:p w14:paraId="0EED5A31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牛熊周期影响：Web3市场低迷期用户和资金大幅萎缩，需保持精简运营以跨越周期</w:t>
      </w:r>
    </w:p>
    <w:p w14:paraId="42A9CBBD" w14:textId="77777777" w:rsidR="00704F40" w:rsidRDefault="00000000">
      <w:pPr>
        <w:pStyle w:val="2"/>
      </w:pPr>
      <w:r>
        <w:t>6.3 风险缓解策略</w:t>
      </w:r>
    </w:p>
    <w:p w14:paraId="06F9E582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法律层：所有评分明确为"参考信息"而非投资建议，加入完善的免责声明；主动与律师合作定义合规边界</w:t>
      </w:r>
    </w:p>
    <w:p w14:paraId="3BE66985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技术层：建立模型版本管理和快速响应机制，新型攻击出现后2周内更新规则库</w:t>
      </w:r>
    </w:p>
    <w:p w14:paraId="116ADD20" w14:textId="77777777" w:rsidR="00704F40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商业层：早期优先服务机构用户（收入稳定），散户市场作为增长飞轮，降低对市场周期的依赖</w:t>
      </w:r>
    </w:p>
    <w:p w14:paraId="4BB1C4E1" w14:textId="77777777" w:rsidR="00704F40" w:rsidRDefault="00000000">
      <w:r>
        <w:br w:type="page"/>
      </w:r>
    </w:p>
    <w:p w14:paraId="7DDAC4AD" w14:textId="77777777" w:rsidR="00704F40" w:rsidRDefault="00000000">
      <w:pPr>
        <w:pStyle w:val="1"/>
      </w:pPr>
      <w:r>
        <w:lastRenderedPageBreak/>
        <w:t>七、综合评估与结论</w:t>
      </w:r>
    </w:p>
    <w:p w14:paraId="4CB811FD" w14:textId="77777777" w:rsidR="00704F40" w:rsidRDefault="00704F40">
      <w:pPr>
        <w:pBdr>
          <w:bottom w:val="single" w:sz="4" w:space="1" w:color="2E6BAC"/>
        </w:pBdr>
        <w:spacing w:before="100" w:after="100"/>
      </w:pPr>
    </w:p>
    <w:p w14:paraId="4C96FB63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综合市场现状、技术可行性、竞争格局和商业模式，以下是对这一方向的客观评估：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704F40" w14:paraId="07A39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6F50E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评估维度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41018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判断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A6C26" w14:textId="77777777" w:rsidR="00704F4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评级</w:t>
            </w:r>
          </w:p>
        </w:tc>
      </w:tr>
      <w:tr w:rsidR="00704F40" w14:paraId="6A61A4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EF379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市场真实需求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F20EE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Web3欺诈损失年均数十亿美元，用户痛点极其真实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F183C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★★★★★</w:t>
            </w:r>
          </w:p>
        </w:tc>
      </w:tr>
      <w:tr w:rsidR="00704F40" w14:paraId="7E9B58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F4E02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数据可获取性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08853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区块链公开透明，历史数据丰富，比传统金融风控更有利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AE40C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★★★★☆</w:t>
            </w:r>
          </w:p>
        </w:tc>
      </w:tr>
      <w:tr w:rsidR="00704F40" w14:paraId="19D4B2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4022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技术可行性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2D6E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学术界已有成熟方法论，工程化实现难度中等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B1BC2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★★★★☆</w:t>
            </w:r>
          </w:p>
        </w:tc>
      </w:tr>
      <w:tr w:rsidR="00704F40" w14:paraId="431681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E7423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市场竞争强度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A220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有竞品但均有明显短板，市场未饱和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8530B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★★★☆☆</w:t>
            </w:r>
          </w:p>
        </w:tc>
      </w:tr>
      <w:tr w:rsidR="00704F40" w14:paraId="4C0A9B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27298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商业化路径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31001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B端API + 订阅双轨，路径清晰但规模化需时间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9C795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★★★★☆</w:t>
            </w:r>
          </w:p>
        </w:tc>
      </w:tr>
      <w:tr w:rsidR="00704F40" w14:paraId="2F8FD6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9D846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团队壁垒要求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AE54D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需同时具备区块链、ML、安全审计知识，跨学科门槛高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B75B7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★★★☆☆</w:t>
            </w:r>
          </w:p>
        </w:tc>
      </w:tr>
      <w:tr w:rsidR="00704F40" w14:paraId="73D703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44B9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整体评级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39F84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值得投入，建议MVP验证后再大规模投入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B5A60" w14:textId="77777777" w:rsidR="00704F40" w:rsidRDefault="00000000">
            <w:r>
              <w:rPr>
                <w:rFonts w:eastAsia="Arial"/>
                <w:color w:val="333333"/>
                <w:sz w:val="20"/>
                <w:szCs w:val="20"/>
              </w:rPr>
              <w:t>推荐</w:t>
            </w:r>
          </w:p>
        </w:tc>
      </w:tr>
    </w:tbl>
    <w:p w14:paraId="1AAA1076" w14:textId="77777777" w:rsidR="00704F40" w:rsidRDefault="00704F40">
      <w:pPr>
        <w:spacing w:before="200"/>
      </w:pPr>
    </w:p>
    <w:p w14:paraId="09463F62" w14:textId="77777777" w:rsidR="00704F40" w:rsidRDefault="00000000">
      <w:pPr>
        <w:pStyle w:val="2"/>
      </w:pPr>
      <w:r>
        <w:t>核心结论</w:t>
      </w:r>
    </w:p>
    <w:p w14:paraId="66FA5523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Web3废弃项目数据具有极高的分析和商业价值——它是目前少数几个既公开透明、又有明确结果标注的金融风险数据集之一。基于此构建的风险预测工具，填补了市场上"预测性、多维度、消费级"工具的空白，商业前景客观存在。</w:t>
      </w:r>
    </w:p>
    <w:p w14:paraId="2CA104F2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建议的切入策略是：以开源+免费的MVP迅速获取用户和数据反馈，同时以B端API服务优先实现商业化，避免过早依赖散户付费意愿。技术上，重点投入"合约代码+链上行为"双维度融合模型，这是当前最具区分度的预测方向，也是学术界已验证的有效路径。</w:t>
      </w:r>
    </w:p>
    <w:p w14:paraId="38477A9A" w14:textId="77777777" w:rsidR="00704F40" w:rsidRDefault="00000000">
      <w:pPr>
        <w:spacing w:before="80" w:after="120"/>
      </w:pPr>
      <w:r>
        <w:rPr>
          <w:rFonts w:eastAsia="Arial"/>
          <w:color w:val="333333"/>
        </w:rPr>
        <w:t>最大的风险不在于技术，而在于持续迭代能力（对抗欺诈者的策略演化）和跨越熊市周期的运营韧性。</w:t>
      </w:r>
    </w:p>
    <w:p w14:paraId="293732C0" w14:textId="77777777" w:rsidR="00704F40" w:rsidRDefault="00704F40">
      <w:pPr>
        <w:pBdr>
          <w:bottom w:val="single" w:sz="4" w:space="1" w:color="2E6BAC"/>
        </w:pBdr>
        <w:spacing w:before="100" w:after="100"/>
      </w:pPr>
    </w:p>
    <w:p w14:paraId="45A2AA32" w14:textId="77777777" w:rsidR="00704F40" w:rsidRDefault="00000000">
      <w:pPr>
        <w:spacing w:before="200" w:after="6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本报告基于截至2026年2月的公开市场数据和学术研究，仅供参考，不构成投资建议。</w:t>
      </w:r>
    </w:p>
    <w:sectPr w:rsidR="00704F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F1072"/>
    <w:multiLevelType w:val="hybridMultilevel"/>
    <w:tmpl w:val="42CE5A38"/>
    <w:lvl w:ilvl="0" w:tplc="8BE0760A">
      <w:start w:val="1"/>
      <w:numFmt w:val="bullet"/>
      <w:lvlText w:val="•"/>
      <w:lvlJc w:val="left"/>
      <w:pPr>
        <w:ind w:left="720" w:hanging="360"/>
      </w:pPr>
    </w:lvl>
    <w:lvl w:ilvl="1" w:tplc="01F8C896">
      <w:numFmt w:val="decimal"/>
      <w:lvlText w:val=""/>
      <w:lvlJc w:val="left"/>
    </w:lvl>
    <w:lvl w:ilvl="2" w:tplc="D078117A">
      <w:numFmt w:val="decimal"/>
      <w:lvlText w:val=""/>
      <w:lvlJc w:val="left"/>
    </w:lvl>
    <w:lvl w:ilvl="3" w:tplc="F3966118">
      <w:numFmt w:val="decimal"/>
      <w:lvlText w:val=""/>
      <w:lvlJc w:val="left"/>
    </w:lvl>
    <w:lvl w:ilvl="4" w:tplc="5FE2DAD0">
      <w:numFmt w:val="decimal"/>
      <w:lvlText w:val=""/>
      <w:lvlJc w:val="left"/>
    </w:lvl>
    <w:lvl w:ilvl="5" w:tplc="D758F072">
      <w:numFmt w:val="decimal"/>
      <w:lvlText w:val=""/>
      <w:lvlJc w:val="left"/>
    </w:lvl>
    <w:lvl w:ilvl="6" w:tplc="CCD83664">
      <w:numFmt w:val="decimal"/>
      <w:lvlText w:val=""/>
      <w:lvlJc w:val="left"/>
    </w:lvl>
    <w:lvl w:ilvl="7" w:tplc="E2F44A04">
      <w:numFmt w:val="decimal"/>
      <w:lvlText w:val=""/>
      <w:lvlJc w:val="left"/>
    </w:lvl>
    <w:lvl w:ilvl="8" w:tplc="141E015E">
      <w:numFmt w:val="decimal"/>
      <w:lvlText w:val=""/>
      <w:lvlJc w:val="left"/>
    </w:lvl>
  </w:abstractNum>
  <w:abstractNum w:abstractNumId="1" w15:restartNumberingAfterBreak="0">
    <w:nsid w:val="5FD370D4"/>
    <w:multiLevelType w:val="hybridMultilevel"/>
    <w:tmpl w:val="8D92ADB0"/>
    <w:lvl w:ilvl="0" w:tplc="C69257AC">
      <w:start w:val="1"/>
      <w:numFmt w:val="bullet"/>
      <w:lvlText w:val="●"/>
      <w:lvlJc w:val="left"/>
      <w:pPr>
        <w:ind w:left="720" w:hanging="360"/>
      </w:pPr>
    </w:lvl>
    <w:lvl w:ilvl="1" w:tplc="D73C9CE0">
      <w:start w:val="1"/>
      <w:numFmt w:val="bullet"/>
      <w:lvlText w:val="○"/>
      <w:lvlJc w:val="left"/>
      <w:pPr>
        <w:ind w:left="1440" w:hanging="360"/>
      </w:pPr>
    </w:lvl>
    <w:lvl w:ilvl="2" w:tplc="C40234D0">
      <w:start w:val="1"/>
      <w:numFmt w:val="bullet"/>
      <w:lvlText w:val="■"/>
      <w:lvlJc w:val="left"/>
      <w:pPr>
        <w:ind w:left="2160" w:hanging="360"/>
      </w:pPr>
    </w:lvl>
    <w:lvl w:ilvl="3" w:tplc="7CD20E84">
      <w:start w:val="1"/>
      <w:numFmt w:val="bullet"/>
      <w:lvlText w:val="●"/>
      <w:lvlJc w:val="left"/>
      <w:pPr>
        <w:ind w:left="2880" w:hanging="360"/>
      </w:pPr>
    </w:lvl>
    <w:lvl w:ilvl="4" w:tplc="3612E314">
      <w:start w:val="1"/>
      <w:numFmt w:val="bullet"/>
      <w:lvlText w:val="○"/>
      <w:lvlJc w:val="left"/>
      <w:pPr>
        <w:ind w:left="3600" w:hanging="360"/>
      </w:pPr>
    </w:lvl>
    <w:lvl w:ilvl="5" w:tplc="2342FE16">
      <w:start w:val="1"/>
      <w:numFmt w:val="bullet"/>
      <w:lvlText w:val="■"/>
      <w:lvlJc w:val="left"/>
      <w:pPr>
        <w:ind w:left="4320" w:hanging="360"/>
      </w:pPr>
    </w:lvl>
    <w:lvl w:ilvl="6" w:tplc="209EA322">
      <w:start w:val="1"/>
      <w:numFmt w:val="bullet"/>
      <w:lvlText w:val="●"/>
      <w:lvlJc w:val="left"/>
      <w:pPr>
        <w:ind w:left="5040" w:hanging="360"/>
      </w:pPr>
    </w:lvl>
    <w:lvl w:ilvl="7" w:tplc="FA4E2612">
      <w:start w:val="1"/>
      <w:numFmt w:val="bullet"/>
      <w:lvlText w:val="●"/>
      <w:lvlJc w:val="left"/>
      <w:pPr>
        <w:ind w:left="5760" w:hanging="360"/>
      </w:pPr>
    </w:lvl>
    <w:lvl w:ilvl="8" w:tplc="07EE9CD4">
      <w:start w:val="1"/>
      <w:numFmt w:val="bullet"/>
      <w:lvlText w:val="●"/>
      <w:lvlJc w:val="left"/>
      <w:pPr>
        <w:ind w:left="6480" w:hanging="360"/>
      </w:pPr>
    </w:lvl>
  </w:abstractNum>
  <w:num w:numId="1" w16cid:durableId="225143308">
    <w:abstractNumId w:val="1"/>
    <w:lvlOverride w:ilvl="0">
      <w:startOverride w:val="1"/>
    </w:lvlOverride>
  </w:num>
  <w:num w:numId="2" w16cid:durableId="831985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F40"/>
    <w:rsid w:val="003D6405"/>
    <w:rsid w:val="00704F40"/>
    <w:rsid w:val="00D4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6245E"/>
  <w15:docId w15:val="{54807354-8E1F-E74A-8F08-392DAEEB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6BAC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fraps</cp:lastModifiedBy>
  <cp:revision>2</cp:revision>
  <dcterms:created xsi:type="dcterms:W3CDTF">2026-02-24T10:23:00Z</dcterms:created>
  <dcterms:modified xsi:type="dcterms:W3CDTF">2026-02-24T10:23:00Z</dcterms:modified>
</cp:coreProperties>
</file>