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</w:p>
    <w:p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hint="eastAsia" w:eastAsia="方正小标宋简体"/>
          <w:sz w:val="44"/>
          <w:szCs w:val="44"/>
        </w:rPr>
        <w:t>2020年新工科联盟-Xilinx暑期学校团队项目进度统计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（项目状态需要每天填写，请在当天20:</w:t>
      </w:r>
      <w:r>
        <w:rPr>
          <w:color w:val="FF0000"/>
        </w:rPr>
        <w:t>00</w:t>
      </w:r>
      <w:r>
        <w:rPr>
          <w:rFonts w:hint="eastAsia"/>
          <w:color w:val="FF0000"/>
        </w:rPr>
        <w:t>前将填写完毕的文件提交给本班助教。请助教同学21</w:t>
      </w:r>
      <w:r>
        <w:rPr>
          <w:color w:val="FF0000"/>
        </w:rPr>
        <w:t>:00</w:t>
      </w:r>
      <w:r>
        <w:rPr>
          <w:rFonts w:hint="eastAsia"/>
          <w:color w:val="FF0000"/>
        </w:rPr>
        <w:t>前上传本班级的报告到班级的腾讯文档目录，并填写实验报告提交状态表。）</w:t>
      </w:r>
    </w:p>
    <w:p>
      <w:pPr>
        <w:snapToGrid w:val="0"/>
        <w:spacing w:line="336" w:lineRule="auto"/>
        <w:jc w:val="center"/>
        <w:rPr>
          <w:rFonts w:eastAsia="黑体"/>
          <w:spacing w:val="20"/>
          <w:sz w:val="32"/>
          <w:szCs w:val="32"/>
        </w:rPr>
      </w:pPr>
    </w:p>
    <w:p>
      <w:pPr>
        <w:widowControl/>
        <w:jc w:val="left"/>
        <w:rPr>
          <w:rFonts w:eastAsia="黑体"/>
          <w:spacing w:val="32"/>
          <w:sz w:val="36"/>
        </w:rPr>
      </w:pPr>
      <w:r>
        <w:rPr>
          <w:rFonts w:eastAsia="黑体"/>
          <w:spacing w:val="32"/>
          <w:sz w:val="36"/>
        </w:rPr>
        <w:br w:type="page"/>
      </w:r>
    </w:p>
    <w:p>
      <w:pPr>
        <w:widowControl/>
        <w:jc w:val="center"/>
        <w:rPr>
          <w:rFonts w:eastAsia="黑体"/>
          <w:spacing w:val="32"/>
          <w:sz w:val="36"/>
        </w:rPr>
      </w:pPr>
      <w:r>
        <w:rPr>
          <w:rFonts w:hint="eastAsia" w:eastAsia="黑体"/>
          <w:spacing w:val="32"/>
          <w:sz w:val="36"/>
        </w:rPr>
        <w:t>填写说明</w:t>
      </w:r>
    </w:p>
    <w:p>
      <w:pPr>
        <w:spacing w:line="500" w:lineRule="exact"/>
        <w:jc w:val="center"/>
        <w:rPr>
          <w:rFonts w:eastAsia="黑体"/>
          <w:sz w:val="36"/>
        </w:rPr>
      </w:pPr>
    </w:p>
    <w:p>
      <w:pPr>
        <w:spacing w:line="48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一、申报表要按照要求逐项认真填写，填写内容必须实事求是表述准确严谨。空缺项要填</w:t>
      </w:r>
      <w:r>
        <w:rPr>
          <w:sz w:val="24"/>
        </w:rPr>
        <w:t>“</w:t>
      </w:r>
      <w:r>
        <w:rPr>
          <w:rFonts w:hint="eastAsia"/>
          <w:sz w:val="24"/>
        </w:rPr>
        <w:t>无</w:t>
      </w:r>
      <w:r>
        <w:rPr>
          <w:sz w:val="24"/>
        </w:rPr>
        <w:t>”</w:t>
      </w:r>
      <w:r>
        <w:rPr>
          <w:rFonts w:hint="eastAsia"/>
          <w:sz w:val="24"/>
        </w:rPr>
        <w:t>。</w:t>
      </w:r>
    </w:p>
    <w:p>
      <w:pPr>
        <w:spacing w:line="480" w:lineRule="auto"/>
        <w:ind w:left="107" w:leftChars="51" w:right="226" w:firstLine="360" w:firstLineChars="150"/>
        <w:rPr>
          <w:sz w:val="24"/>
        </w:rPr>
      </w:pPr>
      <w:r>
        <w:rPr>
          <w:rFonts w:hint="eastAsia"/>
          <w:sz w:val="24"/>
        </w:rPr>
        <w:t>二、表格栏高不够可增加。</w:t>
      </w:r>
    </w:p>
    <w:p>
      <w:pPr>
        <w:spacing w:line="480" w:lineRule="auto"/>
        <w:ind w:left="107" w:leftChars="51" w:right="226" w:firstLine="360" w:firstLineChars="150"/>
        <w:rPr>
          <w:rFonts w:eastAsia="黑体"/>
          <w:sz w:val="32"/>
          <w:szCs w:val="32"/>
        </w:rPr>
      </w:pPr>
      <w:r>
        <w:rPr>
          <w:rFonts w:hint="eastAsia"/>
          <w:sz w:val="24"/>
        </w:rPr>
        <w:t>三、填报者须注意页面的排版。</w:t>
      </w: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widowControl/>
        <w:spacing w:line="336" w:lineRule="auto"/>
        <w:jc w:val="left"/>
        <w:rPr>
          <w:rFonts w:eastAsia="黑体"/>
          <w:sz w:val="32"/>
          <w:szCs w:val="32"/>
        </w:rPr>
        <w:sectPr>
          <w:headerReference r:id="rId4" w:type="first"/>
          <w:footerReference r:id="rId5" w:type="default"/>
          <w:headerReference r:id="rId3" w:type="even"/>
          <w:pgSz w:w="11906" w:h="16838"/>
          <w:pgMar w:top="2098" w:right="1531" w:bottom="1985" w:left="1531" w:header="851" w:footer="992" w:gutter="0"/>
          <w:pgNumType w:fmt="numberInDash"/>
          <w:cols w:space="720" w:num="1"/>
          <w:titlePg/>
          <w:docGrid w:type="linesAndChars" w:linePitch="312" w:charSpace="0"/>
        </w:sectPr>
      </w:pPr>
    </w:p>
    <w:p>
      <w:pPr>
        <w:snapToGrid w:val="0"/>
        <w:spacing w:line="336" w:lineRule="auto"/>
        <w:jc w:val="center"/>
        <w:rPr>
          <w:rFonts w:eastAsia="黑体"/>
          <w:sz w:val="32"/>
          <w:szCs w:val="32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一、项目信息</w:t>
      </w:r>
    </w:p>
    <w:tbl>
      <w:tblPr>
        <w:tblStyle w:val="5"/>
        <w:tblW w:w="94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779"/>
        <w:gridCol w:w="1560"/>
        <w:gridCol w:w="1506"/>
        <w:gridCol w:w="2463"/>
        <w:gridCol w:w="2386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eastAsia="黑体"/>
                <w:sz w:val="32"/>
                <w:szCs w:val="32"/>
              </w:rPr>
              <w:br w:type="page"/>
            </w: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摇摇乐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hint="eastAsia"/>
                <w:b/>
                <w:sz w:val="24"/>
              </w:rPr>
              <w:t>平台型号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i/>
                <w:sz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xc7s15ftgb196-1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529" w:hRule="atLeast"/>
        </w:trPr>
        <w:tc>
          <w:tcPr>
            <w:tcW w:w="149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Github链接</w:t>
            </w:r>
          </w:p>
        </w:tc>
        <w:tc>
          <w:tcPr>
            <w:tcW w:w="79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56" w:beforeLines="50"/>
            </w:pPr>
            <w:r>
              <w:rPr>
                <w:rFonts w:hint="default"/>
                <w:i/>
                <w:szCs w:val="21"/>
              </w:rPr>
              <w:t>https://github.com/yangyvliyaqiong/2020-New-Engineering-Alliance-Xilinx-summer-school-project.git</w:t>
            </w:r>
          </w:p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团队成员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暑期学校学号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杨雨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通信专业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2018112740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李亚琼</w:t>
            </w: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西南交通大学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通信专业</w:t>
            </w: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2018112793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7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77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spacing w:before="156" w:beforeLines="50"/>
        <w:rPr>
          <w:b/>
          <w:sz w:val="24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</w:p>
    <w:p>
      <w:pPr>
        <w:spacing w:before="156" w:beforeLines="50"/>
        <w:ind w:left="-420" w:leftChars="-200"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二、项目状态</w:t>
      </w:r>
    </w:p>
    <w:tbl>
      <w:tblPr>
        <w:tblStyle w:val="6"/>
        <w:tblW w:w="5573" w:type="pct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2694"/>
        <w:gridCol w:w="2599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1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已完成内容</w:t>
            </w:r>
          </w:p>
        </w:tc>
        <w:tc>
          <w:tcPr>
            <w:tcW w:w="136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明天计划</w:t>
            </w:r>
          </w:p>
        </w:tc>
        <w:tc>
          <w:tcPr>
            <w:tcW w:w="1468" w:type="pct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遇到的问题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07-27</w:t>
            </w:r>
          </w:p>
        </w:tc>
        <w:tc>
          <w:tcPr>
            <w:tcW w:w="1418" w:type="pct"/>
          </w:tcPr>
          <w:p>
            <w:r>
              <w:rPr>
                <w:rFonts w:ascii="宋体" w:hAnsi="宋体" w:eastAsia="宋体" w:cs="宋体"/>
                <w:sz w:val="21"/>
                <w:szCs w:val="21"/>
              </w:rPr>
              <w:t>查阅资料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并构思</w:t>
            </w:r>
            <w:r>
              <w:rPr>
                <w:rFonts w:ascii="宋体" w:hAnsi="宋体" w:eastAsia="宋体" w:cs="宋体"/>
                <w:sz w:val="21"/>
                <w:szCs w:val="21"/>
              </w:rPr>
              <w:t>代码，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已经</w:t>
            </w:r>
            <w:r>
              <w:rPr>
                <w:rFonts w:ascii="宋体" w:hAnsi="宋体" w:eastAsia="宋体" w:cs="宋体"/>
                <w:sz w:val="21"/>
                <w:szCs w:val="21"/>
              </w:rPr>
              <w:t>构思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出</w:t>
            </w:r>
            <w:r>
              <w:rPr>
                <w:rFonts w:ascii="宋体" w:hAnsi="宋体" w:eastAsia="宋体" w:cs="宋体"/>
                <w:sz w:val="21"/>
                <w:szCs w:val="21"/>
              </w:rPr>
              <w:t>了代码框架，有了几本结构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在框架基础上编写代码，进行填充，并不断完善结构</w:t>
            </w:r>
          </w:p>
        </w:tc>
        <w:tc>
          <w:tcPr>
            <w:tcW w:w="14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查阅了一些资料以后也只是能够很粗率的给出代码框架，内容不够完善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07-28</w:t>
            </w:r>
          </w:p>
        </w:tc>
        <w:tc>
          <w:tcPr>
            <w:tcW w:w="1418" w:type="pct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讨论并编写了</w:t>
            </w:r>
            <w:r>
              <w:rPr>
                <w:rFonts w:hint="eastAsia"/>
                <w:lang w:val="en-US" w:eastAsia="zh-CN"/>
              </w:rPr>
              <w:t>第</w:t>
            </w:r>
            <w:r>
              <w:rPr>
                <w:rFonts w:hint="eastAsia"/>
                <w:lang w:eastAsia="zh-CN"/>
              </w:rPr>
              <w:t>一部分代码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继续编写代码，完成第二部分</w:t>
            </w:r>
          </w:p>
        </w:tc>
        <w:tc>
          <w:tcPr>
            <w:tcW w:w="1468" w:type="pct"/>
          </w:tcPr>
          <w:p>
            <w:r>
              <w:rPr>
                <w:rFonts w:hint="eastAsia"/>
                <w:lang w:eastAsia="zh-CN"/>
              </w:rPr>
              <w:t>低通滤波器代码的编写有些不太懂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07-29</w:t>
            </w:r>
          </w:p>
        </w:tc>
        <w:tc>
          <w:tcPr>
            <w:tcW w:w="1418" w:type="pct"/>
          </w:tcPr>
          <w:p>
            <w:pPr>
              <w:tabs>
                <w:tab w:val="left" w:pos="715"/>
              </w:tabs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继续讨论代码编写，讨论低通滤波器的编写和用处，优化低通滤波器做到更加精准的计算转动浮动，提高精确度</w:t>
            </w:r>
          </w:p>
        </w:tc>
        <w:tc>
          <w:tcPr>
            <w:tcW w:w="1368" w:type="pct"/>
          </w:tcPr>
          <w:p>
            <w:r>
              <w:rPr>
                <w:rFonts w:ascii="宋体" w:hAnsi="宋体" w:eastAsia="宋体" w:cs="宋体"/>
                <w:sz w:val="21"/>
                <w:szCs w:val="21"/>
              </w:rPr>
              <w:t>将低通滤波器加入到项目中，优化代码，检查错误，进行部分仿真查看</w:t>
            </w:r>
          </w:p>
        </w:tc>
        <w:tc>
          <w:tcPr>
            <w:tcW w:w="1468" w:type="pct"/>
          </w:tcPr>
          <w:p>
            <w:r>
              <w:rPr>
                <w:rFonts w:ascii="宋体" w:hAnsi="宋体" w:eastAsia="宋体" w:cs="宋体"/>
                <w:sz w:val="21"/>
                <w:szCs w:val="21"/>
              </w:rPr>
              <w:t>优化方法有待讨论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07-30</w:t>
            </w:r>
          </w:p>
        </w:tc>
        <w:tc>
          <w:tcPr>
            <w:tcW w:w="141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编写最后一部分代码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在AWS平台进行监测</w:t>
            </w:r>
          </w:p>
        </w:tc>
        <w:tc>
          <w:tcPr>
            <w:tcW w:w="14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07-31</w:t>
            </w:r>
          </w:p>
        </w:tc>
        <w:tc>
          <w:tcPr>
            <w:tcW w:w="141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继续讨论编写代码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完善代码</w:t>
            </w:r>
          </w:p>
        </w:tc>
        <w:tc>
          <w:tcPr>
            <w:tcW w:w="14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对部分代码把握不准，有些混乱，对AWS的使用把握不准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r>
              <w:rPr>
                <w:rFonts w:hint="eastAsia"/>
              </w:rPr>
              <w:t>08-01</w:t>
            </w:r>
          </w:p>
        </w:tc>
        <w:tc>
          <w:tcPr>
            <w:tcW w:w="1418" w:type="pct"/>
          </w:tcPr>
          <w:p>
            <w:pPr>
              <w:spacing w:after="240" w:afterAutospacing="0"/>
              <w:rPr>
                <w:rFonts w:hint="eastAsia" w:eastAsia="宋体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完成ardunio与esp32的连接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调试了串口监视器</w:t>
            </w:r>
          </w:p>
        </w:tc>
        <w:tc>
          <w:tcPr>
            <w:tcW w:w="13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继续连接AWS</w:t>
            </w:r>
          </w:p>
        </w:tc>
        <w:tc>
          <w:tcPr>
            <w:tcW w:w="1468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代码运行出现错误，功能无法实现，AWS无法连接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08-02</w:t>
            </w:r>
          </w:p>
        </w:tc>
        <w:tc>
          <w:tcPr>
            <w:tcW w:w="1418" w:type="pct"/>
          </w:tcPr>
          <w:p>
            <w:pPr>
              <w:spacing w:after="240" w:afterAutospacing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打开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ws检测数据</w:t>
            </w:r>
          </w:p>
        </w:tc>
        <w:tc>
          <w:tcPr>
            <w:tcW w:w="1368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可以在MQTT上看到原始数据</w:t>
            </w:r>
          </w:p>
        </w:tc>
        <w:tc>
          <w:tcPr>
            <w:tcW w:w="1468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aws</w:t>
            </w:r>
            <w:r>
              <w:rPr>
                <w:rFonts w:ascii="宋体" w:hAnsi="宋体" w:eastAsia="宋体" w:cs="宋体"/>
                <w:sz w:val="24"/>
                <w:szCs w:val="24"/>
              </w:rPr>
              <w:t>看不</w:t>
            </w:r>
            <w:bookmarkStart w:id="2" w:name="_GoBack"/>
            <w:bookmarkEnd w:id="2"/>
            <w:r>
              <w:rPr>
                <w:rFonts w:ascii="宋体" w:hAnsi="宋体" w:eastAsia="宋体" w:cs="宋体"/>
                <w:sz w:val="24"/>
                <w:szCs w:val="24"/>
              </w:rPr>
              <w:t>到数据</w:t>
            </w:r>
          </w:p>
        </w:tc>
      </w:tr>
    </w:tbl>
    <w:p/>
    <w:sectPr>
      <w:headerReference r:id="rId8" w:type="first"/>
      <w:headerReference r:id="rId6" w:type="default"/>
      <w:footerReference r:id="rId9" w:type="default"/>
      <w:headerReference r:id="rId7" w:type="even"/>
      <w:footerReference r:id="rId10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0" w:name="XILINX1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0"/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000000"/>
        <w:sz w:val="20"/>
      </w:rPr>
    </w:pPr>
    <w:bookmarkStart w:id="1" w:name="XILINX2FooterPrimary"/>
    <w:r>
      <w:rPr>
        <w:rFonts w:hint="eastAsia" w:ascii="Arial" w:hAnsi="Arial" w:cs="Arial"/>
        <w:color w:val="000000"/>
        <w:sz w:val="20"/>
      </w:rPr>
      <w:t>©</w:t>
    </w:r>
    <w:r>
      <w:rPr>
        <w:rFonts w:ascii="Arial" w:hAnsi="Arial" w:cs="Arial"/>
        <w:color w:val="000000"/>
        <w:sz w:val="20"/>
      </w:rPr>
      <w:t xml:space="preserve"> Copyright 2020 Xilinx</w:t>
    </w:r>
  </w:p>
  <w:bookmarkEnd w:id="1"/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2020年新工科联盟-Xilinx暑期学校团队项目策划书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evenAndOddHeaders w:val="1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2971"/>
    <w:rsid w:val="0978643E"/>
    <w:rsid w:val="0A0F2049"/>
    <w:rsid w:val="0B657507"/>
    <w:rsid w:val="166B5B18"/>
    <w:rsid w:val="190E1514"/>
    <w:rsid w:val="1AF059D2"/>
    <w:rsid w:val="1F1D05BA"/>
    <w:rsid w:val="36763A9F"/>
    <w:rsid w:val="36921474"/>
    <w:rsid w:val="3A311659"/>
    <w:rsid w:val="3CB67336"/>
    <w:rsid w:val="428D33E4"/>
    <w:rsid w:val="45FD15CF"/>
    <w:rsid w:val="49C91A08"/>
    <w:rsid w:val="668234CD"/>
    <w:rsid w:val="74487371"/>
    <w:rsid w:val="775C7CBC"/>
    <w:rsid w:val="77EC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7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Header Char_d0b04d51-07cf-4767-92be-bf6f030aa54c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oter Char_e5b88f9e-cea6-48bd-86c2-91d8a94f9833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395</Words>
  <Characters>626</Characters>
  <Paragraphs>131</Paragraphs>
  <TotalTime>42</TotalTime>
  <ScaleCrop>false</ScaleCrop>
  <LinksUpToDate>false</LinksUpToDate>
  <CharactersWithSpaces>632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2019-07-09T01:36:00Z</dcterms:created>
  <dc:creator>drs</dc:creator>
  <cp:keywords>Public, , , , , , , , ,</cp:keywords>
  <cp:lastModifiedBy>jam果酱</cp:lastModifiedBy>
  <dcterms:modified xsi:type="dcterms:W3CDTF">2020-08-02T08:35:57Z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4646446c-6db6-4e19-a445-02cf8c452260</vt:lpwstr>
  </property>
  <property fmtid="{D5CDD505-2E9C-101B-9397-08002B2CF9AE}" pid="3" name="XilinxPublication Year">
    <vt:lpwstr>2020</vt:lpwstr>
  </property>
  <property fmtid="{D5CDD505-2E9C-101B-9397-08002B2CF9AE}" pid="4" name="XilinxVisual Markings">
    <vt:lpwstr>Yes</vt:lpwstr>
  </property>
  <property fmtid="{D5CDD505-2E9C-101B-9397-08002B2CF9AE}" pid="5" name="XilinxAdditional Classifications">
    <vt:lpwstr/>
  </property>
  <property fmtid="{D5CDD505-2E9C-101B-9397-08002B2CF9AE}" pid="6" name="XilinxDevelopment Projects">
    <vt:lpwstr/>
  </property>
  <property fmtid="{D5CDD505-2E9C-101B-9397-08002B2CF9AE}" pid="7" name="XilinxThird Party">
    <vt:lpwstr/>
  </property>
  <property fmtid="{D5CDD505-2E9C-101B-9397-08002B2CF9AE}" pid="8" name="XilinxExport Control">
    <vt:lpwstr/>
  </property>
  <property fmtid="{D5CDD505-2E9C-101B-9397-08002B2CF9AE}" pid="9" name="XilinxNote (Line 2)">
    <vt:lpwstr/>
  </property>
  <property fmtid="{D5CDD505-2E9C-101B-9397-08002B2CF9AE}" pid="10" name="XilinxClassification">
    <vt:lpwstr>Public</vt:lpwstr>
  </property>
  <property fmtid="{D5CDD505-2E9C-101B-9397-08002B2CF9AE}" pid="11" name="VisualMarkings">
    <vt:lpwstr>Yes</vt:lpwstr>
  </property>
  <property fmtid="{D5CDD505-2E9C-101B-9397-08002B2CF9AE}" pid="12" name="PublicationYear">
    <vt:lpwstr>2020</vt:lpwstr>
  </property>
  <property fmtid="{D5CDD505-2E9C-101B-9397-08002B2CF9AE}" pid="13" name="KSOProductBuildVer">
    <vt:lpwstr>2052-11.1.0.9828</vt:lpwstr>
  </property>
</Properties>
</file>