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tbl>
      <w:tblPr>
        <w:tblStyle w:val="2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193"/>
        <w:gridCol w:w="1193"/>
        <w:gridCol w:w="1193"/>
        <w:gridCol w:w="1193"/>
        <w:gridCol w:w="1193"/>
        <w:gridCol w:w="1193"/>
        <w:gridCol w:w="1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岩土层分布（从上至下）及分布特征序号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土层名称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厚度(m)</w:t>
            </w:r>
            <w:r>
              <w:rPr>
                <w:rFonts w:ascii="宋体" w:hAnsi="宋体" w:eastAsia="宋体" w:cs="宋体"/>
                <w:u w:color="auto"/>
              </w:rPr>
              <w:br w:type="textWrapping"/>
            </w:r>
            <w:r>
              <w:rPr>
                <w:rFonts w:ascii="宋体" w:hAnsi="宋体" w:eastAsia="宋体" w:cs="宋体"/>
                <w:u w:color="auto"/>
              </w:rPr>
              <w:t>h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重度(kN/m3)</w:t>
            </w:r>
            <w:r>
              <w:rPr>
                <w:rFonts w:ascii="宋体" w:hAnsi="宋体" w:eastAsia="宋体" w:cs="宋体"/>
                <w:u w:color="auto"/>
              </w:rPr>
              <w:br w:type="textWrapping"/>
            </w:r>
            <w:r>
              <w:rPr>
                <w:rFonts w:ascii="宋体" w:hAnsi="宋体" w:eastAsia="宋体" w:cs="宋体"/>
                <w:u w:color="auto"/>
              </w:rPr>
              <w:t>γ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黏聚力(kPa)</w:t>
            </w:r>
            <w:r>
              <w:rPr>
                <w:rFonts w:ascii="宋体" w:hAnsi="宋体" w:eastAsia="宋体" w:cs="宋体"/>
                <w:u w:color="auto"/>
              </w:rPr>
              <w:br w:type="textWrapping"/>
            </w:r>
            <w:r>
              <w:rPr>
                <w:rFonts w:ascii="宋体" w:hAnsi="宋体" w:eastAsia="宋体" w:cs="宋体"/>
                <w:u w:color="auto"/>
              </w:rPr>
              <w:t>c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内摩擦角(°)</w:t>
            </w:r>
            <w:r>
              <w:rPr>
                <w:rFonts w:ascii="宋体" w:hAnsi="宋体" w:eastAsia="宋体" w:cs="宋体"/>
                <w:u w:color="auto"/>
              </w:rPr>
              <w:br w:type="textWrapping"/>
            </w:r>
            <w:r>
              <w:rPr>
                <w:rFonts w:ascii="宋体" w:hAnsi="宋体" w:eastAsia="宋体" w:cs="宋体"/>
                <w:u w:color="auto"/>
              </w:rPr>
              <w:t>Ψ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计算方式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1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人工填土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1.2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18.0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5.7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13.5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水土合算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2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淤泥质粉质黏土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5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17.8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8.2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9.6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水土合算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3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粉质黏土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3.8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20.0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14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16.2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水土分算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4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黏性土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7.4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20.5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22</w:t>
            </w:r>
          </w:p>
        </w:tc>
        <w:tc>
          <w:tcPr>
            <w:tcW w:w="700" w:type="pct"/>
          </w:tcPr>
          <w:p>
            <w:r>
              <w:rPr>
                <w:rFonts w:ascii="宋体" w:hAnsi="宋体" w:eastAsia="宋体" w:cs="宋体"/>
                <w:u w:color="auto"/>
              </w:rPr>
              <w:t>20.8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水土合算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tbl>
      <w:tblPr>
        <w:tblStyle w:val="2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1363"/>
        <w:gridCol w:w="1363"/>
        <w:gridCol w:w="1363"/>
        <w:gridCol w:w="1363"/>
        <w:gridCol w:w="1363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序号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土层名称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Ka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√Ka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Kp</w:t>
            </w:r>
          </w:p>
        </w:tc>
        <w:tc>
          <w:tcPr>
            <w:tcW w:w="1000" w:type="pct"/>
          </w:tcPr>
          <w:p>
            <w:r>
              <w:rPr>
                <w:rFonts w:ascii="宋体" w:hAnsi="宋体" w:eastAsia="宋体" w:cs="宋体"/>
                <w:u w:color="auto"/>
              </w:rPr>
              <w:t>√Kp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1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人工填土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0.62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0.79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1.61</w:t>
            </w:r>
          </w:p>
        </w:tc>
        <w:tc>
          <w:tcPr>
            <w:tcW w:w="1000" w:type="pct"/>
          </w:tcPr>
          <w:p>
            <w:r>
              <w:rPr>
                <w:rFonts w:ascii="宋体" w:hAnsi="宋体" w:eastAsia="宋体" w:cs="宋体"/>
                <w:u w:color="auto"/>
              </w:rPr>
              <w:t>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2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淤泥质粉质黏土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0.72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0.85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1.39</w:t>
            </w:r>
          </w:p>
        </w:tc>
        <w:tc>
          <w:tcPr>
            <w:tcW w:w="1000" w:type="pct"/>
          </w:tcPr>
          <w:p>
            <w:r>
              <w:rPr>
                <w:rFonts w:ascii="宋体" w:hAnsi="宋体" w:eastAsia="宋体" w:cs="宋体"/>
                <w:u w:color="auto"/>
              </w:rPr>
              <w:t>1.18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3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粉质黏土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0.56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0.75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1.77</w:t>
            </w:r>
          </w:p>
        </w:tc>
        <w:tc>
          <w:tcPr>
            <w:tcW w:w="1000" w:type="pct"/>
          </w:tcPr>
          <w:p>
            <w:r>
              <w:rPr>
                <w:rFonts w:ascii="宋体" w:hAnsi="宋体" w:eastAsia="宋体" w:cs="宋体"/>
                <w:u w:color="auto"/>
              </w:rPr>
              <w:t>1.33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4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黏性土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0.48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0.69</w:t>
            </w:r>
          </w:p>
        </w:tc>
        <w:tc>
          <w:tcPr>
            <w:tcW w:w="800" w:type="pct"/>
          </w:tcPr>
          <w:p>
            <w:r>
              <w:rPr>
                <w:rFonts w:ascii="宋体" w:hAnsi="宋体" w:eastAsia="宋体" w:cs="宋体"/>
                <w:u w:color="auto"/>
              </w:rPr>
              <w:t>2.10</w:t>
            </w:r>
          </w:p>
        </w:tc>
        <w:tc>
          <w:tcPr>
            <w:tcW w:w="1000" w:type="pct"/>
          </w:tcPr>
          <w:p>
            <w:r>
              <w:rPr>
                <w:rFonts w:ascii="宋体" w:hAnsi="宋体" w:eastAsia="宋体" w:cs="宋体"/>
                <w:u w:color="auto"/>
              </w:rPr>
              <w:t>1.45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position w:val="-16"/>
        </w:rPr>
        <w:object>
          <v:shape id="_x0000_i1025" o:spt="75" alt="" type="#_x0000_t75" style="height:22pt;width:11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position w:val="-28"/>
        </w:rPr>
        <w:object>
          <v:shape id="_x0000_i1026" o:spt="75" alt="" type="#_x0000_t75" style="height:34pt;width:10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position w:val="-16"/>
        </w:rPr>
        <w:object>
          <v:shape id="_x0000_i1027" o:spt="75" alt="" type="#_x0000_t75" style="height:22pt;width:120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position w:val="-28"/>
        </w:rPr>
        <w:object>
          <v:shape id="_x0000_i1028" o:spt="75" alt="" type="#_x0000_t75" style="height:34pt;width:10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position w:val="-12"/>
        </w:rPr>
        <w:object>
          <v:shape id="_x0000_i1029" o:spt="75" alt="" type="#_x0000_t75" style="height:18pt;width:1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position w:val="-12"/>
        </w:rPr>
        <w:object>
          <v:shape id="_x0000_i1030" o:spt="75" alt="" type="#_x0000_t75" style="height:18pt;width:1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position w:val="-12"/>
        </w:rPr>
        <w:object>
          <v:shape id="_x0000_i1031" o:spt="75" alt="" type="#_x0000_t75" style="height:18pt;width:1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position w:val="-12"/>
        </w:rPr>
        <w:object>
          <v:shape id="_x0000_i1032" o:spt="75" alt="" type="#_x0000_t75" style="height:18pt;width:1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position w:val="-14"/>
        </w:rPr>
        <w:object>
          <v:shape id="_x0000_i1033" o:spt="75" alt="" type="#_x0000_t75" style="height:19pt;width:20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position w:val="-14"/>
        </w:rPr>
        <w:object>
          <v:shape id="_x0000_i1034" o:spt="75" alt="" type="#_x0000_t75" style="height:19pt;width:2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position w:val="-14"/>
        </w:rPr>
        <w:object>
          <v:shape id="_x0000_i1035" o:spt="75" alt="" type="#_x0000_t75" style="height:19pt;width:2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position w:val="-12"/>
        </w:rPr>
        <w:object>
          <v:shape id="_x0000_i1036" o:spt="75" alt="" type="#_x0000_t75" style="height:18pt;width:13.9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position w:val="-12"/>
        </w:rPr>
        <w:object>
          <v:shape id="_x0000_i1037" o:spt="75" alt="" type="#_x0000_t75" style="height:18pt;width:1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position w:val="-14"/>
        </w:rPr>
        <w:object>
          <v:shape id="_x0000_i1038" o:spt="75" alt="" type="#_x0000_t75" style="height:19pt;width:18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u w:color="auto"/>
        </w:rPr>
        <w:t>1工况:</w:t>
      </w:r>
      <w:bookmarkStart w:id="16" w:name="_GoBack"/>
      <w:bookmarkEnd w:id="1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第</w:t>
      </w:r>
      <w:r>
        <w:rPr>
          <w:u w:color="auto"/>
        </w:rPr>
        <w:t>1工况参数表</w:t>
      </w:r>
    </w:p>
    <w:tbl>
      <w:tblPr>
        <w:tblStyle w:val="2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2540"/>
        <w:gridCol w:w="1899"/>
        <w:gridCol w:w="2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基坑挖深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7.0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均布荷载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kPa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20.0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2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坑内水位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90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10.5</w:t>
            </w:r>
          </w:p>
        </w:tc>
        <w:tc>
          <w:tcPr>
            <w:tcW w:w="1114" w:type="pct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坑外水位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473" w:type="pct"/>
          </w:tcPr>
          <w:p>
            <w:r>
              <w:rPr>
                <w:rFonts w:hint="eastAsia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22" w:type="pct"/>
          </w:tcPr>
          <w:p>
            <w:pPr>
              <w:ind w:left="0" w:leftChars="0"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支撑位置(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4077" w:type="pct"/>
            <w:gridSpan w:val="3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0.4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620"/>
      <w:bookmarkStart w:id="2" w:name="_Toc4710_WPSOffice_Level3"/>
      <w:bookmarkStart w:id="3" w:name="_Toc276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position w:val="-16"/>
        </w:rPr>
        <w:object>
          <v:shape id="_x0000_i1039" o:spt="75" alt="" type="#_x0000_t75" style="height:22pt;width:117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1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40" o:spt="75" alt="" type="#_x0000_t75" style="height:20pt;width:216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41" o:spt="75" alt="" type="#_x0000_t75" style="height:20pt;width:286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2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42" o:spt="75" alt="" type="#_x0000_t75" style="height:20pt;width:282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43" o:spt="75" alt="" type="#_x0000_t75" style="height:20pt;width:33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44" o:spt="75" alt="" type="#_x0000_t75" style="height:20pt;width:32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45" o:spt="75" alt="" type="#_x0000_t75" style="height:20pt;width:384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46" o:spt="75" alt="" type="#_x0000_t75" style="height:20pt;width:381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47" o:spt="75" alt="" type="#_x0000_t75" style="height:20pt;width:445.9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9293_WPSOffice_Level3"/>
      <w:bookmarkStart w:id="5" w:name="_Toc22513_WPSOffice_Level3"/>
      <w:bookmarkStart w:id="6" w:name="_Toc30658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position w:val="-16"/>
        </w:rPr>
        <w:object>
          <v:shape id="_x0000_i1048" o:spt="75" alt="" type="#_x0000_t75" style="height:22pt;width:120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3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14"/>
        </w:rPr>
        <w:object>
          <v:shape id="_x0000_i1049" o:spt="75" alt="" type="#_x0000_t75" style="height:21pt;width:156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4"/>
        </w:rPr>
        <w:object>
          <v:shape id="_x0000_i1050" o:spt="75" alt="" type="#_x0000_t75" style="height:21pt;width:264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val="en-US" w:eastAsia="zh-CN"/>
        </w:rPr>
        <w:t>4</w:t>
      </w:r>
      <w:r>
        <w:rPr>
          <w:u w:color="auto"/>
        </w:rPr>
        <w:t>层土：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14"/>
        </w:rPr>
        <w:object>
          <v:shape id="_x0000_i1051" o:spt="75" alt="" type="#_x0000_t75" style="height:21pt;width:263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4"/>
        </w:rPr>
        <w:object>
          <v:shape id="_x0000_i1052" o:spt="75" alt="" type="#_x0000_t75" style="height:21pt;width:323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4300_WPSOffice_Level3"/>
      <w:bookmarkStart w:id="8" w:name="_Toc7024"/>
      <w:bookmarkStart w:id="9" w:name="_Toc21137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设土压力零点位于</w:t>
      </w:r>
      <w:r>
        <w:rPr>
          <w:u w:color="auto"/>
        </w:rPr>
        <w:t>已开挖基坑底面以下x米处。</w: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53" o:spt="75" alt="" type="#_x0000_t75" style="height:18pt;width:134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2"/>
        </w:rPr>
        <w:object>
          <v:shape id="_x0000_i1054" o:spt="75" alt="" type="#_x0000_t75" style="height:19pt;width:143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position w:val="-10"/>
        </w:rPr>
        <w:object>
          <v:shape id="_x0000_i1055" o:spt="75" alt="" type="#_x0000_t75" style="height:19pt;width:44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0.62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</w:t>
      </w:r>
      <w:r>
        <w:rPr>
          <w:rFonts w:ascii="Times New Roman" w:hAnsi="Times New Roman" w:eastAsia="Times New Roman" w:cs="Times New Roman"/>
          <w:u w:color="auto"/>
        </w:rPr>
        <w:t>已开挖基坑底面以下x米处以下</w:t>
      </w:r>
      <w:r>
        <w:rPr>
          <w:rFonts w:hint="default"/>
          <w:lang w:val="en-US" w:eastAsia="zh-CN"/>
        </w:rPr>
        <w:t>0.62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59.19</w:t>
      </w:r>
      <w:r>
        <w:rPr>
          <w:rFonts w:hint="eastAsia"/>
          <w:lang w:val="en-US" w:eastAsia="zh-CN"/>
        </w:rPr>
        <w:t>Kpa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6131_WPSOffice_Level3"/>
      <w:bookmarkStart w:id="11" w:name="_Toc12179_WPSOffice_Level3"/>
      <w:bookmarkStart w:id="12" w:name="_Toc3207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设</w:t>
      </w:r>
      <w:r>
        <w:rPr>
          <w:rFonts w:ascii="Calibri" w:hAnsi="Calibri" w:eastAsia="Calibri" w:cs="Calibri"/>
          <w:sz w:val="24"/>
          <w:u w:color="auto"/>
        </w:rPr>
        <w:t>a为土层顶面的土压力强度，b为土层底面的土压力强度，h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第1层主动土顶面压力：3.39Kpa;主动土底面压力：16.79Kpa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</w:t>
      </w:r>
      <w:r>
        <w:rPr>
          <w:position w:val="-24"/>
        </w:rPr>
        <w:object>
          <v:shape id="_x0000_i1056" o:spt="75" alt="" type="#_x0000_t75" style="height:31pt;width:72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  <w:r>
        <w:rPr>
          <w:rFonts w:hint="eastAsia" w:eastAsia="宋体" w:cs="Times New Roman"/>
          <w:lang w:val="en-US" w:eastAsia="zh-CN"/>
        </w:rPr>
        <w:t>；作用点位置公式：</w:t>
      </w:r>
      <w:r>
        <w:rPr>
          <w:position w:val="-24"/>
        </w:rPr>
        <w:object>
          <v:shape id="_x0000_i1057" o:spt="75" alt="" type="#_x0000_t75" style="height:31pt;width:88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58" o:spt="75" alt="" type="#_x0000_t75" style="height:31pt;width:181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59" o:spt="75" alt="" type="#_x0000_t75" style="height:31pt;width:170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第2层主动土顶面压力：16.01Kpa;主动土底面压力：80.09Kpa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</w:t>
      </w:r>
      <w:r>
        <w:rPr>
          <w:position w:val="-24"/>
        </w:rPr>
        <w:object>
          <v:shape id="_x0000_i1060" o:spt="75" alt="" type="#_x0000_t75" style="height:31pt;width:72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rFonts w:hint="eastAsia" w:eastAsia="宋体" w:cs="Times New Roman"/>
          <w:lang w:val="en-US" w:eastAsia="zh-CN"/>
        </w:rPr>
        <w:t>；作用点位置公式：</w:t>
      </w:r>
      <w:r>
        <w:rPr>
          <w:position w:val="-24"/>
        </w:rPr>
        <w:object>
          <v:shape id="_x0000_i1061" o:spt="75" alt="" type="#_x0000_t75" style="height:31pt;width:88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62" o:spt="75" alt="" type="#_x0000_t75" style="height:31pt;width:186.9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63" o:spt="75" alt="" type="#_x0000_t75" style="height:31pt;width:167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第3层主动土顶面压力：52.14Kpa;主动土底面压力：68.04Kpa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</w:t>
      </w:r>
      <w:r>
        <w:rPr>
          <w:position w:val="-24"/>
        </w:rPr>
        <w:object>
          <v:shape id="_x0000_i1064" o:spt="75" alt="" type="#_x0000_t75" style="height:31pt;width:72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  <w:r>
        <w:rPr>
          <w:rFonts w:hint="eastAsia" w:eastAsia="宋体" w:cs="Times New Roman"/>
          <w:lang w:val="en-US" w:eastAsia="zh-CN"/>
        </w:rPr>
        <w:t>；作用点位置公式：</w:t>
      </w:r>
      <w:r>
        <w:rPr>
          <w:position w:val="-24"/>
        </w:rPr>
        <w:object>
          <v:shape id="_x0000_i1065" o:spt="75" alt="" type="#_x0000_t75" style="height:31pt;width:88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66" o:spt="75" alt="" type="#_x0000_t75" style="height:31pt;width:197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67" o:spt="75" alt="" type="#_x0000_t75" style="height:31pt;width:184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第3层被动土顶面压力：37.24Kpa;被动土底面压力：59.19Kpa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</w:t>
      </w:r>
      <w:r>
        <w:rPr>
          <w:position w:val="-24"/>
        </w:rPr>
        <w:object>
          <v:shape id="_x0000_i1068" o:spt="75" alt="" type="#_x0000_t75" style="height:31pt;width:73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  <w:r>
        <w:rPr>
          <w:rFonts w:hint="eastAsia" w:eastAsia="宋体" w:cs="Times New Roman"/>
          <w:lang w:val="en-US" w:eastAsia="zh-CN"/>
        </w:rPr>
        <w:t>；作用点位置：</w:t>
      </w:r>
      <w:r>
        <w:rPr>
          <w:position w:val="-24"/>
        </w:rPr>
        <w:object>
          <v:shape id="_x0000_i1069" o:spt="75" alt="" type="#_x0000_t75" style="height:31pt;width:89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70" o:spt="75" alt="" type="#_x0000_t75" style="height:31pt;width:200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position w:val="-24"/>
        </w:rPr>
        <w:object>
          <v:shape id="_x0000_i1071" o:spt="75" alt="" type="#_x0000_t75" style="height:31pt;width:186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8027_WPSOffice_Level3"/>
      <w:bookmarkStart w:id="14" w:name="_Toc17097_WPSOffice_Level3"/>
      <w:bookmarkStart w:id="15" w:name="_Toc1211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position w:val="-30"/>
        </w:rPr>
        <w:object>
          <v:shape id="_x0000_i1072" o:spt="75" alt="" type="#_x0000_t75" style="height:37pt;width:129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position w:val="-14"/>
        </w:rPr>
        <w:object>
          <v:shape id="_x0000_i1073" o:spt="75" alt="" type="#_x0000_t75" style="height:19pt;width:17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position w:val="-14"/>
        </w:rPr>
        <w:object>
          <v:shape id="_x0000_i1074" o:spt="75" alt="" type="#_x0000_t75" style="height:20pt;width:35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u w:color="auto"/>
        </w:rPr>
        <w:t>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position w:val="-12"/>
        </w:rPr>
        <w:object>
          <v:shape id="_x0000_i1075" o:spt="75" alt="" type="#_x0000_t75" style="height:18pt;width:1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  <w:r>
        <w:rPr>
          <w:u w:color="auto"/>
        </w:rPr>
        <w:t>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position w:val="-12"/>
        </w:rPr>
        <w:object>
          <v:shape id="_x0000_i1076" o:spt="75" alt="" type="#_x0000_t75" style="height:18pt;width:16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  <w:r>
        <w:rPr>
          <w:u w:color="auto"/>
        </w:rPr>
        <w:t>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position w:val="-12"/>
        </w:rPr>
        <w:object>
          <v:shape id="_x0000_i1077" o:spt="75" alt="" type="#_x0000_t75" style="height:18pt;width:15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rPr>
          <w:u w:color="auto"/>
        </w:rPr>
        <w:t>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position w:val="-12"/>
        </w:rPr>
        <w:object>
          <v:shape id="_x0000_i1078" o:spt="75" alt="" type="#_x0000_t75" style="height:18pt;width:16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1">
            <o:LockedField>false</o:LockedField>
          </o:OLEObject>
        </w:object>
      </w:r>
      <w:r>
        <w:rPr>
          <w:u w:color="auto"/>
        </w:rPr>
        <w:t>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position w:val="-14"/>
        </w:rPr>
        <w:object>
          <v:shape id="_x0000_i1079" o:spt="75" alt="" type="#_x0000_t75" style="height:20pt;width:34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3">
            <o:LockedField>false</o:LockedField>
          </o:OLEObject>
        </w:object>
      </w:r>
      <w:r>
        <w:rPr>
          <w:u w:color="auto"/>
        </w:rPr>
        <w:t>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position w:val="-28"/>
        </w:rPr>
        <w:object>
          <v:shape id="_x0000_i1080" o:spt="75" alt="" type="#_x0000_t75" style="height:33pt;width:359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5">
            <o:LockedField>false</o:LockedField>
          </o:OLEObject>
        </w:objec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2CB1B61"/>
    <w:rsid w:val="03412161"/>
    <w:rsid w:val="046C6780"/>
    <w:rsid w:val="04975627"/>
    <w:rsid w:val="05465A65"/>
    <w:rsid w:val="05BA14B5"/>
    <w:rsid w:val="075E33B6"/>
    <w:rsid w:val="07937530"/>
    <w:rsid w:val="07D0288B"/>
    <w:rsid w:val="09157AEC"/>
    <w:rsid w:val="0A481506"/>
    <w:rsid w:val="0A8A6F61"/>
    <w:rsid w:val="0ACB69F3"/>
    <w:rsid w:val="0AE603E0"/>
    <w:rsid w:val="0B8B459E"/>
    <w:rsid w:val="0CD92F42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40989"/>
    <w:rsid w:val="126610F5"/>
    <w:rsid w:val="13D86B5E"/>
    <w:rsid w:val="14BC3F7C"/>
    <w:rsid w:val="160621C6"/>
    <w:rsid w:val="162C02B0"/>
    <w:rsid w:val="1753563F"/>
    <w:rsid w:val="18033B0E"/>
    <w:rsid w:val="18901D80"/>
    <w:rsid w:val="18CD03CB"/>
    <w:rsid w:val="19A718AA"/>
    <w:rsid w:val="19AA65F2"/>
    <w:rsid w:val="1A5579AB"/>
    <w:rsid w:val="1AFA4CB9"/>
    <w:rsid w:val="1B1246EE"/>
    <w:rsid w:val="1B88082B"/>
    <w:rsid w:val="1C1B6D09"/>
    <w:rsid w:val="1C1E7DE3"/>
    <w:rsid w:val="1C45324A"/>
    <w:rsid w:val="1C703315"/>
    <w:rsid w:val="1CE22C03"/>
    <w:rsid w:val="1D072709"/>
    <w:rsid w:val="1D4D3E8E"/>
    <w:rsid w:val="1DE557CF"/>
    <w:rsid w:val="1FCC67CE"/>
    <w:rsid w:val="1FE019FE"/>
    <w:rsid w:val="20FC212B"/>
    <w:rsid w:val="22042A00"/>
    <w:rsid w:val="225B0B42"/>
    <w:rsid w:val="226F19E2"/>
    <w:rsid w:val="22C63A74"/>
    <w:rsid w:val="239619BE"/>
    <w:rsid w:val="24022302"/>
    <w:rsid w:val="24AA30CC"/>
    <w:rsid w:val="25466341"/>
    <w:rsid w:val="2562403B"/>
    <w:rsid w:val="25652A43"/>
    <w:rsid w:val="25682C89"/>
    <w:rsid w:val="26DA7D80"/>
    <w:rsid w:val="27683C48"/>
    <w:rsid w:val="27987203"/>
    <w:rsid w:val="280F5C8D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A57113"/>
    <w:rsid w:val="2AAC76EE"/>
    <w:rsid w:val="2AFF3118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18B678D"/>
    <w:rsid w:val="3207013C"/>
    <w:rsid w:val="32AD4543"/>
    <w:rsid w:val="33706975"/>
    <w:rsid w:val="34573327"/>
    <w:rsid w:val="34CE33EF"/>
    <w:rsid w:val="35823DCE"/>
    <w:rsid w:val="38D044A1"/>
    <w:rsid w:val="3A156103"/>
    <w:rsid w:val="3B0B2212"/>
    <w:rsid w:val="3BFD72F2"/>
    <w:rsid w:val="3C38626E"/>
    <w:rsid w:val="3C96134B"/>
    <w:rsid w:val="3CEC195C"/>
    <w:rsid w:val="3CF23548"/>
    <w:rsid w:val="3D837A38"/>
    <w:rsid w:val="3DC41220"/>
    <w:rsid w:val="3E7C15B7"/>
    <w:rsid w:val="3EDE3B1D"/>
    <w:rsid w:val="3F9A1352"/>
    <w:rsid w:val="41CB6A39"/>
    <w:rsid w:val="42582D70"/>
    <w:rsid w:val="42A5583F"/>
    <w:rsid w:val="43E81EBE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C843680"/>
    <w:rsid w:val="4D0232D9"/>
    <w:rsid w:val="4E675A53"/>
    <w:rsid w:val="4E7620F5"/>
    <w:rsid w:val="4EA42B4B"/>
    <w:rsid w:val="4FB44790"/>
    <w:rsid w:val="50AC1CFF"/>
    <w:rsid w:val="50B00D3A"/>
    <w:rsid w:val="50B14CE5"/>
    <w:rsid w:val="52157F3A"/>
    <w:rsid w:val="525262D5"/>
    <w:rsid w:val="53E24E2E"/>
    <w:rsid w:val="54BB0476"/>
    <w:rsid w:val="54DF3EF1"/>
    <w:rsid w:val="54FA517B"/>
    <w:rsid w:val="55093151"/>
    <w:rsid w:val="56662627"/>
    <w:rsid w:val="56E65A8F"/>
    <w:rsid w:val="571D4347"/>
    <w:rsid w:val="577017F9"/>
    <w:rsid w:val="578C628A"/>
    <w:rsid w:val="58A740F5"/>
    <w:rsid w:val="5A2C3E5B"/>
    <w:rsid w:val="5A6C0289"/>
    <w:rsid w:val="5AEB6D3D"/>
    <w:rsid w:val="5B4B29BD"/>
    <w:rsid w:val="5BFA0E0A"/>
    <w:rsid w:val="5CD45D38"/>
    <w:rsid w:val="5D5137A8"/>
    <w:rsid w:val="5D66017D"/>
    <w:rsid w:val="5E5F700A"/>
    <w:rsid w:val="5E907CB1"/>
    <w:rsid w:val="61FD36B2"/>
    <w:rsid w:val="62C83D7C"/>
    <w:rsid w:val="62F45678"/>
    <w:rsid w:val="62FD6CD4"/>
    <w:rsid w:val="63136082"/>
    <w:rsid w:val="635A461A"/>
    <w:rsid w:val="63BE1819"/>
    <w:rsid w:val="63C25946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1D589F"/>
    <w:rsid w:val="676F45B0"/>
    <w:rsid w:val="67AE65C6"/>
    <w:rsid w:val="68BA17BA"/>
    <w:rsid w:val="691E5161"/>
    <w:rsid w:val="6A7217A7"/>
    <w:rsid w:val="6ADD74C1"/>
    <w:rsid w:val="6B79747A"/>
    <w:rsid w:val="6BC927B8"/>
    <w:rsid w:val="6BD0281E"/>
    <w:rsid w:val="6CA95DB1"/>
    <w:rsid w:val="6DAC7DB8"/>
    <w:rsid w:val="6E590E89"/>
    <w:rsid w:val="70593674"/>
    <w:rsid w:val="708F6074"/>
    <w:rsid w:val="709A79CE"/>
    <w:rsid w:val="70E426F3"/>
    <w:rsid w:val="70EB0094"/>
    <w:rsid w:val="71895E69"/>
    <w:rsid w:val="71DE3F42"/>
    <w:rsid w:val="722B74AA"/>
    <w:rsid w:val="73B071B5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5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paragraph" w:styleId="22">
    <w:name w:val="Body Text 2"/>
    <w:basedOn w:val="1"/>
    <w:qFormat/>
    <w:uiPriority w:val="0"/>
    <w:pPr>
      <w:spacing w:after="120" w:line="480" w:lineRule="auto"/>
    </w:p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0">
    <w:name w:val="MTDisplayEquation"/>
    <w:basedOn w:val="1"/>
    <w:next w:val="1"/>
    <w:uiPriority w:val="0"/>
    <w:pPr>
      <w:tabs>
        <w:tab w:val="center" w:pos="4160"/>
        <w:tab w:val="right" w:pos="8300"/>
      </w:tabs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3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0.bin"/><Relationship Id="rId82" Type="http://schemas.openxmlformats.org/officeDocument/2006/relationships/image" Target="media/image39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8.wmf"/><Relationship Id="rId8" Type="http://schemas.openxmlformats.org/officeDocument/2006/relationships/image" Target="media/image2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3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0.bin"/><Relationship Id="rId62" Type="http://schemas.openxmlformats.org/officeDocument/2006/relationships/image" Target="media/image29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8.wmf"/><Relationship Id="rId6" Type="http://schemas.openxmlformats.org/officeDocument/2006/relationships/image" Target="media/image1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3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9" Type="http://schemas.openxmlformats.org/officeDocument/2006/relationships/fontTable" Target="fontTable.xml"/><Relationship Id="rId118" Type="http://schemas.openxmlformats.org/officeDocument/2006/relationships/numbering" Target="numbering.xml"/><Relationship Id="rId117" Type="http://schemas.openxmlformats.org/officeDocument/2006/relationships/customXml" Target="../customXml/item1.xml"/><Relationship Id="rId116" Type="http://schemas.openxmlformats.org/officeDocument/2006/relationships/image" Target="media/image56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5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4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3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108" Type="http://schemas.openxmlformats.org/officeDocument/2006/relationships/image" Target="media/image52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8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2022-03-31T12:41:03Z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