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47" w:after="567"/>
        <w:rPr/>
      </w:pPr>
      <w:r>
        <w:rPr/>
        <w:t>ESG ClaimGuard</w:t>
        <w:br/>
      </w:r>
      <w:r>
        <w:rPr/>
        <w:t>可持续披露一致性预审系统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trongEmphasis"/>
        </w:rPr>
        <w:t>团队：队不起队不起　日期：</w:t>
      </w:r>
      <w:r>
        <w:rPr>
          <w:rStyle w:val="StrongEmphasis"/>
        </w:rPr>
        <w:t>2026</w:t>
      </w:r>
      <w:r>
        <w:rPr>
          <w:rStyle w:val="StrongEmphasis"/>
        </w:rPr>
        <w:t>年</w:t>
      </w:r>
      <w:r>
        <w:rPr>
          <w:rStyle w:val="StrongEmphasis"/>
        </w:rPr>
        <w:t>8</w:t>
      </w:r>
      <w:r>
        <w:rPr>
          <w:rStyle w:val="StrongEmphasis"/>
        </w:rPr>
        <w:t>月</w:t>
      </w:r>
      <w:r>
        <w:rPr>
          <w:rStyle w:val="StrongEmphasis"/>
        </w:rPr>
        <w:t>31</w:t>
      </w:r>
      <w:r>
        <w:rPr>
          <w:rStyle w:val="StrongEmphasis"/>
        </w:rPr>
        <w:t>日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ESG ClaimGuard </w:t>
      </w:r>
      <w:r>
        <w:rPr/>
        <w:t xml:space="preserve">面向可持续发展报告编制、合规与审阅场景，利用 </w:t>
      </w:r>
      <w:r>
        <w:rPr/>
        <w:t xml:space="preserve">MinerU </w:t>
      </w:r>
      <w:r>
        <w:rPr/>
        <w:t xml:space="preserve">解析复杂版面，以 </w:t>
      </w:r>
      <w:r>
        <w:rPr/>
        <w:t xml:space="preserve">Qwen3.6 </w:t>
      </w:r>
      <w:r>
        <w:rPr/>
        <w:t xml:space="preserve">按 </w:t>
      </w:r>
      <w:r>
        <w:rPr/>
        <w:t xml:space="preserve">65 </w:t>
      </w:r>
      <w:r>
        <w:rPr/>
        <w:t xml:space="preserve">项指标抽取声明，并把结果绑定到页码、区块和原文证据。系统已在 </w:t>
      </w:r>
      <w:r>
        <w:rPr/>
        <w:t xml:space="preserve">200 </w:t>
      </w:r>
      <w:r>
        <w:rPr/>
        <w:t>份报告、</w:t>
      </w:r>
      <w:r>
        <w:rPr/>
        <w:t xml:space="preserve">10,528 </w:t>
      </w:r>
      <w:r>
        <w:rPr/>
        <w:t xml:space="preserve">页上形成 </w:t>
      </w:r>
      <w:r>
        <w:rPr/>
        <w:t xml:space="preserve">13,000 </w:t>
      </w:r>
      <w:r>
        <w:rPr/>
        <w:t xml:space="preserve">条唯一结果，其中 </w:t>
      </w:r>
      <w:r>
        <w:rPr/>
        <w:t xml:space="preserve">7,688 </w:t>
      </w:r>
      <w:r>
        <w:rPr/>
        <w:t>条为有证据披露、</w:t>
      </w:r>
      <w:r>
        <w:rPr/>
        <w:t xml:space="preserve">5,312 </w:t>
      </w:r>
      <w:r>
        <w:rPr/>
        <w:t xml:space="preserve">条为缺失候选、错误为 </w:t>
      </w:r>
      <w:r>
        <w:rPr/>
        <w:t>0</w:t>
      </w:r>
      <w:r>
        <w:rPr/>
        <w:t>；全部有证据结果通过原文精确匹配，定量结果同时记录直接值或推导过程。网页工作台支持总览、披露预审、证据复核、质量评测、金标准和报告接入。系统只提供可追溯的预审线索，不作企业评分，不替代人工审阅或法定鉴证。</w:t>
      </w:r>
    </w:p>
    <w:sectPr>
      <w:footerReference w:type="default" r:id="rIdClaimGuardFooter"/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ource Han Serif S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Noto Sans Mono CJK SC">
    <w:altName w:val="monospace"/>
    <w:charset w:val="01" w:characterSet="utf-8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erif CJK SC;Source Han Serif SC;serif" w:hAnsi="Noto Serif CJK SC;Source Han Serif SC;serif" w:eastAsia="Noto Serif CJK SC;Source Han Serif SC;serif" w:cs="Noto Serif CJK SC;Source Han Serif SC;serif"/>
      <w:color w:val="1D292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247" w:after="567"/>
      <w:ind w:start="1247" w:end="1247" w:hanging="0"/>
      <w:jc w:val="center"/>
    </w:pPr>
    <w:rPr>
      <w:rFonts w:ascii="Liberation Sans Unicode MS" w:hAnsi="Liberation Sans Unicode MS"/>
      <w:b/>
      <w:bCs/>
      <w:color w:val="173F33"/>
      <w:sz w:val="36"/>
      <w:szCs w:val="36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9" w:color="9CB7AC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5B46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C6653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1" w:color="4F8873"/>
      </w:pBdr>
      <w:shd w:fill="F1F5F3" w:val="clear"/>
      <w:spacing w:before="227" w:after="227"/>
      <w:ind w:start="227" w:end="227" w:hanging="0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5DED9"/>
        <w:left w:val="single" w:sz="2" w:space="9" w:color="D5DED9"/>
        <w:bottom w:val="single" w:sz="2" w:space="9" w:color="D5DED9"/>
        <w:right w:val="single" w:sz="2" w:space="9" w:color="D5DED9"/>
      </w:pBdr>
      <w:shd w:fill="F5F7F6" w:val="clear"/>
      <w:spacing w:before="0" w:after="0"/>
    </w:pPr>
    <w:rPr>
      <w:rFonts w:ascii="Noto Sans Mono CJK SC;monospace" w:hAnsi="Noto Sans Mono CJK SC;monospace" w:eastAsia="Noto Sans Mono CJK SC;monospace" w:cs="Noto Sans Mono CJK SC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5F0EB" w:val="clear"/>
      <w:jc w:val="center"/>
    </w:pPr>
    <w:rPr>
      <w:b/>
      <w:bCs/>
      <w:color w:val="173F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Relationship Id="rIdClaimGuar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队不起队不起_ESG ClaimGuard_参赛作品简介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