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keepLines/>
        <w:bidi w:val="0"/>
        <w:spacing w:before="0" w:after="0"/>
        <w:jc w:val="center"/>
        <w:rPr>
          <w:rFonts w:eastAsia="Noto Sans CJK SC;sans-serif"/>
          <w:b w:val="false"/>
          <w:i w:val="false"/>
          <w:caps w:val="false"/>
          <w:smallCaps w:val="false"/>
          <w:spacing w:val="20"/>
          <w:sz w:val="30"/>
        </w:rPr>
      </w:pPr>
      <w:r>
        <w:rPr>
          <w:rFonts w:eastAsia="Noto Sans CJK SC;sans-serif"/>
          <w:b w:val="false"/>
          <w:i w:val="false"/>
          <w:caps w:val="false"/>
          <w:smallCaps w:val="false"/>
          <w:spacing w:val="20"/>
          <w:sz w:val="30"/>
        </w:rPr>
        <w:t>第八届中国研究生人工智能创新大赛</w:t>
      </w:r>
    </w:p>
    <w:p>
      <w:pPr>
        <w:pStyle w:val="TextBody"/>
        <w:keepLines/>
        <w:bidi w:val="0"/>
        <w:spacing w:before="2551" w:after="283"/>
        <w:jc w:val="center"/>
        <w:rPr>
          <w:rFonts w:ascii="Noto Sans CJK SC;sans-serif" w:hAnsi="Noto Sans CJK SC;sans-serif"/>
          <w:b/>
          <w:i w:val="false"/>
          <w:caps w:val="false"/>
          <w:smallCaps w:val="false"/>
          <w:color w:val="173F33"/>
          <w:sz w:val="60"/>
        </w:rPr>
      </w:pPr>
      <w:r>
        <w:rPr>
          <w:rFonts w:ascii="Noto Sans CJK SC;sans-serif" w:hAnsi="Noto Sans CJK SC;sans-serif"/>
          <w:b/>
          <w:i w:val="false"/>
          <w:caps w:val="false"/>
          <w:smallCaps w:val="false"/>
          <w:color w:val="173F33"/>
          <w:sz w:val="60"/>
        </w:rPr>
        <w:t>ESG ClaimGuard</w:t>
      </w:r>
    </w:p>
    <w:p>
      <w:pPr>
        <w:pStyle w:val="TextBody"/>
        <w:keepLines/>
        <w:bidi w:val="0"/>
        <w:spacing w:before="283" w:after="283"/>
        <w:jc w:val="center"/>
        <w:rPr>
          <w:rFonts w:eastAsia="Noto Sans CJK SC;sans-serif"/>
          <w:b w:val="false"/>
          <w:i w:val="false"/>
          <w:caps w:val="false"/>
          <w:smallCaps w:val="false"/>
          <w:color w:val="2C6653"/>
          <w:sz w:val="36"/>
        </w:rPr>
      </w:pPr>
      <w:r>
        <w:rPr>
          <w:rFonts w:eastAsia="Noto Sans CJK SC;sans-serif"/>
          <w:b w:val="false"/>
          <w:i w:val="false"/>
          <w:caps w:val="false"/>
          <w:smallCaps w:val="false"/>
          <w:color w:val="2C6653"/>
          <w:sz w:val="36"/>
        </w:rPr>
        <w:t>可持续披露一致性预审系统</w:t>
      </w:r>
    </w:p>
    <w:p>
      <w:pPr>
        <w:pStyle w:val="TextBody"/>
        <w:keepLines/>
        <w:bidi w:val="0"/>
        <w:spacing w:before="1020" w:after="283"/>
        <w:jc w:val="center"/>
        <w:rPr>
          <w:rFonts w:eastAsia="Noto Sans CJK SC;sans-serif"/>
          <w:b/>
          <w:i w:val="false"/>
          <w:caps w:val="false"/>
          <w:smallCaps w:val="false"/>
          <w:sz w:val="44"/>
        </w:rPr>
      </w:pPr>
      <w:r>
        <w:rPr>
          <w:rFonts w:eastAsia="Noto Sans CJK SC;sans-serif"/>
          <w:b/>
          <w:i w:val="false"/>
          <w:caps w:val="false"/>
          <w:smallCaps w:val="false"/>
          <w:sz w:val="44"/>
        </w:rPr>
        <w:t>项目文档</w:t>
      </w:r>
    </w:p>
    <w:p>
      <w:pPr>
        <w:pStyle w:val="TextBody"/>
        <w:keepLines/>
        <w:bidi w:val="0"/>
        <w:spacing w:before="283" w:after="283"/>
        <w:jc w:val="center"/>
        <w:rPr>
          <w:caps w:val="false"/>
          <w:smallCaps w:val="false"/>
        </w:rPr>
      </w:pPr>
      <w:r>
        <w:rPr>
          <w:rFonts w:eastAsia="Noto Sans CJK SC;sans-serif"/>
          <w:b w:val="false"/>
          <w:i w:val="false"/>
          <w:caps w:val="false"/>
          <w:smallCaps w:val="false"/>
          <w:sz w:val="26"/>
        </w:rPr>
        <w:t xml:space="preserve">版本 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6"/>
        </w:rPr>
        <w:t>v1.0</w:t>
      </w:r>
    </w:p>
    <w:p>
      <w:pPr>
        <w:pStyle w:val="TextBody"/>
        <w:keepLines/>
        <w:bidi w:val="0"/>
        <w:spacing w:lineRule="auto" w:line="480" w:before="1984" w:after="283"/>
        <w:jc w:val="center"/>
        <w:rPr>
          <w:caps w:val="false"/>
          <w:smallCaps w:val="false"/>
        </w:rPr>
      </w:pP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日期：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2026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年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8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月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31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日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br/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团队名称：队不起队不起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br/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参赛组别：开放赛题</w:t>
      </w:r>
      <w:r>
        <w:rPr>
          <w:rFonts w:ascii="Noto Sans CJK SC;sans-serif" w:hAnsi="Noto Sans CJK SC;sans-serif"/>
          <w:b w:val="false"/>
          <w:i w:val="false"/>
          <w:caps w:val="false"/>
          <w:smallCaps w:val="false"/>
          <w:sz w:val="24"/>
        </w:rPr>
        <w:t>-</w:t>
      </w:r>
      <w:r>
        <w:rPr>
          <w:rFonts w:eastAsia="Noto Sans CJK SC;sans-serif"/>
          <w:b w:val="false"/>
          <w:i w:val="false"/>
          <w:caps w:val="false"/>
          <w:smallCaps w:val="false"/>
          <w:sz w:val="24"/>
        </w:rPr>
        <w:t>生成式大语言模型与智能体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>目录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项目概况</w:t>
      </w:r>
      <w:r>
        <w:rPr/>
        <w:br/>
        <w:t xml:space="preserve">1.1 </w:t>
      </w:r>
      <w:r>
        <w:rPr/>
        <w:t>背景和基础　</w:t>
      </w:r>
      <w:r>
        <w:rPr/>
        <w:t xml:space="preserve">1.2 </w:t>
      </w:r>
      <w:r>
        <w:rPr/>
        <w:t>场景和价值　</w:t>
      </w:r>
      <w:r>
        <w:rPr/>
        <w:t xml:space="preserve">1.3 </w:t>
      </w:r>
      <w:r>
        <w:rPr/>
        <w:t xml:space="preserve">所需支持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项目规划</w:t>
      </w:r>
      <w:r>
        <w:rPr/>
        <w:br/>
        <w:t xml:space="preserve">2.1 </w:t>
      </w:r>
      <w:r>
        <w:rPr/>
        <w:t>整体目标　</w:t>
      </w:r>
      <w:r>
        <w:rPr/>
        <w:t xml:space="preserve">2.2 </w:t>
      </w:r>
      <w:r>
        <w:rPr/>
        <w:t xml:space="preserve">技术创新点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实施方案</w:t>
      </w:r>
      <w:r>
        <w:rPr/>
        <w:br/>
        <w:t xml:space="preserve">3.1 </w:t>
      </w:r>
      <w:r>
        <w:rPr/>
        <w:t>技术可行性分析　</w:t>
      </w:r>
      <w:r>
        <w:rPr/>
        <w:t xml:space="preserve">3.2 </w:t>
      </w:r>
      <w:r>
        <w:rPr/>
        <w:t>技术细节　</w:t>
      </w:r>
      <w:r>
        <w:rPr/>
        <w:t xml:space="preserve">3.3 </w:t>
      </w:r>
      <w:r>
        <w:rPr/>
        <w:t xml:space="preserve">计划和分工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参考资料 </w:t>
      </w:r>
    </w:p>
    <w:p>
      <w:pPr>
        <w:pStyle w:val="Heading1"/>
        <w:bidi w:val="0"/>
        <w:rPr/>
      </w:pPr>
      <w:r>
        <w:rPr/>
        <w:t>记录更改历史</w:t>
      </w:r>
    </w:p>
    <w:tbl>
      <w:tblPr>
        <w:tblW w:w="102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681"/>
        <w:gridCol w:w="556"/>
        <w:gridCol w:w="1456"/>
        <w:gridCol w:w="1606"/>
        <w:gridCol w:w="4426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序号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更改原因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版本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作者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更改日期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正式提交版定稿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v1.0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队不起队不起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8</w:t>
            </w:r>
            <w:r>
              <w:rPr/>
              <w:t>月</w:t>
            </w:r>
            <w:r>
              <w:rPr/>
              <w:t>31</w:t>
            </w:r>
            <w:r>
              <w:rPr/>
              <w:t>日</w:t>
            </w:r>
          </w:p>
        </w:tc>
        <w:tc>
          <w:tcPr>
            <w:tcW w:w="4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依据冻结正式数据与独立复验要求统一口径</w:t>
            </w:r>
          </w:p>
        </w:tc>
      </w:tr>
    </w:tbl>
    <w:p>
      <w:pPr>
        <w:pStyle w:val="Quotations"/>
        <w:pBdr>
          <w:left w:val="single" w:sz="18" w:space="11" w:color="4F8873"/>
        </w:pBdr>
        <w:shd w:fill="F1F5F3" w:val="clear"/>
        <w:bidi w:val="0"/>
        <w:spacing w:before="227" w:after="227"/>
        <w:ind w:start="227" w:end="227" w:hanging="0"/>
        <w:jc w:val="start"/>
        <w:rPr/>
      </w:pPr>
      <w:r>
        <w:rPr/>
        <w:t xml:space="preserve">本项目输出是带原文证据的预审候选，不构成企业 </w:t>
      </w:r>
      <w:r>
        <w:rPr/>
        <w:t xml:space="preserve">ESG </w:t>
      </w:r>
      <w:r>
        <w:rPr/>
        <w:t>评分、合规结论或法定鉴证意见。覆盖率、工程完整性与独立准确率严格分栏；</w:t>
      </w:r>
      <w:r>
        <w:rPr/>
        <w:t xml:space="preserve">Natural-Gold </w:t>
      </w:r>
      <w:r>
        <w:rPr/>
        <w:t xml:space="preserve">尚未完成，因此不报告 </w:t>
      </w:r>
      <w:r>
        <w:rPr/>
        <w:t>Precision</w:t>
      </w:r>
      <w:r>
        <w:rPr/>
        <w:t>、</w:t>
      </w:r>
      <w:r>
        <w:rPr/>
        <w:t xml:space="preserve">Recall </w:t>
      </w:r>
      <w:r>
        <w:rPr/>
        <w:t xml:space="preserve">或 </w:t>
      </w:r>
      <w:r>
        <w:rPr/>
        <w:t>F1</w:t>
      </w:r>
      <w:r>
        <w:rPr/>
        <w:t>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1 </w:t>
      </w:r>
      <w:r>
        <w:rPr/>
        <w:t>项目概况</w:t>
      </w:r>
    </w:p>
    <w:p>
      <w:pPr>
        <w:pStyle w:val="Heading2"/>
        <w:bidi w:val="0"/>
        <w:jc w:val="start"/>
        <w:rPr/>
      </w:pPr>
      <w:r>
        <w:rPr/>
        <w:t xml:space="preserve">1.1 </w:t>
      </w:r>
      <w:r>
        <w:rPr/>
        <w:t>背景和基础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ESG </w:t>
      </w:r>
      <w:r>
        <w:rPr/>
        <w:t>与可持续发展报告通常包含数十至数百页，关键声明散布在正文、跨页表格、图表、脚注和附录。传统复核依赖人工逐页搜索，容易遗漏同一指标的期间、单位、主体或范围差异。普通全文检索难以处理同义表达和复杂版面；单次大模型问答又常缺少稳定页码、可核验引文与明确的缺失语义。</w:t>
      </w:r>
    </w:p>
    <w:p>
      <w:pPr>
        <w:pStyle w:val="TextBody"/>
        <w:bidi w:val="0"/>
        <w:spacing w:before="0" w:after="283"/>
        <w:jc w:val="start"/>
        <w:rPr/>
      </w:pPr>
      <w:r>
        <w:rPr/>
        <w:t>本项目按已通过资格审核的报名信息参加“开放赛题</w:t>
      </w:r>
      <w:r>
        <w:rPr/>
        <w:t>-</w:t>
      </w:r>
      <w:r>
        <w:rPr/>
        <w:t>生成式大语言模型与智能体”。</w:t>
      </w:r>
      <w:r>
        <w:rPr/>
        <w:t xml:space="preserve">ESG ClaimGuard </w:t>
      </w:r>
      <w:r>
        <w:rPr/>
        <w:t>将生成式大语言模型用于专业指标理解、候选证据判断和受约束结构生成，再由确定性规则、人工处置流程和可追溯底稿将模型推理转化为可验收的业务任务。当前系统是证据约束的大模型应用，不额外宣称已实现可自主规划和执行的通用智能体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项目把上述问题定义为一条可验收的业务闭环：输入报告 </w:t>
      </w:r>
      <w:r>
        <w:rPr/>
        <w:t>PDF</w:t>
      </w:r>
      <w:r>
        <w:rPr/>
        <w:t xml:space="preserve">，输出按 </w:t>
      </w:r>
      <w:r>
        <w:rPr/>
        <w:t xml:space="preserve">ESG-65 </w:t>
      </w:r>
      <w:r>
        <w:rPr/>
        <w:t>指标组织的声明候选、最小原文证据和预审问题，再由人员完成确认、修正、待补材料、接受风险或排除，最后导出带处理记录的工作底稿。系统因此优化的是“找到证据并完成复核处置”的流程，而不是生成一段不可追溯的问答。</w:t>
      </w:r>
    </w:p>
    <w:p>
      <w:pPr>
        <w:pStyle w:val="TextBody"/>
        <w:bidi w:val="0"/>
        <w:spacing w:before="0" w:after="283"/>
        <w:jc w:val="start"/>
        <w:rPr/>
      </w:pPr>
      <w:r>
        <w:rPr/>
        <w:t>项目已完成可复验的正式数据底座：</w:t>
      </w:r>
      <w:r>
        <w:rPr>
          <w:rStyle w:val="SourceText"/>
        </w:rPr>
        <w:t>input_manifest.csv</w:t>
      </w:r>
      <w:r>
        <w:rPr/>
        <w:t xml:space="preserve"> </w:t>
      </w:r>
      <w:r>
        <w:rPr/>
        <w:t xml:space="preserve">冻结选取 </w:t>
      </w:r>
      <w:r>
        <w:rPr/>
        <w:t xml:space="preserve">200 </w:t>
      </w:r>
      <w:r>
        <w:rPr/>
        <w:t xml:space="preserve">份报告，共 </w:t>
      </w:r>
      <w:r>
        <w:rPr/>
        <w:t xml:space="preserve">10,528 </w:t>
      </w:r>
      <w:r>
        <w:rPr/>
        <w:t>页、</w:t>
      </w:r>
      <w:r>
        <w:rPr/>
        <w:t xml:space="preserve">65 </w:t>
      </w:r>
      <w:r>
        <w:rPr/>
        <w:t xml:space="preserve">项指标和 </w:t>
      </w:r>
      <w:r>
        <w:rPr/>
        <w:t xml:space="preserve">13,000 </w:t>
      </w:r>
      <w:r>
        <w:rPr/>
        <w:t xml:space="preserve">个唯一 </w:t>
      </w:r>
      <w:r>
        <w:rPr/>
        <w:t xml:space="preserve">report×indicator </w:t>
      </w:r>
      <w:r>
        <w:rPr/>
        <w:t xml:space="preserve">结果。状态为 </w:t>
      </w:r>
      <w:r>
        <w:rPr/>
        <w:t>found 7,688</w:t>
      </w:r>
      <w:r>
        <w:rPr/>
        <w:t>、</w:t>
      </w:r>
      <w:r>
        <w:rPr/>
        <w:t>missing 5,312</w:t>
      </w:r>
      <w:r>
        <w:rPr/>
        <w:t>、</w:t>
      </w:r>
      <w:r>
        <w:rPr/>
        <w:t>error 0</w:t>
      </w:r>
      <w:r>
        <w:rPr/>
        <w:t xml:space="preserve">。全部 </w:t>
      </w:r>
      <w:r>
        <w:rPr/>
        <w:t xml:space="preserve">found </w:t>
      </w:r>
      <w:r>
        <w:rPr/>
        <w:t>结果均绑定规范化区块、页码及原始引文，并通过原始区块逐字子串校验；</w:t>
      </w:r>
      <w:r>
        <w:rPr/>
        <w:t xml:space="preserve">3,214 </w:t>
      </w:r>
      <w:r>
        <w:rPr/>
        <w:t xml:space="preserve">条定量结果完整记录数值、单位及其直接或推导来源。项目目录中可存在不属于正式队列的其他 </w:t>
      </w:r>
      <w:r>
        <w:rPr/>
        <w:t>PDF</w:t>
      </w:r>
      <w:r>
        <w:rPr/>
        <w:t xml:space="preserve">，正式统计始终以冻结 </w:t>
      </w:r>
      <w:r>
        <w:rPr/>
        <w:t xml:space="preserve">manifest </w:t>
      </w:r>
      <w:r>
        <w:rPr/>
        <w:t>为准。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2076475"/>
            <wp:effectExtent l="0" t="0" r="0" b="0"/>
            <wp:docPr id="1" name="Image1" descr="" title="系统端到端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系统端到端流水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1 </w:t>
      </w:r>
      <w:r>
        <w:rPr/>
        <w:t>说明：系统按“报告解析—候选召回—结构化推理—确定性证据门—人工处置”顺序运行。</w:t>
      </w:r>
      <w:r>
        <w:rPr/>
        <w:t xml:space="preserve">MinerU </w:t>
      </w:r>
      <w:r>
        <w:rPr/>
        <w:t>负责版面与表格感知，</w:t>
      </w:r>
      <w:r>
        <w:rPr/>
        <w:t xml:space="preserve">Qwen3.6 </w:t>
      </w:r>
      <w:r>
        <w:rPr/>
        <w:t>只在候选区块上进行指标判断；确定性门再次核对引文、区块、页码、数值与单位，避免模型答案脱离原文。该分层结构把生成模型限制在可追溯证据边界内，也允许任一失败环节独立回退和复核。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场景和价值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目标用户包括报告编制人员、企业合规人员、审阅团队和研究人员。系统把“逐页找信息”转为“按指标查看带证据候选”，支持系统总览、披露预审、证据复核、质量评测、金标准和报告接入。每条候选均可返回原 </w:t>
      </w:r>
      <w:r>
        <w:rPr/>
        <w:t xml:space="preserve">PDF </w:t>
      </w:r>
      <w:r>
        <w:rPr/>
        <w:t>的报告、页码、区块和引文，用户可确认、修正、排除或标记待补材料。</w:t>
      </w:r>
    </w:p>
    <w:p>
      <w:pPr>
        <w:pStyle w:val="TextBody"/>
        <w:bidi w:val="0"/>
        <w:spacing w:before="0" w:after="283"/>
        <w:jc w:val="start"/>
        <w:rPr/>
      </w:pPr>
      <w:r>
        <w:rPr/>
        <w:t>核心价值不是替代专家下结论，而是压缩机械检索时间、统一证据口径并保留审计轨迹。</w:t>
      </w:r>
      <w:r>
        <w:rPr/>
        <w:t xml:space="preserve">missing </w:t>
      </w:r>
      <w:r>
        <w:rPr/>
        <w:t>表示在当前解析与召回范围内未发现满足证据合同的披露，不能直接解释为企业未披露；</w:t>
      </w:r>
      <w:r>
        <w:rPr/>
        <w:t xml:space="preserve">found </w:t>
      </w:r>
      <w:r>
        <w:rPr/>
        <w:t>也仅表示找到了满足合同的报告证据。</w:t>
      </w:r>
    </w:p>
    <w:p>
      <w:pPr>
        <w:pStyle w:val="Heading2"/>
        <w:bidi w:val="0"/>
        <w:jc w:val="start"/>
        <w:rPr/>
      </w:pPr>
      <w:r>
        <w:rPr/>
        <w:t xml:space="preserve">1.3 </w:t>
      </w:r>
      <w:r>
        <w:rPr/>
        <w:t>所需支持</w:t>
      </w:r>
    </w:p>
    <w:p>
      <w:pPr>
        <w:pStyle w:val="TextBody"/>
        <w:bidi w:val="0"/>
        <w:spacing w:before="0" w:after="283"/>
        <w:jc w:val="start"/>
        <w:rPr/>
      </w:pPr>
      <w:r>
        <w:rPr/>
        <w:t>原型可在单机顺序部署：</w:t>
      </w:r>
      <w:r>
        <w:rPr/>
        <w:t xml:space="preserve">MinerU </w:t>
      </w:r>
      <w:r>
        <w:rPr/>
        <w:t xml:space="preserve">与 </w:t>
      </w:r>
      <w:r>
        <w:rPr/>
        <w:t xml:space="preserve">Qwen3.6 </w:t>
      </w:r>
      <w:r>
        <w:rPr/>
        <w:t xml:space="preserve">分阶段使用 </w:t>
      </w:r>
      <w:r>
        <w:rPr/>
        <w:t>GPU</w:t>
      </w:r>
      <w:r>
        <w:rPr/>
        <w:t xml:space="preserve">，避免同时常驻造成显存竞争；网页端使用 </w:t>
      </w:r>
      <w:r>
        <w:rPr/>
        <w:t>React/Vite</w:t>
      </w:r>
      <w:r>
        <w:rPr/>
        <w:t xml:space="preserve">，服务端使用 </w:t>
      </w:r>
      <w:r>
        <w:rPr/>
        <w:t>Python</w:t>
      </w:r>
      <w:r>
        <w:rPr/>
        <w:t xml:space="preserve">。生产化需要获得报告使用授权、稳定 </w:t>
      </w:r>
      <w:r>
        <w:rPr/>
        <w:t xml:space="preserve">GPU </w:t>
      </w:r>
      <w:r>
        <w:rPr/>
        <w:t>算力、组织内部指标口径及人工复核人员。若用于监管或鉴证场景，还需由法律、审计与行业专家确认适用标准和责任边界。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2 </w:t>
      </w:r>
      <w:r>
        <w:rPr/>
        <w:t>项目规划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整体目标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一期目标是形成“可运行、可回原文、可人工处置、可导出”的 </w:t>
      </w:r>
      <w:r>
        <w:rPr/>
        <w:t xml:space="preserve">ESG </w:t>
      </w:r>
      <w:r>
        <w:rPr/>
        <w:t xml:space="preserve">披露预审原型，并以冻结数据和校验和证明工程完整性。二期在独立双人标注与仲裁完成后，解锁 </w:t>
      </w:r>
      <w:r>
        <w:rPr/>
        <w:t>Precision</w:t>
      </w:r>
      <w:r>
        <w:rPr/>
        <w:t>、</w:t>
      </w:r>
      <w:r>
        <w:rPr/>
        <w:t>Recall</w:t>
      </w:r>
      <w:r>
        <w:rPr/>
        <w:t>、</w:t>
      </w:r>
      <w:r>
        <w:rPr/>
        <w:t xml:space="preserve">F1 </w:t>
      </w:r>
      <w:r>
        <w:rPr/>
        <w:t>和分指标误差分析；三期扩展跨年度、跨公司一致性检查与组织级权限审计。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2686282"/>
            <wp:effectExtent l="0" t="0" r="0" b="0"/>
            <wp:docPr id="2" name="Image2" descr="" title="正式数据规模与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正式数据规模与状态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6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2 </w:t>
      </w:r>
      <w:r>
        <w:rPr/>
        <w:t>说明：</w:t>
      </w:r>
      <w:r>
        <w:rPr/>
        <w:t xml:space="preserve">200 </w:t>
      </w:r>
      <w:r>
        <w:rPr/>
        <w:t xml:space="preserve">份报告与 </w:t>
      </w:r>
      <w:r>
        <w:rPr/>
        <w:t xml:space="preserve">65 </w:t>
      </w:r>
      <w:r>
        <w:rPr/>
        <w:t xml:space="preserve">项指标形成严格笛卡尔积，共 </w:t>
      </w:r>
      <w:r>
        <w:rPr/>
        <w:t xml:space="preserve">13,000 </w:t>
      </w:r>
      <w:r>
        <w:rPr/>
        <w:t xml:space="preserve">条唯一记录，没有重复键或 </w:t>
      </w:r>
      <w:r>
        <w:rPr/>
        <w:t>error</w:t>
      </w:r>
      <w:r>
        <w:rPr/>
        <w:t>。</w:t>
      </w:r>
      <w:r>
        <w:rPr/>
        <w:t xml:space="preserve">7,688 </w:t>
      </w:r>
      <w:r>
        <w:rPr/>
        <w:t xml:space="preserve">条 </w:t>
      </w:r>
      <w:r>
        <w:rPr/>
        <w:t xml:space="preserve">found </w:t>
      </w:r>
      <w:r>
        <w:rPr/>
        <w:t xml:space="preserve">与 </w:t>
      </w:r>
      <w:r>
        <w:rPr/>
        <w:t xml:space="preserve">5,312 </w:t>
      </w:r>
      <w:r>
        <w:rPr/>
        <w:t xml:space="preserve">条 </w:t>
      </w:r>
      <w:r>
        <w:rPr/>
        <w:t xml:space="preserve">missing </w:t>
      </w:r>
      <w:r>
        <w:rPr/>
        <w:t xml:space="preserve">展示的是系统输出状态构成，而非优劣评分。图中同时列出报告数、页数、指标数和结果数，使评审能够核对规模关系 </w:t>
      </w:r>
      <w:r>
        <w:rPr/>
        <w:t>200×65=13,000</w:t>
      </w:r>
      <w:r>
        <w:rPr/>
        <w:t>，并避免只展示百分比掩盖样本基数。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技术创新点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声明—证据合同。</w:t>
      </w:r>
      <w:r>
        <w:rPr/>
        <w:t xml:space="preserve"> </w:t>
      </w:r>
      <w:r>
        <w:rPr/>
        <w:t xml:space="preserve">found </w:t>
      </w:r>
      <w:r>
        <w:rPr/>
        <w:t xml:space="preserve">必须同时具备报告、页码、区块、原文引文与可解析状态；引文必须是规范解析区块中的原始精确子串。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定量来源显式化。</w:t>
      </w:r>
      <w:r>
        <w:rPr/>
        <w:t xml:space="preserve"> 直接读取值与推导值分离；推导值保存表达式和输入，单位归一或推断另行标记。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缺失优先的保守退化。</w:t>
      </w:r>
      <w:r>
        <w:rPr/>
        <w:t xml:space="preserve"> 证据不满足合同则输出 </w:t>
      </w:r>
      <w:r>
        <w:rPr/>
        <w:t>missing</w:t>
      </w:r>
      <w:r>
        <w:rPr/>
        <w:t xml:space="preserve">，不让模型以常识补齐报告事实。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自包含冻结数据。</w:t>
      </w:r>
      <w:r>
        <w:rPr/>
        <w:t xml:space="preserve"> 指标池、队列清单、解析产物、抽取结果、人工复核、迁移记录和校验和共同封装，运行时不依赖已删除的历史桥接目录。 </w:t>
      </w:r>
    </w:p>
    <w:p>
      <w:pPr>
        <w:pStyle w:val="TextBody"/>
        <w:bidi w:val="0"/>
        <w:jc w:val="start"/>
        <w:rPr/>
      </w:pPr>
      <w:r>
        <w:rPr/>
        <w:t>与关键词</w:t>
      </w:r>
      <w:r>
        <w:rPr/>
        <w:t>/</w:t>
      </w:r>
      <w:r>
        <w:rPr/>
        <w:t xml:space="preserve">正则、整份 </w:t>
      </w:r>
      <w:r>
        <w:rPr/>
        <w:t xml:space="preserve">PDF </w:t>
      </w:r>
      <w:r>
        <w:rPr/>
        <w:t xml:space="preserve">单次问答、普通切块 </w:t>
      </w:r>
      <w:r>
        <w:rPr/>
        <w:t xml:space="preserve">RAG </w:t>
      </w:r>
      <w:r>
        <w:rPr/>
        <w:t xml:space="preserve">相比，本项目的主张是“更可审计”，而非在尚无独立金标准时宣称“更准确”。关键词方法可复现但同义召回弱；单次问答语义能力强但证据定位不稳定；普通 </w:t>
      </w:r>
      <w:r>
        <w:rPr/>
        <w:t xml:space="preserve">RAG </w:t>
      </w:r>
      <w:r>
        <w:rPr/>
        <w:t xml:space="preserve">改善召回，却通常不强制数值来源、精确引文与缺失合同。后续将在同一 </w:t>
      </w:r>
      <w:r>
        <w:rPr/>
        <w:t xml:space="preserve">Natural-Gold </w:t>
      </w:r>
      <w:r>
        <w:rPr/>
        <w:t>上进行预注册对比。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6"/>
        <w:gridCol w:w="830"/>
        <w:gridCol w:w="1742"/>
        <w:gridCol w:w="1867"/>
        <w:gridCol w:w="1821"/>
        <w:gridCol w:w="3263"/>
      </w:tblGrid>
      <w:tr>
        <w:trPr>
          <w:tblHeader w:val="true"/>
        </w:trPr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对比方案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语义理解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原文定位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定量来源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证据不足时的行为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当前可验证结论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关键词</w:t>
            </w:r>
            <w:r>
              <w:rPr/>
              <w:t>/</w:t>
            </w:r>
            <w:r>
              <w:rPr/>
              <w:t>正则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弱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可复现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需另写规则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未命中与未披露易混淆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可解释的弱基线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整份 </w:t>
            </w:r>
            <w:r>
              <w:rPr/>
              <w:t xml:space="preserve">PDF </w:t>
            </w:r>
            <w:r>
              <w:rPr/>
              <w:t>单次问答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页码与引文不稳定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常为自由文本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容易强行作答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不适合作为审计底稿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普通切块 </w:t>
            </w:r>
            <w:r>
              <w:rPr/>
              <w:t>RAG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中至强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取决于切块与实现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通常未强制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往往没有缺失合同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可作为召回基线</w:t>
            </w:r>
          </w:p>
        </w:tc>
      </w:tr>
      <w:tr>
        <w:trPr/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ESG ClaimGuard</w:t>
            </w:r>
          </w:p>
        </w:tc>
        <w:tc>
          <w:tcPr>
            <w:tcW w:w="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强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页码、区块、精确引文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直接</w:t>
            </w:r>
            <w:r>
              <w:rPr/>
              <w:t>/</w:t>
            </w:r>
            <w:r>
              <w:rPr/>
              <w:t>推导及单位来源分栏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证据不足保守 </w:t>
            </w:r>
            <w:r>
              <w:rPr/>
              <w:t>missing</w:t>
            </w:r>
          </w:p>
        </w:tc>
        <w:tc>
          <w:tcPr>
            <w:tcW w:w="3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已验证工程完整性；效果待 </w:t>
            </w:r>
            <w:r>
              <w:rPr/>
              <w:t>Natural-Gold</w:t>
            </w:r>
          </w:p>
        </w:tc>
      </w:tr>
    </w:tbl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3 </w:t>
      </w:r>
      <w:r>
        <w:rPr/>
        <w:t>实施方案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技术可行性分析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数据来源是公开披露的 </w:t>
      </w:r>
      <w:r>
        <w:rPr/>
        <w:t>ESG</w:t>
      </w:r>
      <w:r>
        <w:rPr/>
        <w:t xml:space="preserve">、可持续发展和社会责任类报告；正式队列由 </w:t>
      </w:r>
      <w:r>
        <w:rPr>
          <w:rStyle w:val="SourceText"/>
        </w:rPr>
        <w:t>input_manifest.csv</w:t>
      </w:r>
      <w:r>
        <w:rPr/>
        <w:t xml:space="preserve"> </w:t>
      </w:r>
      <w:r>
        <w:rPr/>
        <w:t>固定报告路径、</w:t>
      </w:r>
      <w:r>
        <w:rPr/>
        <w:t>SHA-256</w:t>
      </w:r>
      <w:r>
        <w:rPr/>
        <w:t xml:space="preserve">、页数和入选顺序。行业知识来自 </w:t>
      </w:r>
      <w:r>
        <w:rPr/>
        <w:t xml:space="preserve">ESG-65 </w:t>
      </w:r>
      <w:r>
        <w:rPr/>
        <w:t xml:space="preserve">指标池、公开披露术语和首轮交易所条款映射；算法由 </w:t>
      </w:r>
      <w:r>
        <w:rPr/>
        <w:t xml:space="preserve">MinerU </w:t>
      </w:r>
      <w:r>
        <w:rPr/>
        <w:t>文档解析、候选召回、</w:t>
      </w:r>
      <w:r>
        <w:rPr/>
        <w:t xml:space="preserve">Qwen3.6 </w:t>
      </w:r>
      <w:r>
        <w:rPr/>
        <w:t xml:space="preserve">受约束抽取及确定性证据门组成。正式运行硬件记录为 </w:t>
      </w:r>
      <w:r>
        <w:rPr/>
        <w:t>NVIDIA GeForce RTX 5090</w:t>
      </w:r>
      <w:r>
        <w:rPr/>
        <w:t>（</w:t>
      </w:r>
      <w:r>
        <w:rPr/>
        <w:t>32,607 MiB</w:t>
      </w:r>
      <w:r>
        <w:rPr/>
        <w:t>）、</w:t>
      </w:r>
      <w:r>
        <w:rPr/>
        <w:t xml:space="preserve">AMD Ryzen Threadripper PRO 9955WX 16 </w:t>
      </w:r>
      <w:r>
        <w:rPr/>
        <w:t xml:space="preserve">核处理器和 </w:t>
      </w:r>
      <w:r>
        <w:rPr/>
        <w:t xml:space="preserve">124.8 GiB </w:t>
      </w:r>
      <w:r>
        <w:rPr/>
        <w:t>内存；</w:t>
      </w:r>
      <w:r>
        <w:rPr/>
        <w:t xml:space="preserve">MinerU </w:t>
      </w:r>
      <w:r>
        <w:rPr/>
        <w:t xml:space="preserve">与 </w:t>
      </w:r>
      <w:r>
        <w:rPr/>
        <w:t xml:space="preserve">Qwen </w:t>
      </w:r>
      <w:r>
        <w:rPr/>
        <w:t xml:space="preserve">分阶段顺序驻留 </w:t>
      </w:r>
      <w:r>
        <w:rPr/>
        <w:t>GPU</w:t>
      </w:r>
      <w:r>
        <w:rPr/>
        <w:t>。</w:t>
      </w:r>
    </w:p>
    <w:tbl>
      <w:tblPr>
        <w:tblW w:w="8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1"/>
        <w:gridCol w:w="2476"/>
        <w:gridCol w:w="4201"/>
      </w:tblGrid>
      <w:tr>
        <w:trPr>
          <w:tblHeader w:val="true"/>
        </w:trPr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指标类别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最终实测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Heading"/>
              <w:suppressLineNumbers/>
              <w:shd w:fill="E5F0EB" w:val="clear"/>
              <w:bidi w:val="0"/>
              <w:spacing w:before="0" w:after="283"/>
              <w:jc w:val="center"/>
              <w:rPr/>
            </w:pPr>
            <w:r>
              <w:rPr/>
              <w:t>可说明的结论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正式网格完成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13,000/13,000</w:t>
            </w:r>
            <w:r>
              <w:rPr/>
              <w:t>，</w:t>
            </w:r>
            <w:r>
              <w:rPr/>
              <w:t>error 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全量运行和恢复合同完成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found </w:t>
            </w:r>
            <w:r>
              <w:rPr/>
              <w:t>原文追溯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7,688/7,688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内部证据合同完整，不代表语义必然正确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定量字段完整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3,214/3,214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值、单位及来源字段可复算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Qwen </w:t>
            </w:r>
            <w:r>
              <w:rPr/>
              <w:t>运行级生成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 xml:space="preserve">10,015 </w:t>
            </w:r>
            <w:r>
              <w:rPr/>
              <w:t xml:space="preserve">次，调用错误 </w:t>
            </w:r>
            <w:r>
              <w:rPr/>
              <w:t>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运行稳定性证据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总墙钟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 xml:space="preserve">27,928.801 </w:t>
            </w:r>
            <w:r>
              <w:rPr/>
              <w:t>秒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单卡顺序部署的工程耗时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独立准确率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Natural-Gold 0/300</w:t>
            </w:r>
          </w:p>
        </w:tc>
        <w:tc>
          <w:tcPr>
            <w:tcW w:w="4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Precision</w:t>
            </w:r>
            <w:r>
              <w:rPr/>
              <w:t>、</w:t>
            </w:r>
            <w:r>
              <w:rPr/>
              <w:t>Recall</w:t>
            </w:r>
            <w:r>
              <w:rPr/>
              <w:t>、</w:t>
            </w:r>
            <w:r>
              <w:rPr/>
              <w:t xml:space="preserve">F1 </w:t>
            </w:r>
            <w:r>
              <w:rPr/>
              <w:t>继续锁定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 xml:space="preserve">最终结果中有 </w:t>
      </w:r>
      <w:r>
        <w:rPr/>
        <w:t xml:space="preserve">11,280 </w:t>
      </w:r>
      <w:r>
        <w:rPr/>
        <w:t xml:space="preserve">行保留正 </w:t>
      </w:r>
      <w:r>
        <w:rPr>
          <w:rStyle w:val="SourceText"/>
        </w:rPr>
        <w:t>elapsed_seconds</w:t>
      </w:r>
      <w:r>
        <w:rPr/>
        <w:t xml:space="preserve">；该行级样本的耗时中位数为 </w:t>
      </w:r>
      <w:r>
        <w:rPr/>
        <w:t xml:space="preserve">2.765 </w:t>
      </w:r>
      <w:r>
        <w:rPr/>
        <w:t>秒、</w:t>
      </w:r>
      <w:r>
        <w:rPr/>
        <w:t xml:space="preserve">P95 </w:t>
      </w:r>
      <w:r>
        <w:rPr/>
        <w:t xml:space="preserve">为 </w:t>
      </w:r>
      <w:r>
        <w:rPr/>
        <w:t xml:space="preserve">3.683 </w:t>
      </w:r>
      <w:r>
        <w:rPr/>
        <w:t>秒。</w:t>
      </w:r>
      <w:r>
        <w:rPr/>
        <w:t xml:space="preserve">11,280 </w:t>
      </w:r>
      <w:r>
        <w:rPr/>
        <w:t xml:space="preserve">是结果行数，不是生成调用数。工程验证包括严格数据 </w:t>
      </w:r>
      <w:r>
        <w:rPr/>
        <w:t>validation</w:t>
      </w:r>
      <w:r>
        <w:rPr/>
        <w:t>、</w:t>
      </w:r>
      <w:r>
        <w:rPr/>
        <w:t xml:space="preserve">SHA-256 </w:t>
      </w:r>
      <w:r>
        <w:rPr/>
        <w:t>校验、</w:t>
      </w:r>
      <w:r>
        <w:rPr/>
        <w:t xml:space="preserve">Python </w:t>
      </w:r>
      <w:r>
        <w:rPr/>
        <w:t xml:space="preserve">全套单元测试、生产 </w:t>
      </w:r>
      <w:r>
        <w:rPr/>
        <w:t xml:space="preserve">API smoke </w:t>
      </w:r>
      <w:r>
        <w:rPr/>
        <w:t>和前端构建；具体测试项数与通过数以最终验收报告为准。网页只读取当前正式数据集，不再对历史目录静默回退。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2788593"/>
            <wp:effectExtent l="0" t="0" r="0" b="0"/>
            <wp:docPr id="3" name="Image3" descr="" title="推理规模与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推理规模与耗时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7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3 </w:t>
      </w:r>
      <w:r>
        <w:rPr/>
        <w:t xml:space="preserve">说明：运行级生成调用数与总墙钟时间来自同一次冻结正式运行；直方图只统计具有 </w:t>
      </w:r>
      <w:r>
        <w:rPr>
          <w:rStyle w:val="SourceText"/>
        </w:rPr>
        <w:t>elapsed_seconds</w:t>
      </w:r>
      <w:r>
        <w:rPr/>
        <w:t xml:space="preserve"> </w:t>
      </w:r>
      <w:r>
        <w:rPr/>
        <w:t xml:space="preserve">的结果行，并不把该行数称为生成调用数。中位数与 </w:t>
      </w:r>
      <w:r>
        <w:rPr/>
        <w:t xml:space="preserve">P95 </w:t>
      </w:r>
      <w:r>
        <w:rPr/>
        <w:t>描述这些结果行的记录耗时，用于说明单卡顺序部署的吞吐与稳定性，不代表答案质量。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风险包括扫描件 </w:t>
      </w:r>
      <w:r>
        <w:rPr/>
        <w:t xml:space="preserve">OCR </w:t>
      </w:r>
      <w:r>
        <w:rPr/>
        <w:t xml:space="preserve">误差、跨页表格错位、指标口径歧义、单位隐含和模型误判。对应措施为页面级解析、稳定区块 </w:t>
      </w:r>
      <w:r>
        <w:rPr/>
        <w:t>ID</w:t>
      </w:r>
      <w:r>
        <w:rPr/>
        <w:t>、精确引文门、直接</w:t>
      </w:r>
      <w:r>
        <w:rPr/>
        <w:t>/</w:t>
      </w:r>
      <w:r>
        <w:rPr/>
        <w:t xml:space="preserve">推导值分离、人工回原文复核，以及在证据不足时保守输出 </w:t>
      </w:r>
      <w:r>
        <w:rPr/>
        <w:t>missing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技术细节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数据层以 </w:t>
      </w:r>
      <w:r>
        <w:rPr/>
        <w:t>report_id</w:t>
      </w:r>
      <w:r>
        <w:rPr/>
        <w:t>、</w:t>
      </w:r>
      <w:r>
        <w:rPr/>
        <w:t xml:space="preserve">indicator_id </w:t>
      </w:r>
      <w:r>
        <w:rPr/>
        <w:t xml:space="preserve">组成唯一键。解析层保存页码、区块类型、文本和位置；召回层按指标别名和语义候选缩小上下文；推理层输出受约束 </w:t>
      </w:r>
      <w:r>
        <w:rPr/>
        <w:t>JSON</w:t>
      </w:r>
      <w:r>
        <w:rPr/>
        <w:t>；验证层检查字段、枚举、唯一性、证据定位和数值来源。</w:t>
      </w:r>
      <w:r>
        <w:rPr/>
        <w:t xml:space="preserve">209 </w:t>
      </w:r>
      <w:r>
        <w:rPr/>
        <w:t xml:space="preserve">条被重试熔断器保留的记录由 </w:t>
      </w:r>
      <w:r>
        <w:rPr/>
        <w:t xml:space="preserve">Codex Agent </w:t>
      </w:r>
      <w:r>
        <w:rPr/>
        <w:t xml:space="preserve">模拟人工工程复核完成，其中 </w:t>
      </w:r>
      <w:r>
        <w:rPr/>
        <w:t>found 193</w:t>
      </w:r>
      <w:r>
        <w:rPr/>
        <w:t>、</w:t>
      </w:r>
      <w:r>
        <w:rPr/>
        <w:t>missing 16</w:t>
      </w:r>
      <w:r>
        <w:rPr/>
        <w:t>；该过程不是独立人工金标准，不能用于准确率估计。</w:t>
      </w:r>
    </w:p>
    <w:p>
      <w:pPr>
        <w:pStyle w:val="TextBody"/>
        <w:bidi w:val="0"/>
        <w:spacing w:before="0" w:after="283"/>
        <w:jc w:val="start"/>
        <w:rPr/>
      </w:pPr>
      <w:r>
        <w:rPr/>
        <w:t>首轮自动条款映射仅对可确认为沪市的报告启用，其他交易所、境外市场或无法确认上市地的报告不自动给出条款缺口结论。条款命中只是人工复核入口，不是违规认定。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3680135"/>
            <wp:effectExtent l="0" t="0" r="0" b="0"/>
            <wp:docPr id="4" name="Image4" descr="" title="E/S/G 维度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E/S/G 维度覆盖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6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4 </w:t>
      </w:r>
      <w:r>
        <w:rPr/>
        <w:t>说明：</w:t>
      </w:r>
      <w:r>
        <w:rPr/>
        <w:t>E</w:t>
      </w:r>
      <w:r>
        <w:rPr/>
        <w:t>、</w:t>
      </w:r>
      <w:r>
        <w:rPr/>
        <w:t>S</w:t>
      </w:r>
      <w:r>
        <w:rPr/>
        <w:t>、</w:t>
      </w:r>
      <w:r>
        <w:rPr/>
        <w:t xml:space="preserve">G </w:t>
      </w:r>
      <w:r>
        <w:rPr/>
        <w:t xml:space="preserve">三个维度分别展示 </w:t>
      </w:r>
      <w:r>
        <w:rPr/>
        <w:t xml:space="preserve">found </w:t>
      </w:r>
      <w:r>
        <w:rPr/>
        <w:t xml:space="preserve">与 </w:t>
      </w:r>
      <w:r>
        <w:rPr/>
        <w:t xml:space="preserve">missing </w:t>
      </w:r>
      <w:r>
        <w:rPr/>
        <w:t>的绝对数量。</w:t>
      </w:r>
      <w:r>
        <w:rPr/>
        <w:t xml:space="preserve">E </w:t>
      </w:r>
      <w:r>
        <w:rPr/>
        <w:t xml:space="preserve">为 </w:t>
      </w:r>
      <w:r>
        <w:rPr/>
        <w:t>2,363/2,637</w:t>
      </w:r>
      <w:r>
        <w:rPr/>
        <w:t>，</w:t>
      </w:r>
      <w:r>
        <w:rPr/>
        <w:t xml:space="preserve">S </w:t>
      </w:r>
      <w:r>
        <w:rPr/>
        <w:t xml:space="preserve">为 </w:t>
      </w:r>
      <w:r>
        <w:rPr/>
        <w:t>2,550/1,450</w:t>
      </w:r>
      <w:r>
        <w:rPr/>
        <w:t>，</w:t>
      </w:r>
      <w:r>
        <w:rPr/>
        <w:t xml:space="preserve">G </w:t>
      </w:r>
      <w:r>
        <w:rPr/>
        <w:t xml:space="preserve">为 </w:t>
      </w:r>
      <w:r>
        <w:rPr/>
        <w:t>2,775/1,225</w:t>
      </w:r>
      <w:r>
        <w:rPr/>
        <w:t>。差异可能同时来自企业披露习惯、指标池设计、解析质量和模型判定，不能简单归因于某一维度“更好”或某企业“表现更优”。该图用于定位后续分层抽样重点。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3905412"/>
            <wp:effectExtent l="0" t="0" r="0" b="0"/>
            <wp:docPr id="5" name="Image5" descr="" title="报告级 found 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报告级 found 分布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9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5 </w:t>
      </w:r>
      <w:r>
        <w:rPr/>
        <w:t xml:space="preserve">说明：按报告汇总的 </w:t>
      </w:r>
      <w:r>
        <w:rPr/>
        <w:t xml:space="preserve">found </w:t>
      </w:r>
      <w:r>
        <w:rPr/>
        <w:t xml:space="preserve">数最少 </w:t>
      </w:r>
      <w:r>
        <w:rPr/>
        <w:t>0</w:t>
      </w:r>
      <w:r>
        <w:rPr/>
        <w:t xml:space="preserve">、中位数 </w:t>
      </w:r>
      <w:r>
        <w:rPr/>
        <w:t>42</w:t>
      </w:r>
      <w:r>
        <w:rPr/>
        <w:t xml:space="preserve">、最多 </w:t>
      </w:r>
      <w:r>
        <w:rPr/>
        <w:t>57</w:t>
      </w:r>
      <w:r>
        <w:rPr/>
        <w:t>，显示报告之间的结果分布而不是只给总体平均。低值报告需要优先检查是否为扫描质量、版式异常、报告类型差异或真实披露稀疏；高值报告也需防止同一证据被错误泛化到多个指标。分布图因此直接服务于风险分层复核。</w:t>
      </w:r>
    </w:p>
    <w:p>
      <w:pPr>
        <w:pStyle w:val="TextBody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5800000" cy="2153633"/>
            <wp:effectExtent l="0" t="0" r="0" b="0"/>
            <wp:docPr id="6" name="Image6" descr="" title="证据门与定量来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证据门与定量来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1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图 </w:t>
      </w:r>
      <w:r>
        <w:rPr/>
        <w:t xml:space="preserve">6 </w:t>
      </w:r>
      <w:r>
        <w:rPr/>
        <w:t>说明：</w:t>
      </w:r>
      <w:r>
        <w:rPr/>
        <w:t xml:space="preserve">7,688 </w:t>
      </w:r>
      <w:r>
        <w:rPr/>
        <w:t xml:space="preserve">条 </w:t>
      </w:r>
      <w:r>
        <w:rPr/>
        <w:t xml:space="preserve">found </w:t>
      </w:r>
      <w:r>
        <w:rPr/>
        <w:t xml:space="preserve">全部通过原文精确子串与页码区块校验，证据合同失败为 </w:t>
      </w:r>
      <w:r>
        <w:rPr/>
        <w:t>0</w:t>
      </w:r>
      <w:r>
        <w:rPr/>
        <w:t>。</w:t>
      </w:r>
      <w:r>
        <w:rPr/>
        <w:t xml:space="preserve">3,214 </w:t>
      </w:r>
      <w:r>
        <w:rPr/>
        <w:t xml:space="preserve">条定量结果的 </w:t>
      </w:r>
      <w:r>
        <w:rPr/>
        <w:t xml:space="preserve">value origin </w:t>
      </w:r>
      <w:r>
        <w:rPr/>
        <w:t>中，</w:t>
      </w:r>
      <w:r>
        <w:rPr/>
        <w:t xml:space="preserve">3,089 </w:t>
      </w:r>
      <w:r>
        <w:rPr/>
        <w:t>条为直接读取、</w:t>
      </w:r>
      <w:r>
        <w:rPr/>
        <w:t xml:space="preserve">125 </w:t>
      </w:r>
      <w:r>
        <w:rPr/>
        <w:t>条为明确推导；</w:t>
      </w:r>
      <w:r>
        <w:rPr/>
        <w:t xml:space="preserve">unit origin </w:t>
      </w:r>
      <w:r>
        <w:rPr/>
        <w:t>中，</w:t>
      </w:r>
      <w:r>
        <w:rPr/>
        <w:t xml:space="preserve">3,105 </w:t>
      </w:r>
      <w:r>
        <w:rPr/>
        <w:t>条沿用原文单位、</w:t>
      </w:r>
      <w:r>
        <w:rPr/>
        <w:t xml:space="preserve">109 </w:t>
      </w:r>
      <w:r>
        <w:rPr/>
        <w:t xml:space="preserve">条涉及单位归一或推断。两类来源分面展示，计数均在渲染时读取 </w:t>
      </w:r>
      <w:r>
        <w:rPr>
          <w:rStyle w:val="SourceText"/>
        </w:rPr>
        <w:t>validation.json</w:t>
      </w:r>
      <w:r>
        <w:rPr/>
        <w:t>。这里的“通过”仅指内部合同完整，不证明语义结论正确。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计划和分工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团队采用三类工作角色协同：产品与口径角色负责指标定义、场景调研与产品设计；数据与模型角色负责文档解析、模型推理、证据合同和数据验证；系统与交付角色负责网页工作台、测试、材料与演示。报名平台保存经资格审核的队员、排序和指导教师信息；依据竞赛通知的匿名评审边界，提交材料不另行展示学校、学院或指导教师信息。全员共同进行风险审查、金标准方案和最终答辩。当前已完成原型、正式数据、迁移、图表、文档和提交包；下一阶段由两名独立标注员完成 </w:t>
      </w:r>
      <w:r>
        <w:rPr/>
        <w:t xml:space="preserve">300 </w:t>
      </w:r>
      <w:r>
        <w:rPr/>
        <w:t xml:space="preserve">条 </w:t>
      </w:r>
      <w:r>
        <w:rPr/>
        <w:t>Natural-Gold</w:t>
      </w:r>
      <w:r>
        <w:rPr/>
        <w:t>，冲突交由第三人仲裁。</w:t>
      </w:r>
    </w:p>
    <w:p>
      <w:pPr>
        <w:pStyle w:val="Heading1"/>
        <w:bidi w:val="0"/>
        <w:spacing w:before="1247" w:after="567"/>
        <w:ind w:start="1247" w:end="1247" w:hanging="0"/>
        <w:jc w:val="center"/>
        <w:rPr/>
      </w:pPr>
      <w:r>
        <w:rPr/>
        <w:t xml:space="preserve">4 </w:t>
      </w:r>
      <w:r>
        <w:rPr/>
        <w:t>参考资料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Wang B. et al. </w:t>
      </w:r>
      <w:r>
        <w:rPr>
          <w:rStyle w:val="Emphasis"/>
        </w:rPr>
        <w:t>MinerU: An Open-Source Solution for Precise Document Content Extraction</w:t>
      </w:r>
      <w:r>
        <w:rPr/>
        <w:t xml:space="preserve">. arXiv:2409.18839, 2024. DOI: 10.48550/arXiv.2409.18839.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Qwen Team. </w:t>
      </w:r>
      <w:r>
        <w:rPr>
          <w:rStyle w:val="Emphasis"/>
        </w:rPr>
        <w:t>Qwen3.6-27B Model Card</w:t>
      </w:r>
      <w:r>
        <w:rPr/>
        <w:t xml:space="preserve">. Hugging Face model repository, 2026. https://huggingface.co/Qwen/Qwen3.6-27B.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Gao Y. et al. </w:t>
      </w:r>
      <w:r>
        <w:rPr>
          <w:rStyle w:val="Emphasis"/>
        </w:rPr>
        <w:t>Retrieval-Augmented Generation for Large Language Models: A Survey</w:t>
      </w:r>
      <w:r>
        <w:rPr/>
        <w:t xml:space="preserve">. arXiv:2312.10997, 2023.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Fan W. et al. </w:t>
      </w:r>
      <w:r>
        <w:rPr>
          <w:rStyle w:val="Emphasis"/>
        </w:rPr>
        <w:t>A Survey on RAG Meeting LLMs: Towards Retrieval-Augmented Large Language Models</w:t>
      </w:r>
      <w:r>
        <w:rPr/>
        <w:t xml:space="preserve">. KDD 2024. DOI: 10.1145/3637528.3671470.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start="709" w:hanging="283"/>
        <w:jc w:val="start"/>
        <w:rPr/>
      </w:pPr>
      <w:r>
        <w:rPr/>
        <w:t xml:space="preserve">项目数据来源、软件版本、许可证和原创边界详见随附《来源与借鉴台账》《第三方依赖与许可》及冻结数据的 </w:t>
      </w:r>
      <w:r>
        <w:rPr/>
        <w:t xml:space="preserve">provenance </w:t>
      </w:r>
      <w:r>
        <w:rPr/>
        <w:t xml:space="preserve">目录。 </w:t>
      </w:r>
    </w:p>
    <w:sectPr>
      <w:footerReference w:type="default" r:id="rIdClaimGuardFooter"/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ource Han Serif S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 Mono CJK SC">
    <w:altName w:val="monospace"/>
    <w:charset w:val="01" w:characterSet="utf-8"/>
    <w:family w:val="auto"/>
    <w:pitch w:val="default"/>
  </w:font>
  <w:font w:name="Noto Sans CJK SC">
    <w:altName w:val="sans-serif"/>
    <w:charset w:val="01" w:characterSet="utf-8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erif CJK SC;Source Han Serif SC;serif" w:hAnsi="Noto Serif CJK SC;Source Han Serif SC;serif" w:eastAsia="Noto Serif CJK SC;Source Han Serif SC;serif" w:cs="Noto Serif CJK SC;Source Han Serif SC;serif"/>
      <w:color w:val="1D292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1247" w:after="567"/>
      <w:ind w:start="1247" w:end="1247" w:hanging="0"/>
      <w:jc w:val="center"/>
    </w:pPr>
    <w:rPr>
      <w:rFonts w:ascii="Liberation Sans Unicode MS" w:hAnsi="Liberation Sans Unicode MS"/>
      <w:b/>
      <w:bCs/>
      <w:color w:val="173F33"/>
      <w:sz w:val="36"/>
      <w:szCs w:val="36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2" w:space="9" w:color="9CB7AC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85B46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2C6653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11" w:color="4F8873"/>
      </w:pBdr>
      <w:shd w:fill="F1F5F3" w:val="clear"/>
      <w:spacing w:before="227" w:after="227"/>
      <w:ind w:start="227" w:end="227" w:hanging="0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5DED9"/>
        <w:left w:val="single" w:sz="2" w:space="9" w:color="D5DED9"/>
        <w:bottom w:val="single" w:sz="2" w:space="9" w:color="D5DED9"/>
        <w:right w:val="single" w:sz="2" w:space="9" w:color="D5DED9"/>
      </w:pBdr>
      <w:shd w:fill="F5F7F6" w:val="clear"/>
      <w:spacing w:before="0" w:after="0"/>
    </w:pPr>
    <w:rPr>
      <w:rFonts w:ascii="Noto Sans Mono CJK SC;monospace" w:hAnsi="Noto Sans Mono CJK SC;monospace" w:eastAsia="Noto Sans Mono CJK SC;monospace" w:cs="Noto Sans Mono CJK SC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5F0EB" w:val="clear"/>
      <w:jc w:val="center"/>
    </w:pPr>
    <w:rPr>
      <w:b/>
      <w:bCs/>
      <w:color w:val="173F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laimguard-rId2.png"/><Relationship Id="rId3" Type="http://schemas.openxmlformats.org/officeDocument/2006/relationships/image" Target="media/claimguard-rId3.png"/><Relationship Id="rId4" Type="http://schemas.openxmlformats.org/officeDocument/2006/relationships/image" Target="media/claimguard-rId4.png"/><Relationship Id="rId5" Type="http://schemas.openxmlformats.org/officeDocument/2006/relationships/image" Target="media/claimguard-rId5.png"/><Relationship Id="rId6" Type="http://schemas.openxmlformats.org/officeDocument/2006/relationships/image" Target="media/claimguard-rId6.png"/><Relationship Id="rId7" Type="http://schemas.openxmlformats.org/officeDocument/2006/relationships/image" Target="media/claimguard-rId7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Relationship Id="rIdClaimGuar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队不起队不起_ESG ClaimGuard_项目文档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