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47" w:after="567"/>
        <w:rPr/>
      </w:pPr>
      <w:r>
        <w:rPr/>
        <w:t>ESG ClaimGuard</w:t>
      </w:r>
      <w:r>
        <w:rPr/>
        <w:t>：面向可持续披露的证据约束式智能预审系统</w:t>
      </w:r>
    </w:p>
    <w:p>
      <w:pPr>
        <w:pStyle w:val="Heading2"/>
        <w:bidi w:val="0"/>
        <w:jc w:val="start"/>
        <w:rPr/>
      </w:pPr>
      <w:r>
        <w:rPr/>
        <w:t>摘要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针对 </w:t>
      </w:r>
      <w:r>
        <w:rPr/>
        <w:t xml:space="preserve">ESG </w:t>
      </w:r>
      <w:r>
        <w:rPr/>
        <w:t xml:space="preserve">报告版面复杂、指标表达分散、生成式抽取难以审计的问题，本文提出 </w:t>
      </w:r>
      <w:r>
        <w:rPr/>
        <w:t>ESG ClaimGuard</w:t>
      </w:r>
      <w:r>
        <w:rPr/>
        <w:t xml:space="preserve">。方法以文档版面解析、指标候选召回、受约束大模型抽取和确定性证据门组成分层流水线，并将定量结果区分为直接读取、表达式推导和单位归一。系统在 </w:t>
      </w:r>
      <w:r>
        <w:rPr/>
        <w:t xml:space="preserve">200 </w:t>
      </w:r>
      <w:r>
        <w:rPr/>
        <w:t>份报告、</w:t>
      </w:r>
      <w:r>
        <w:rPr/>
        <w:t xml:space="preserve">10,528 </w:t>
      </w:r>
      <w:r>
        <w:rPr/>
        <w:t xml:space="preserve">页和 </w:t>
      </w:r>
      <w:r>
        <w:rPr/>
        <w:t xml:space="preserve">65 </w:t>
      </w:r>
      <w:r>
        <w:rPr/>
        <w:t xml:space="preserve">项指标上生成 </w:t>
      </w:r>
      <w:r>
        <w:rPr/>
        <w:t xml:space="preserve">13,000 </w:t>
      </w:r>
      <w:r>
        <w:rPr/>
        <w:t xml:space="preserve">条唯一结果，其中 </w:t>
      </w:r>
      <w:r>
        <w:rPr/>
        <w:t>found 7,688</w:t>
      </w:r>
      <w:r>
        <w:rPr/>
        <w:t>、</w:t>
      </w:r>
      <w:r>
        <w:rPr/>
        <w:t>missing 5,312</w:t>
      </w:r>
      <w:r>
        <w:rPr/>
        <w:t>、</w:t>
      </w:r>
      <w:r>
        <w:rPr/>
        <w:t>error 0</w:t>
      </w:r>
      <w:r>
        <w:rPr/>
        <w:t xml:space="preserve">。所有 </w:t>
      </w:r>
      <w:r>
        <w:rPr/>
        <w:t xml:space="preserve">found </w:t>
      </w:r>
      <w:r>
        <w:rPr/>
        <w:t>均通过原始解析区块精确子串校验，</w:t>
      </w:r>
      <w:r>
        <w:rPr/>
        <w:t xml:space="preserve">3,214 </w:t>
      </w:r>
      <w:r>
        <w:rPr/>
        <w:t xml:space="preserve">条定量结果均具有值与单位来源。本文强调这些结果证明工程完整性和证据可追溯性，不等同于独立准确率；在 </w:t>
      </w:r>
      <w:r>
        <w:rPr/>
        <w:t xml:space="preserve">300 </w:t>
      </w:r>
      <w:r>
        <w:rPr/>
        <w:t xml:space="preserve">条 </w:t>
      </w:r>
      <w:r>
        <w:rPr/>
        <w:t xml:space="preserve">Natural-Gold </w:t>
      </w:r>
      <w:r>
        <w:rPr/>
        <w:t xml:space="preserve">双人标注完成前，不报告 </w:t>
      </w:r>
      <w:r>
        <w:rPr/>
        <w:t>Precision</w:t>
      </w:r>
      <w:r>
        <w:rPr/>
        <w:t>、</w:t>
      </w:r>
      <w:r>
        <w:rPr/>
        <w:t xml:space="preserve">Recall </w:t>
      </w:r>
      <w:r>
        <w:rPr/>
        <w:t xml:space="preserve">或 </w:t>
      </w:r>
      <w:r>
        <w:rPr/>
        <w:t>F1</w:t>
      </w:r>
      <w:r>
        <w:rPr/>
        <w:t>。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trongEmphasis"/>
        </w:rPr>
        <w:t>关键词：</w:t>
      </w:r>
      <w:r>
        <w:rPr/>
        <w:t xml:space="preserve"> </w:t>
      </w:r>
      <w:r>
        <w:rPr/>
        <w:t>ESG</w:t>
      </w:r>
      <w:r>
        <w:rPr/>
        <w:t>；信息抽取；检索增强生成；证据追溯；人机协同</w:t>
      </w:r>
    </w:p>
    <w:p>
      <w:pPr>
        <w:pStyle w:val="Heading2"/>
        <w:bidi w:val="0"/>
        <w:jc w:val="start"/>
        <w:rPr/>
      </w:pPr>
      <w:r>
        <w:rPr/>
        <w:t xml:space="preserve">1 </w:t>
      </w:r>
      <w:r>
        <w:rPr/>
        <w:t>问题定义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给定报告集合 </w:t>
      </w:r>
      <w:r>
        <w:rPr/>
        <w:t xml:space="preserve">R </w:t>
      </w:r>
      <w:r>
        <w:rPr/>
        <w:t xml:space="preserve">与指标集合 </w:t>
      </w:r>
      <w:r>
        <w:rPr/>
        <w:t>I</w:t>
      </w:r>
      <w:r>
        <w:rPr/>
        <w:t xml:space="preserve">，系统为每个二元组 </w:t>
      </w:r>
      <w:r>
        <w:rPr/>
        <w:t xml:space="preserve">(r, i) </w:t>
      </w:r>
      <w:r>
        <w:rPr/>
        <w:t xml:space="preserve">输出 </w:t>
      </w:r>
      <w:r>
        <w:rPr/>
        <w:t xml:space="preserve">found </w:t>
      </w:r>
      <w:r>
        <w:rPr/>
        <w:t xml:space="preserve">或 </w:t>
      </w:r>
      <w:r>
        <w:rPr/>
        <w:t>missing</w:t>
      </w:r>
      <w:r>
        <w:rPr/>
        <w:t>。</w:t>
      </w:r>
      <w:r>
        <w:rPr/>
        <w:t xml:space="preserve">found </w:t>
      </w:r>
      <w:r>
        <w:rPr/>
        <w:t>必须携带页码、区块、原始引文及结构化值；</w:t>
      </w:r>
      <w:r>
        <w:rPr/>
        <w:t xml:space="preserve">missing </w:t>
      </w:r>
      <w:r>
        <w:rPr/>
        <w:t>表示在当前解析和召回范围内没有满足证据合同的候选，不等价于事实上的未披露。证据门的纯文本约束为：</w:t>
      </w:r>
      <w:r>
        <w:rPr/>
        <w:t xml:space="preserve">evidence_quote q </w:t>
      </w:r>
      <w:r>
        <w:rPr/>
        <w:t xml:space="preserve">必须是 </w:t>
      </w:r>
      <w:r>
        <w:rPr/>
        <w:t xml:space="preserve">canonical block b(r, p) </w:t>
      </w:r>
      <w:r>
        <w:rPr/>
        <w:t xml:space="preserve">的连续精确子串，其中 </w:t>
      </w:r>
      <w:r>
        <w:rPr/>
        <w:t xml:space="preserve">p </w:t>
      </w:r>
      <w:r>
        <w:rPr/>
        <w:t xml:space="preserve">是报告 </w:t>
      </w:r>
      <w:r>
        <w:rPr/>
        <w:t xml:space="preserve">r </w:t>
      </w:r>
      <w:r>
        <w:rPr/>
        <w:t>的页码。</w:t>
      </w:r>
    </w:p>
    <w:p>
      <w:pPr>
        <w:pStyle w:val="Heading2"/>
        <w:bidi w:val="0"/>
        <w:jc w:val="start"/>
        <w:rPr/>
      </w:pPr>
      <w:r>
        <w:rPr/>
        <w:t xml:space="preserve">2 </w:t>
      </w:r>
      <w:r>
        <w:rPr/>
        <w:t>方法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流水线见图 </w:t>
      </w:r>
      <w:r>
        <w:rPr/>
        <w:t>1</w:t>
      </w:r>
      <w:r>
        <w:rPr/>
        <w:t>。</w:t>
      </w:r>
      <w:r>
        <w:rPr/>
        <w:t xml:space="preserve">MinerU </w:t>
      </w:r>
      <w:r>
        <w:rPr/>
        <w:t>建立页级版面区块；候选召回限制模型上下文；</w:t>
      </w:r>
      <w:r>
        <w:rPr/>
        <w:t xml:space="preserve">Qwen3.6 </w:t>
      </w:r>
      <w:r>
        <w:rPr/>
        <w:t xml:space="preserve">输出受约束 </w:t>
      </w:r>
      <w:r>
        <w:rPr/>
        <w:t>JSON</w:t>
      </w:r>
      <w:r>
        <w:rPr/>
        <w:t xml:space="preserve">；确定性验证检查唯一键、状态、引文、页码、区块和定量来源。若数值为直接读取，记录 </w:t>
      </w:r>
      <w:r>
        <w:rPr/>
        <w:t xml:space="preserve">value_origin </w:t>
      </w:r>
      <w:r>
        <w:rPr/>
        <w:t xml:space="preserve">和 </w:t>
      </w:r>
      <w:r>
        <w:rPr/>
        <w:t>unit_origin</w:t>
      </w:r>
      <w:r>
        <w:rPr/>
        <w:t xml:space="preserve">；若为推导值，同时保存 </w:t>
      </w:r>
      <w:r>
        <w:rPr/>
        <w:t xml:space="preserve">derivation_expression </w:t>
      </w:r>
      <w:r>
        <w:rPr/>
        <w:t xml:space="preserve">与 </w:t>
      </w:r>
      <w:r>
        <w:rPr/>
        <w:t>derivation_inputs</w:t>
      </w:r>
      <w:r>
        <w:rPr/>
        <w:t xml:space="preserve">。任何强制字段失败均保守退化为 </w:t>
      </w:r>
      <w:r>
        <w:rPr/>
        <w:t xml:space="preserve">missing </w:t>
      </w:r>
      <w:r>
        <w:rPr/>
        <w:t>或进入人工复核。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7976235" cy="2855595"/>
            <wp:effectExtent l="0" t="0" r="0" b="0"/>
            <wp:docPr id="1" name="Image1" descr="" title="图 1　ESG ClaimGuard 顺序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图 1　ESG ClaimGuard 顺序流水线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23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start"/>
        <w:rPr/>
      </w:pPr>
      <w:r>
        <w:rPr/>
        <w:t xml:space="preserve">3 </w:t>
      </w:r>
      <w:r>
        <w:rPr/>
        <w:t>数据与实验协议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冻结队列由 </w:t>
      </w:r>
      <w:r>
        <w:rPr>
          <w:rStyle w:val="SourceText"/>
        </w:rPr>
        <w:t>input_manifest.csv</w:t>
      </w:r>
      <w:r>
        <w:rPr/>
        <w:t xml:space="preserve"> </w:t>
      </w:r>
      <w:r>
        <w:rPr/>
        <w:t xml:space="preserve">选取 </w:t>
      </w:r>
      <w:r>
        <w:rPr/>
        <w:t xml:space="preserve">200 </w:t>
      </w:r>
      <w:r>
        <w:rPr/>
        <w:t xml:space="preserve">份公开 </w:t>
      </w:r>
      <w:r>
        <w:rPr/>
        <w:t xml:space="preserve">ESG </w:t>
      </w:r>
      <w:r>
        <w:rPr/>
        <w:t xml:space="preserve">类报告，共 </w:t>
      </w:r>
      <w:r>
        <w:rPr/>
        <w:t xml:space="preserve">10,528 </w:t>
      </w:r>
      <w:r>
        <w:rPr/>
        <w:t xml:space="preserve">页；项目目录中的其他 </w:t>
      </w:r>
      <w:r>
        <w:rPr/>
        <w:t xml:space="preserve">PDF </w:t>
      </w:r>
      <w:r>
        <w:rPr/>
        <w:t xml:space="preserve">不属于该正式队列。指标池含环境 </w:t>
      </w:r>
      <w:r>
        <w:rPr/>
        <w:t>25</w:t>
      </w:r>
      <w:r>
        <w:rPr/>
        <w:t xml:space="preserve">、社会 </w:t>
      </w:r>
      <w:r>
        <w:rPr/>
        <w:t>20</w:t>
      </w:r>
      <w:r>
        <w:rPr/>
        <w:t xml:space="preserve">、治理 </w:t>
      </w:r>
      <w:r>
        <w:rPr/>
        <w:t xml:space="preserve">20 </w:t>
      </w:r>
      <w:r>
        <w:rPr/>
        <w:t xml:space="preserve">项，形成 </w:t>
      </w:r>
      <w:r>
        <w:rPr/>
        <w:t xml:space="preserve">13,000 </w:t>
      </w:r>
      <w:r>
        <w:rPr/>
        <w:t xml:space="preserve">个 </w:t>
      </w:r>
      <w:r>
        <w:rPr/>
        <w:t xml:space="preserve">report×indicator </w:t>
      </w:r>
      <w:r>
        <w:rPr/>
        <w:t xml:space="preserve">任务。正式运行使用 </w:t>
      </w:r>
      <w:r>
        <w:rPr/>
        <w:t xml:space="preserve">MinerU2.5-Pro-2605-1.2B </w:t>
      </w:r>
      <w:r>
        <w:rPr/>
        <w:t xml:space="preserve">和 </w:t>
      </w:r>
      <w:r>
        <w:rPr/>
        <w:t>Qwen3.6-27B Q4_K_M</w:t>
      </w:r>
      <w:r>
        <w:rPr/>
        <w:t xml:space="preserve">。本项目将 </w:t>
      </w:r>
      <w:r>
        <w:rPr/>
        <w:t xml:space="preserve">Qwen </w:t>
      </w:r>
      <w:r>
        <w:rPr/>
        <w:t xml:space="preserve">官方仓库中的 </w:t>
      </w:r>
      <w:r>
        <w:rPr/>
        <w:t xml:space="preserve">Qwen3.6-27B </w:t>
      </w:r>
      <w:r>
        <w:rPr/>
        <w:t xml:space="preserve">以 </w:t>
      </w:r>
      <w:r>
        <w:rPr/>
        <w:t xml:space="preserve">Q4_K_M </w:t>
      </w:r>
      <w:r>
        <w:rPr/>
        <w:t xml:space="preserve">量化形态部署，仅使用文本输入和 </w:t>
      </w:r>
      <w:r>
        <w:rPr/>
        <w:t xml:space="preserve">8,192 token </w:t>
      </w:r>
      <w:r>
        <w:rPr/>
        <w:t xml:space="preserve">运行上下文；模型身份与许可依据官方模型卡记录 </w:t>
      </w:r>
      <w:r>
        <w:rPr/>
        <w:t>[2]</w:t>
      </w:r>
      <w:r>
        <w:rPr/>
        <w:t>。</w:t>
      </w:r>
      <w:r>
        <w:rPr/>
        <w:t xml:space="preserve">209 </w:t>
      </w:r>
      <w:r>
        <w:rPr/>
        <w:t xml:space="preserve">条被重试熔断器保留的记录由 </w:t>
      </w:r>
      <w:r>
        <w:rPr/>
        <w:t xml:space="preserve">Codex Agent </w:t>
      </w:r>
      <w:r>
        <w:rPr/>
        <w:t xml:space="preserve">模拟人工工程复核，其中 </w:t>
      </w:r>
      <w:r>
        <w:rPr/>
        <w:t>found 193</w:t>
      </w:r>
      <w:r>
        <w:rPr/>
        <w:t>、</w:t>
      </w:r>
      <w:r>
        <w:rPr/>
        <w:t>missing 16</w:t>
      </w:r>
      <w:r>
        <w:rPr/>
        <w:t>；该集合不作为独立测试集。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效果评估预注册 </w:t>
      </w:r>
      <w:r>
        <w:rPr/>
        <w:t xml:space="preserve">300 </w:t>
      </w:r>
      <w:r>
        <w:rPr/>
        <w:t xml:space="preserve">条 </w:t>
      </w:r>
      <w:r>
        <w:rPr/>
        <w:t>Natural-Gold</w:t>
      </w:r>
      <w:r>
        <w:rPr/>
        <w:t>，由两名人员独立标注，冲突交第三人仲裁，并在同一集合上比较关键词</w:t>
      </w:r>
      <w:r>
        <w:rPr/>
        <w:t>/</w:t>
      </w:r>
      <w:r>
        <w:rPr/>
        <w:t xml:space="preserve">正则、整份 </w:t>
      </w:r>
      <w:r>
        <w:rPr/>
        <w:t xml:space="preserve">PDF </w:t>
      </w:r>
      <w:r>
        <w:rPr/>
        <w:t xml:space="preserve">单次问答、普通 </w:t>
      </w:r>
      <w:r>
        <w:rPr/>
        <w:t xml:space="preserve">RAG </w:t>
      </w:r>
      <w:r>
        <w:rPr/>
        <w:t>与本方法。在金标准锁定前，本文只报告覆盖、证据合同、运行稳定性和时延。</w:t>
      </w:r>
    </w:p>
    <w:p>
      <w:pPr>
        <w:pStyle w:val="Heading2"/>
        <w:bidi w:val="0"/>
        <w:jc w:val="start"/>
        <w:rPr/>
      </w:pPr>
      <w:r>
        <w:rPr/>
        <w:t xml:space="preserve">4 </w:t>
      </w:r>
      <w:r>
        <w:rPr/>
        <w:t>结果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正式结果为 </w:t>
      </w:r>
      <w:r>
        <w:rPr/>
        <w:t>found 7,688</w:t>
      </w:r>
      <w:r>
        <w:rPr/>
        <w:t>、</w:t>
      </w:r>
      <w:r>
        <w:rPr/>
        <w:t>missing 5,312</w:t>
      </w:r>
      <w:r>
        <w:rPr/>
        <w:t>、</w:t>
      </w:r>
      <w:r>
        <w:rPr/>
        <w:t>error 0</w:t>
      </w:r>
      <w:r>
        <w:rPr/>
        <w:t xml:space="preserve">，唯一键 </w:t>
      </w:r>
      <w:r>
        <w:rPr/>
        <w:t>13,000/13,000</w:t>
      </w:r>
      <w:r>
        <w:rPr/>
        <w:t>。</w:t>
      </w:r>
      <w:r>
        <w:rPr/>
        <w:t xml:space="preserve">E/S/G </w:t>
      </w:r>
      <w:r>
        <w:rPr/>
        <w:t xml:space="preserve">的 </w:t>
      </w:r>
      <w:r>
        <w:rPr/>
        <w:t xml:space="preserve">found </w:t>
      </w:r>
      <w:r>
        <w:rPr/>
        <w:t xml:space="preserve">数分别为 </w:t>
      </w:r>
      <w:r>
        <w:rPr/>
        <w:t>2,363</w:t>
      </w:r>
      <w:r>
        <w:rPr/>
        <w:t>、</w:t>
      </w:r>
      <w:r>
        <w:rPr/>
        <w:t>2,550</w:t>
      </w:r>
      <w:r>
        <w:rPr/>
        <w:t>、</w:t>
      </w:r>
      <w:r>
        <w:rPr/>
        <w:t>2,775</w:t>
      </w:r>
      <w:r>
        <w:rPr/>
        <w:t xml:space="preserve">；报告级 </w:t>
      </w:r>
      <w:r>
        <w:rPr/>
        <w:t xml:space="preserve">found </w:t>
      </w:r>
      <w:r>
        <w:rPr/>
        <w:t xml:space="preserve">数最小 </w:t>
      </w:r>
      <w:r>
        <w:rPr/>
        <w:t>0</w:t>
      </w:r>
      <w:r>
        <w:rPr/>
        <w:t xml:space="preserve">、中位数 </w:t>
      </w:r>
      <w:r>
        <w:rPr/>
        <w:t>42</w:t>
      </w:r>
      <w:r>
        <w:rPr/>
        <w:t xml:space="preserve">、最大 </w:t>
      </w:r>
      <w:r>
        <w:rPr/>
        <w:t>57</w:t>
      </w:r>
      <w:r>
        <w:rPr/>
        <w:t xml:space="preserve">。运行级生成调用为 </w:t>
      </w:r>
      <w:r>
        <w:rPr/>
        <w:t xml:space="preserve">10,015 </w:t>
      </w:r>
      <w:r>
        <w:rPr/>
        <w:t xml:space="preserve">次，总墙钟 </w:t>
      </w:r>
      <w:r>
        <w:rPr/>
        <w:t xml:space="preserve">27,928.801 </w:t>
      </w:r>
      <w:r>
        <w:rPr/>
        <w:t xml:space="preserve">秒；最终结果中 </w:t>
      </w:r>
      <w:r>
        <w:rPr/>
        <w:t xml:space="preserve">11,280 </w:t>
      </w:r>
      <w:r>
        <w:rPr/>
        <w:t xml:space="preserve">行保留正 </w:t>
      </w:r>
      <w:r>
        <w:rPr>
          <w:rStyle w:val="SourceText"/>
        </w:rPr>
        <w:t>elapsed_seconds</w:t>
      </w:r>
      <w:r>
        <w:rPr/>
        <w:t xml:space="preserve">，该行级样本的中位数为 </w:t>
      </w:r>
      <w:r>
        <w:rPr/>
        <w:t xml:space="preserve">2.765 </w:t>
      </w:r>
      <w:r>
        <w:rPr/>
        <w:t>秒、</w:t>
      </w:r>
      <w:r>
        <w:rPr/>
        <w:t xml:space="preserve">P95 </w:t>
      </w:r>
      <w:r>
        <w:rPr/>
        <w:t xml:space="preserve">为 </w:t>
      </w:r>
      <w:r>
        <w:rPr/>
        <w:t xml:space="preserve">3.683 </w:t>
      </w:r>
      <w:r>
        <w:rPr/>
        <w:t>秒。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2 </w:t>
      </w:r>
      <w:r>
        <w:rPr/>
        <w:t xml:space="preserve">将运行级生成调用数与有 </w:t>
      </w:r>
      <w:r>
        <w:rPr>
          <w:rStyle w:val="SourceText"/>
        </w:rPr>
        <w:t>elapsed_seconds</w:t>
      </w:r>
      <w:r>
        <w:rPr/>
        <w:t xml:space="preserve"> </w:t>
      </w:r>
      <w:r>
        <w:rPr/>
        <w:t xml:space="preserve">的结果行明确分开：直方图中的 </w:t>
      </w:r>
      <w:r>
        <w:rPr/>
        <w:t xml:space="preserve">11,280 </w:t>
      </w:r>
      <w:r>
        <w:rPr/>
        <w:t xml:space="preserve">个样本是有耗时记录的结果行，不是 </w:t>
      </w:r>
      <w:r>
        <w:rPr/>
        <w:t xml:space="preserve">10,015 </w:t>
      </w:r>
      <w:r>
        <w:rPr/>
        <w:t>次生成调用。两者来自不同统计层级，不能互换。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8082915" cy="3886200"/>
            <wp:effectExtent l="0" t="0" r="0" b="0"/>
            <wp:docPr id="2" name="Image2" descr="" title="图 2　运行级调用卡片与有耗时记录的结果行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图 2　运行级调用卡片与有耗时记录的结果行分布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291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>证据合同方面，</w:t>
      </w:r>
      <w:r>
        <w:rPr/>
        <w:t xml:space="preserve">7,688 </w:t>
      </w:r>
      <w:r>
        <w:rPr/>
        <w:t xml:space="preserve">条 </w:t>
      </w:r>
      <w:r>
        <w:rPr/>
        <w:t xml:space="preserve">found </w:t>
      </w:r>
      <w:r>
        <w:rPr/>
        <w:t xml:space="preserve">全部满足原始精确子串与页码区块追溯，失败 </w:t>
      </w:r>
      <w:r>
        <w:rPr/>
        <w:t>0</w:t>
      </w:r>
      <w:r>
        <w:rPr/>
        <w:t>。</w:t>
      </w:r>
      <w:r>
        <w:rPr/>
        <w:t xml:space="preserve">3,214 </w:t>
      </w:r>
      <w:r>
        <w:rPr/>
        <w:t xml:space="preserve">条定量结果的 </w:t>
      </w:r>
      <w:r>
        <w:rPr/>
        <w:t xml:space="preserve">value origin </w:t>
      </w:r>
      <w:r>
        <w:rPr/>
        <w:t xml:space="preserve">为直接读取 </w:t>
      </w:r>
      <w:r>
        <w:rPr/>
        <w:t xml:space="preserve">3,089 </w:t>
      </w:r>
      <w:r>
        <w:rPr/>
        <w:t xml:space="preserve">条、明确推导 </w:t>
      </w:r>
      <w:r>
        <w:rPr/>
        <w:t xml:space="preserve">125 </w:t>
      </w:r>
      <w:r>
        <w:rPr/>
        <w:t>条；</w:t>
      </w:r>
      <w:r>
        <w:rPr/>
        <w:t xml:space="preserve">unit origin </w:t>
      </w:r>
      <w:r>
        <w:rPr/>
        <w:t xml:space="preserve">为原文单位 </w:t>
      </w:r>
      <w:r>
        <w:rPr/>
        <w:t xml:space="preserve">3,105 </w:t>
      </w:r>
      <w:r>
        <w:rPr/>
        <w:t xml:space="preserve">条、单位归一或推断 </w:t>
      </w:r>
      <w:r>
        <w:rPr/>
        <w:t xml:space="preserve">109 </w:t>
      </w:r>
      <w:r>
        <w:rPr/>
        <w:t xml:space="preserve">条。这些计数由文档渲染器从正式 </w:t>
      </w:r>
      <w:r>
        <w:rPr>
          <w:rStyle w:val="SourceText"/>
        </w:rPr>
        <w:t>validation.json</w:t>
      </w:r>
      <w:r>
        <w:rPr/>
        <w:t xml:space="preserve"> </w:t>
      </w:r>
      <w:r>
        <w:rPr/>
        <w:t>注入，不在论文中固化旧值。上述“全部通过”仅表示内部字段和追溯合同完整，不能作为语义准确率。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9997440" cy="3712210"/>
            <wp:effectExtent l="0" t="0" r="0" b="0"/>
            <wp:docPr id="3" name="Image3" descr="" title="图 3　证据完成门、value origin 与 unit origin 分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图 3　证据完成门、value origin 与 unit origin 分面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744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start"/>
        <w:rPr/>
      </w:pPr>
      <w:r>
        <w:rPr/>
        <w:t xml:space="preserve">5 </w:t>
      </w:r>
      <w:r>
        <w:rPr/>
        <w:t>讨论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系统的主要贡献是把生成式抽取限制在可复核证据链中。相比自由问答，评审者可以定位原文并复算推导值；相比关键词，系统能处理同义语义；相比普通 </w:t>
      </w:r>
      <w:r>
        <w:rPr/>
        <w:t>RAG</w:t>
      </w:r>
      <w:r>
        <w:rPr/>
        <w:t xml:space="preserve">，缺失与定量来源成为显式合同。局限包括 </w:t>
      </w:r>
      <w:r>
        <w:rPr/>
        <w:t xml:space="preserve">OCR </w:t>
      </w:r>
      <w:r>
        <w:rPr/>
        <w:t>误差、跨页表格、隐含范围和行业口径差异。未来工作应完成独立金标准、报告分层抽样、跨年度一致性与校准研究。</w:t>
      </w:r>
    </w:p>
    <w:p>
      <w:pPr>
        <w:pStyle w:val="Heading2"/>
        <w:bidi w:val="0"/>
        <w:jc w:val="start"/>
        <w:rPr/>
      </w:pPr>
      <w:r>
        <w:rPr/>
        <w:t xml:space="preserve">6 </w:t>
      </w:r>
      <w:r>
        <w:rPr/>
        <w:t>结论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ESG ClaimGuard </w:t>
      </w:r>
      <w:r>
        <w:rPr/>
        <w:t>已证明在完整冻结数据上可运行、可追溯、可人工处置。其当前可信主张是工程完整性而非准确率领先；这一边界使后续独立评估具有可证伪性，也符合审计场景对证据和责任的要求。</w:t>
      </w:r>
    </w:p>
    <w:p>
      <w:pPr>
        <w:pStyle w:val="Heading2"/>
        <w:bidi w:val="0"/>
        <w:jc w:val="start"/>
        <w:rPr/>
      </w:pPr>
      <w:r>
        <w:rPr/>
        <w:t>参考文献</w:t>
      </w:r>
    </w:p>
    <w:p>
      <w:pPr>
        <w:pStyle w:val="TextBody"/>
        <w:bidi w:val="0"/>
        <w:spacing w:before="0" w:after="283"/>
        <w:jc w:val="start"/>
        <w:rPr/>
      </w:pPr>
      <w:r>
        <w:rPr/>
        <w:t>[1] Wang B. et al. MinerU: An Open-Source Solution for Precise Document Content Extraction. arXiv:2409.18839, 2024.</w:t>
        <w:br/>
        <w:t>[2] Qwen Team. Qwen3.6-27B Model Card. Hugging Face model repository, 2026. https://huggingface.co/Qwen/Qwen3.6-27B.</w:t>
        <w:br/>
        <w:t>[3] Yang A. et al. Qwen3 Technical Report. arXiv:2505.09388, 2025.</w:t>
        <w:br/>
        <w:t>[4] Gao Y. et al. Retrieval-Augmented Generation for Large Language Models: A Survey. arXiv:2312.10997, 2023.</w:t>
        <w:br/>
        <w:t>[5] Fan W. et al. A Survey on RAG Meeting LLMs. KDD, 2024.</w:t>
      </w:r>
    </w:p>
    <w:sectPr>
      <w:footerReference w:type="default" r:id="rIdClaimGuardFooter"/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ource Han Serif S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 Mono CJK SC">
    <w:altName w:val="monospace"/>
    <w:charset w:val="01" w:characterSet="utf-8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erif CJK SC;Source Han Serif SC;serif" w:hAnsi="Noto Serif CJK SC;Source Han Serif SC;serif" w:eastAsia="Noto Serif CJK SC;Source Han Serif SC;serif" w:cs="Noto Serif CJK SC;Source Han Serif SC;serif"/>
      <w:color w:val="1D292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247" w:after="567"/>
      <w:ind w:start="1247" w:end="1247" w:hanging="0"/>
      <w:jc w:val="center"/>
    </w:pPr>
    <w:rPr>
      <w:rFonts w:ascii="Liberation Sans Unicode MS" w:hAnsi="Liberation Sans Unicode MS"/>
      <w:b/>
      <w:bCs/>
      <w:color w:val="173F33"/>
      <w:sz w:val="36"/>
      <w:szCs w:val="36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9" w:color="9CB7AC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5B46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C6653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1" w:color="4F8873"/>
      </w:pBdr>
      <w:shd w:fill="F1F5F3" w:val="clear"/>
      <w:spacing w:before="227" w:after="227"/>
      <w:ind w:start="227" w:end="227" w:hanging="0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5DED9"/>
        <w:left w:val="single" w:sz="2" w:space="9" w:color="D5DED9"/>
        <w:bottom w:val="single" w:sz="2" w:space="9" w:color="D5DED9"/>
        <w:right w:val="single" w:sz="2" w:space="9" w:color="D5DED9"/>
      </w:pBdr>
      <w:shd w:fill="F5F7F6" w:val="clear"/>
      <w:spacing w:before="0" w:after="0"/>
    </w:pPr>
    <w:rPr>
      <w:rFonts w:ascii="Noto Sans Mono CJK SC;monospace" w:hAnsi="Noto Sans Mono CJK SC;monospace" w:eastAsia="Noto Sans Mono CJK SC;monospace" w:cs="Noto Sans Mono CJK SC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5F0EB" w:val="clear"/>
      <w:jc w:val="center"/>
    </w:pPr>
    <w:rPr>
      <w:b/>
      <w:bCs/>
      <w:color w:val="173F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data/sues01/contest_xiaoshumo/latex/figures/fig_pipeline.png" TargetMode="External"/><Relationship Id="rId3" Type="http://schemas.openxmlformats.org/officeDocument/2006/relationships/image" Target="file:///data/sues01/contest_xiaoshumo/latex/figures/fig_inference.png" TargetMode="External"/><Relationship Id="rId4" Type="http://schemas.openxmlformats.org/officeDocument/2006/relationships/image" Target="file:///data/sues01/contest_xiaoshumo/latex/figures/fig_evidence_gate.png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Relationship Id="rIdClaimGuar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ESG_ClaimGuard_技术论文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