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1CC6" w14:textId="5CD46B36" w:rsidR="00B34819" w:rsidRDefault="00000000">
      <w:pPr>
        <w:pStyle w:val="1"/>
        <w:spacing w:after="0"/>
        <w:jc w:val="center"/>
        <w:rPr>
          <w:bCs w:val="0"/>
          <w:sz w:val="28"/>
          <w:szCs w:val="28"/>
        </w:rPr>
      </w:pPr>
      <w:bookmarkStart w:id="0" w:name="_Toc388433442"/>
      <w:bookmarkStart w:id="1" w:name="_Toc388433612"/>
      <w:r>
        <w:rPr>
          <w:rFonts w:hint="eastAsia"/>
          <w:bCs w:val="0"/>
          <w:sz w:val="28"/>
          <w:szCs w:val="28"/>
        </w:rPr>
        <w:t>《</w:t>
      </w:r>
      <w:r w:rsidR="00A5718B">
        <w:rPr>
          <w:rFonts w:hint="eastAsia"/>
          <w:bCs w:val="0"/>
          <w:sz w:val="28"/>
          <w:szCs w:val="28"/>
        </w:rPr>
        <w:t>光纤通信</w:t>
      </w:r>
      <w:r>
        <w:rPr>
          <w:rFonts w:hint="eastAsia"/>
          <w:bCs w:val="0"/>
          <w:sz w:val="28"/>
          <w:szCs w:val="28"/>
        </w:rPr>
        <w:t>》实验报告</w:t>
      </w:r>
      <w:bookmarkEnd w:id="0"/>
      <w:bookmarkEnd w:id="1"/>
      <w:r w:rsidR="00A5718B">
        <w:rPr>
          <w:rFonts w:hint="eastAsia"/>
          <w:bCs w:val="0"/>
          <w:sz w:val="28"/>
          <w:szCs w:val="28"/>
        </w:rPr>
        <w:t>3</w:t>
      </w:r>
    </w:p>
    <w:p w14:paraId="65729C7D" w14:textId="77777777" w:rsidR="00B34819" w:rsidRDefault="00000000">
      <w:pPr>
        <w:ind w:firstLineChars="1400" w:firstLine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"/>
        <w:gridCol w:w="1708"/>
        <w:gridCol w:w="837"/>
        <w:gridCol w:w="1195"/>
        <w:gridCol w:w="880"/>
        <w:gridCol w:w="2591"/>
      </w:tblGrid>
      <w:tr w:rsidR="00B34819" w14:paraId="41F18EEC" w14:textId="77777777" w:rsidTr="00A5718B">
        <w:trPr>
          <w:trHeight w:val="620"/>
        </w:trPr>
        <w:tc>
          <w:tcPr>
            <w:tcW w:w="1127" w:type="dxa"/>
            <w:shd w:val="clear" w:color="auto" w:fill="auto"/>
            <w:vAlign w:val="center"/>
          </w:tcPr>
          <w:p w14:paraId="78EA48F7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EFE189A" w14:textId="77777777" w:rsidR="00B34819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0502A2F1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131A69B" w14:textId="77777777" w:rsidR="00B34819" w:rsidRDefault="0000000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8D164D8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141698D3" w14:textId="5D98197D" w:rsidR="004A5931" w:rsidRDefault="00000000" w:rsidP="004A5931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M44022410</w:t>
            </w:r>
            <w:r w:rsidR="004A5931">
              <w:rPr>
                <w:rFonts w:hint="eastAsia"/>
                <w:kern w:val="0"/>
                <w:szCs w:val="21"/>
              </w:rPr>
              <w:t xml:space="preserve">1 </w:t>
            </w:r>
            <w:r w:rsidR="004A5931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B34819" w14:paraId="0C15C34D" w14:textId="77777777" w:rsidTr="00A5718B">
        <w:trPr>
          <w:trHeight w:val="615"/>
        </w:trPr>
        <w:tc>
          <w:tcPr>
            <w:tcW w:w="1127" w:type="dxa"/>
            <w:shd w:val="clear" w:color="auto" w:fill="auto"/>
            <w:vAlign w:val="center"/>
          </w:tcPr>
          <w:p w14:paraId="6B04DD62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实验名称</w:t>
            </w:r>
          </w:p>
        </w:tc>
        <w:tc>
          <w:tcPr>
            <w:tcW w:w="7169" w:type="dxa"/>
            <w:gridSpan w:val="5"/>
            <w:shd w:val="clear" w:color="auto" w:fill="auto"/>
            <w:vAlign w:val="center"/>
          </w:tcPr>
          <w:p w14:paraId="34ADD6CA" w14:textId="77777777" w:rsidR="00B34819" w:rsidRDefault="00000000">
            <w:pPr>
              <w:spacing w:line="360" w:lineRule="auto"/>
              <w:ind w:firstLineChars="1100" w:firstLine="2640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扰码及解扰码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实验</w:t>
            </w:r>
          </w:p>
        </w:tc>
      </w:tr>
      <w:tr w:rsidR="00B34819" w14:paraId="69DD6E02" w14:textId="77777777" w:rsidTr="00A5718B">
        <w:trPr>
          <w:trHeight w:val="9331"/>
        </w:trPr>
        <w:tc>
          <w:tcPr>
            <w:tcW w:w="8296" w:type="dxa"/>
            <w:gridSpan w:val="6"/>
            <w:shd w:val="clear" w:color="auto" w:fill="auto"/>
          </w:tcPr>
          <w:p w14:paraId="39F21220" w14:textId="77777777" w:rsidR="00B34819" w:rsidRDefault="00000000">
            <w:pPr>
              <w:spacing w:beforeLines="50" w:before="156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6AE3576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、了解和掌握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扰码和解扰码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原理</w:t>
            </w:r>
          </w:p>
          <w:p w14:paraId="3445AF8F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、了解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码在光纤传输系统中的用途</w:t>
            </w:r>
          </w:p>
          <w:p w14:paraId="706CC38F" w14:textId="77777777" w:rsidR="00B34819" w:rsidRDefault="00000000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0"/>
              </w:rPr>
              <w:t>实验</w:t>
            </w:r>
            <w:r>
              <w:rPr>
                <w:rFonts w:hint="eastAsia"/>
                <w:kern w:val="0"/>
                <w:sz w:val="24"/>
                <w:szCs w:val="20"/>
              </w:rPr>
              <w:t>器材</w:t>
            </w:r>
            <w:r>
              <w:rPr>
                <w:kern w:val="0"/>
                <w:sz w:val="24"/>
                <w:szCs w:val="20"/>
              </w:rPr>
              <w:t>:</w:t>
            </w:r>
          </w:p>
          <w:p w14:paraId="17973126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主控</w:t>
            </w:r>
            <w:r>
              <w:rPr>
                <w:rFonts w:hAnsi="宋体"/>
                <w:kern w:val="0"/>
                <w:sz w:val="24"/>
                <w:szCs w:val="24"/>
              </w:rPr>
              <w:t>&amp;</w:t>
            </w:r>
            <w:r>
              <w:rPr>
                <w:rFonts w:hAnsi="宋体"/>
                <w:kern w:val="0"/>
                <w:sz w:val="24"/>
                <w:szCs w:val="24"/>
              </w:rPr>
              <w:t>信号源模块、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8 </w:t>
            </w:r>
            <w:r>
              <w:rPr>
                <w:rFonts w:hAnsi="宋体"/>
                <w:kern w:val="0"/>
                <w:sz w:val="24"/>
                <w:szCs w:val="24"/>
              </w:rPr>
              <w:t>号模块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hAnsi="宋体"/>
                <w:kern w:val="0"/>
                <w:sz w:val="24"/>
                <w:szCs w:val="24"/>
              </w:rPr>
              <w:t>各一块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1E453D5F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双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踪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示波器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hAnsi="宋体"/>
                <w:kern w:val="0"/>
                <w:sz w:val="24"/>
                <w:szCs w:val="24"/>
              </w:rPr>
              <w:t>一台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615032B0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3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连接线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hAnsi="宋体"/>
                <w:kern w:val="0"/>
                <w:sz w:val="24"/>
                <w:szCs w:val="24"/>
              </w:rPr>
              <w:t>若干</w:t>
            </w:r>
          </w:p>
          <w:p w14:paraId="5CB56739" w14:textId="77777777" w:rsidR="00B34819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3645D504" w14:textId="6EEE31D7" w:rsidR="00B34819" w:rsidRDefault="00796A6B">
            <w:pPr>
              <w:spacing w:line="360" w:lineRule="auto"/>
              <w:jc w:val="center"/>
              <w:rPr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3B062C" wp14:editId="0C81E9AC">
                  <wp:extent cx="4618355" cy="179133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" r="90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355" cy="179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009D617" w14:textId="77777777" w:rsidR="00B34819" w:rsidRDefault="00000000">
            <w:pPr>
              <w:spacing w:line="360" w:lineRule="auto"/>
              <w:ind w:firstLineChars="200" w:firstLine="48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本实验是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观测扰码波形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，从而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了解扰码的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原理和用途。</w:t>
            </w:r>
          </w:p>
          <w:p w14:paraId="04670FD1" w14:textId="77777777" w:rsidR="00B34819" w:rsidRDefault="00000000">
            <w:pPr>
              <w:spacing w:line="360" w:lineRule="auto"/>
              <w:ind w:firstLineChars="200" w:firstLine="48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扰码原理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是以线性回馈移位寄存器理论作为基础的。在数字基带信号传输中，将二进数字信息先作“随机化”处理，变为伪随机序列，从而限制连“</w:t>
            </w:r>
            <w:r>
              <w:rPr>
                <w:rFonts w:hAnsi="宋体"/>
                <w:kern w:val="0"/>
                <w:sz w:val="24"/>
                <w:szCs w:val="24"/>
              </w:rPr>
              <w:t>0</w:t>
            </w:r>
            <w:r>
              <w:rPr>
                <w:rFonts w:hAnsi="宋体"/>
                <w:kern w:val="0"/>
                <w:sz w:val="24"/>
                <w:szCs w:val="24"/>
              </w:rPr>
              <w:t>”或连“</w:t>
            </w: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”码的长度，以保证位定时信息恢复的质量，这种“随机化”处理称为“扰码”。在接收端解除这“扰乱”的过程称为“解扰”。当输入二进信息码为全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0 </w:t>
            </w:r>
            <w:r>
              <w:rPr>
                <w:rFonts w:hAnsi="宋体"/>
                <w:kern w:val="0"/>
                <w:sz w:val="24"/>
                <w:szCs w:val="24"/>
              </w:rPr>
              <w:t>码时，扰码器实际上就是一个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m </w:t>
            </w:r>
            <w:r>
              <w:rPr>
                <w:rFonts w:hAnsi="宋体"/>
                <w:kern w:val="0"/>
                <w:sz w:val="24"/>
                <w:szCs w:val="24"/>
              </w:rPr>
              <w:t>序列伪随机码发生器。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采用扰码方法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的主要缺点是对系统的误码性能有影响。在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传输扰码序列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过程中产生的单个误码会在接收端解扰码器的输出端产生多个误码，这是因为解扰时会导致误码的增加。</w:t>
            </w:r>
          </w:p>
          <w:p w14:paraId="00D68824" w14:textId="77777777" w:rsidR="00B34819" w:rsidRDefault="00B34819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  <w:p w14:paraId="41317DEE" w14:textId="77777777" w:rsidR="00B34819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22B8FDCA" w14:textId="77777777" w:rsidR="00B34819" w:rsidRDefault="00000000">
            <w:pPr>
              <w:widowControl/>
              <w:ind w:firstLineChars="200" w:firstLine="420"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1、关闭电源连接，参考系统框图，依次按下</w:t>
            </w:r>
            <w:proofErr w:type="gramStart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面说明</w:t>
            </w:r>
            <w:proofErr w:type="gramEnd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进行连线。</w:t>
            </w:r>
          </w:p>
          <w:p w14:paraId="2DECE3A9" w14:textId="500F4F6B" w:rsidR="00B34819" w:rsidRDefault="00796A6B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68A597" wp14:editId="7C93E042">
                  <wp:extent cx="5271770" cy="1810385"/>
                  <wp:effectExtent l="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81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6837D" w14:textId="77777777" w:rsidR="00B34819" w:rsidRDefault="00000000">
            <w:pPr>
              <w:widowControl/>
              <w:ind w:firstLineChars="200" w:firstLine="420"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2、进行系统联调和观测。 </w:t>
            </w:r>
          </w:p>
          <w:p w14:paraId="6D4F3BFB" w14:textId="77777777" w:rsidR="00B34819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【扰码及解扰码】。此时系统初始状态下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序列为</w:t>
            </w:r>
            <w:r>
              <w:rPr>
                <w:kern w:val="0"/>
                <w:sz w:val="24"/>
                <w:szCs w:val="20"/>
              </w:rPr>
              <w:t xml:space="preserve"> 256K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3BD09D7" w14:textId="77777777" w:rsidR="00B34819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）用示波器观测信号源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序列和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TH6(</w:t>
            </w:r>
            <w:r>
              <w:rPr>
                <w:kern w:val="0"/>
                <w:sz w:val="24"/>
                <w:szCs w:val="20"/>
              </w:rPr>
              <w:t>编码输出</w:t>
            </w:r>
            <w:r>
              <w:rPr>
                <w:kern w:val="0"/>
                <w:sz w:val="24"/>
                <w:szCs w:val="20"/>
              </w:rPr>
              <w:t>)</w:t>
            </w:r>
            <w:r>
              <w:rPr>
                <w:kern w:val="0"/>
                <w:sz w:val="24"/>
                <w:szCs w:val="20"/>
              </w:rPr>
              <w:t>，对比观测原码和</w:t>
            </w:r>
            <w:proofErr w:type="gramStart"/>
            <w:r>
              <w:rPr>
                <w:kern w:val="0"/>
                <w:sz w:val="24"/>
                <w:szCs w:val="20"/>
              </w:rPr>
              <w:t>扰码</w:t>
            </w:r>
            <w:proofErr w:type="gramEnd"/>
            <w:r>
              <w:rPr>
                <w:kern w:val="0"/>
                <w:sz w:val="24"/>
                <w:szCs w:val="20"/>
              </w:rPr>
              <w:t>波形。</w:t>
            </w:r>
          </w:p>
          <w:p w14:paraId="562F481C" w14:textId="77777777" w:rsidR="00B34819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6EEE2D31" w14:textId="77777777" w:rsidR="00B34819" w:rsidRDefault="00000000">
            <w:pPr>
              <w:widowControl/>
              <w:ind w:firstLineChars="200" w:firstLine="420"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1、简述</w:t>
            </w:r>
            <w:proofErr w:type="gramStart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扰码及解扰码</w:t>
            </w:r>
            <w:proofErr w:type="gramEnd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原理。</w:t>
            </w:r>
          </w:p>
          <w:p w14:paraId="42489488" w14:textId="77777777" w:rsidR="00B34819" w:rsidRDefault="00B3481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7576F640" w14:textId="77777777" w:rsidR="00B34819" w:rsidRDefault="00B34819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  <w:p w14:paraId="6FD1F513" w14:textId="77777777" w:rsidR="00B34819" w:rsidRDefault="00B3481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4B3D59B" w14:textId="77777777" w:rsidR="00B34819" w:rsidRDefault="00B3481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2169750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17B7C982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00BA33DB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026411CF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540BDCFC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66298A05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62A0C492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4CA1FE50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7DA624C4" w14:textId="77777777" w:rsidR="00B34819" w:rsidRDefault="00B34819">
            <w:pPr>
              <w:rPr>
                <w:kern w:val="0"/>
                <w:sz w:val="24"/>
                <w:szCs w:val="20"/>
              </w:rPr>
            </w:pPr>
          </w:p>
        </w:tc>
      </w:tr>
    </w:tbl>
    <w:p w14:paraId="6ED237D6" w14:textId="77777777" w:rsidR="00911F31" w:rsidRDefault="00911F31"/>
    <w:sectPr w:rsidR="00911F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5029E" w14:textId="77777777" w:rsidR="00454BD0" w:rsidRDefault="00454BD0" w:rsidP="00A5718B">
      <w:r>
        <w:separator/>
      </w:r>
    </w:p>
  </w:endnote>
  <w:endnote w:type="continuationSeparator" w:id="0">
    <w:p w14:paraId="4068F31B" w14:textId="77777777" w:rsidR="00454BD0" w:rsidRDefault="00454BD0" w:rsidP="00A5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683BC" w14:textId="77777777" w:rsidR="00454BD0" w:rsidRDefault="00454BD0" w:rsidP="00A5718B">
      <w:r>
        <w:separator/>
      </w:r>
    </w:p>
  </w:footnote>
  <w:footnote w:type="continuationSeparator" w:id="0">
    <w:p w14:paraId="709BF0FA" w14:textId="77777777" w:rsidR="00454BD0" w:rsidRDefault="00454BD0" w:rsidP="00A57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U5MzJiNDc3OGE3NmZmYTlmMWQwNTE2NjM3ZTIwMWYifQ=="/>
  </w:docVars>
  <w:rsids>
    <w:rsidRoot w:val="003B0622"/>
    <w:rsid w:val="003B0622"/>
    <w:rsid w:val="00454BD0"/>
    <w:rsid w:val="004A5931"/>
    <w:rsid w:val="00796A6B"/>
    <w:rsid w:val="00911F31"/>
    <w:rsid w:val="00A5718B"/>
    <w:rsid w:val="00B34819"/>
    <w:rsid w:val="00BE7063"/>
    <w:rsid w:val="00EE2A52"/>
    <w:rsid w:val="099111BE"/>
    <w:rsid w:val="226A72F1"/>
    <w:rsid w:val="4C9132B6"/>
    <w:rsid w:val="4D086E42"/>
    <w:rsid w:val="4E73793B"/>
    <w:rsid w:val="64D816BB"/>
    <w:rsid w:val="743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3DBFB"/>
  <w15:chartTrackingRefBased/>
  <w15:docId w15:val="{39541A17-4B37-4A8E-A245-F02022CC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571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718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7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71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636</Characters>
  <Application>Microsoft Office Word</Application>
  <DocSecurity>0</DocSecurity>
  <Lines>5</Lines>
  <Paragraphs>1</Paragraphs>
  <ScaleCrop>false</ScaleCrop>
  <Company>微软中国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Lenovo</cp:lastModifiedBy>
  <cp:revision>4</cp:revision>
  <cp:lastPrinted>2024-11-20T09:11:00Z</cp:lastPrinted>
  <dcterms:created xsi:type="dcterms:W3CDTF">2024-12-04T08:57:00Z</dcterms:created>
  <dcterms:modified xsi:type="dcterms:W3CDTF">2024-12-09T07:38:00Z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183DA8EF0ECF4A53AD479749ADC90F75_13</vt:lpwstr>
  </property>
</Properties>
</file>