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Docs2md DOCX sample</w:t>
      </w:r>
    </w:p>
    <w:p>
      <w:r>
        <w:t>ParagraphTokenDOCX: durable conversions preserve 中文回归.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Apricot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中文回归</w:t>
            </w:r>
          </w:p>
        </w:tc>
      </w:tr>
      <w:tr>
        <w:tc>
          <w:tcPr>
            <w:tcW w:type="dxa" w:w="2880"/>
          </w:tcPr>
          <w:p>
            <w:r>
              <w:t>Walnut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TableTokenDOCX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8288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-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docs2md fixture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