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微软雅黑" w:eastAsia="微软雅黑" w:hAnsi="微软雅黑"/>
          <w:b/>
          <w:bCs/>
          <w:sz w:val="36"/>
          <w:szCs w:val="36"/>
        </w:rPr>
        <w:t xml:space="preserve">毛发专病医联体全国转诊小程序项目</w:t>
      </w:r>
    </w:p>
    <w:p>
      <w:pPr>
        <w:pBdr>
          <w:bottom w:val="single" w:color="2E75B6" w:sz="8" w:space="6"/>
        </w:pBdr>
        <w:spacing w:after="240"/>
        <w:jc w:val="center"/>
      </w:pPr>
      <w:r>
        <w:rPr>
          <w:rFonts w:ascii="微软雅黑" w:eastAsia="微软雅黑" w:hAnsi="微软雅黑"/>
          <w:b/>
          <w:bCs/>
          <w:color w:val="2E75B6"/>
          <w:sz w:val="32"/>
          <w:szCs w:val="32"/>
        </w:rPr>
        <w:t xml:space="preserve">项 目 报 价 函</w:t>
      </w:r>
    </w:p>
    <w:p>
      <w:pPr>
        <w:spacing w:after="6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致：____________________（甲方公司）</w:t>
      </w:r>
    </w:p>
    <w:p>
      <w:pPr>
        <w:spacing w:after="200" w:before="0" w:line="320"/>
      </w:pPr>
      <w:r>
        <w:rPr>
          <w:rFonts w:ascii="微软雅黑" w:eastAsia="微软雅黑" w:hAnsi="微软雅黑"/>
          <w:b w:val="false"/>
          <w:bCs w:val="false"/>
          <w:color w:val="666666"/>
          <w:sz w:val="19"/>
          <w:szCs w:val="19"/>
        </w:rPr>
        <w:t xml:space="preserve">报价编号：Q-2026-HR-001    报价日期：2026 年 10 月 22 日    有效期：30 日</w:t>
      </w:r>
    </w:p>
    <w:p>
      <w:pPr>
        <w:spacing w:after="12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尊敬的合作伙伴：</w:t>
      </w:r>
    </w:p>
    <w:p>
      <w:pPr>
        <w:spacing w:after="120" w:before="0" w:line="320"/>
        <w:ind w:firstLine="4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感谢贵司的信任与沟通。我方已根据贵司提供的《毛发专病医联体全国转诊小程序业务需求文档》完成需求梳理、功能拆解与技术方案设计，并已完成可运行的完整版本（医生端 + 患者端）。现将项目报价、交付内容、周期及商务条款提交如下，供贵司评估。</w:t>
      </w:r>
    </w:p>
    <w:p>
      <w:pPr>
        <w:pStyle w:val="Heading1"/>
        <w:spacing w:after="160" w:before="240"/>
      </w:pPr>
      <w:r>
        <w:rPr>
          <w:rFonts w:ascii="微软雅黑" w:eastAsia="微软雅黑" w:hAnsi="微软雅黑"/>
          <w:b/>
          <w:bCs/>
        </w:rPr>
        <w:t xml:space="preserve">一、项目范围确认</w:t>
      </w:r>
    </w:p>
    <w:p>
      <w:pPr>
        <w:spacing w:after="12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本次交付为一套完整可上线的小程序系统，包含医生端与患者端双端，采用微信原生框架 + 微信云开发（云函数 / 云数据库 / 云存储），无需甲方自备服务器。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6726"/>
      </w:tblGrid>
      <w:tr>
        <w:trPr>
          <w:tblHeader/>
        </w:trP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6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范围说明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账号与认证</w:t>
            </w:r>
          </w:p>
        </w:tc>
        <w:tc>
          <w:tcPr>
            <w:tcW w:type="dxa" w:w="6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微信一键登录、手机号绑定、账号唯一（openid）；医生实名认证入驻、资质上传与审核、挂靠医院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医生端 - 患者管理</w:t>
            </w:r>
          </w:p>
        </w:tc>
        <w:tc>
          <w:tcPr>
            <w:tcW w:type="dxa" w:w="6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患者列表（建档时间 / 最近转诊时间）、姓名与手机号搜索、档案三模块、信息录入与脱发类型标签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医生端 - 影像资料</w:t>
            </w:r>
          </w:p>
        </w:tc>
        <w:tc>
          <w:tcPr>
            <w:tcW w:type="dxa" w:w="6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头皮全景 / 发际线 / 头顶 / 皮肤镜 / 检测报告 / 化验单 / 处方 分类存档，批量拍照上传、单张删除、大图预览、两张对比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医生端 - 格式化病历</w:t>
            </w:r>
          </w:p>
        </w:tc>
        <w:tc>
          <w:tcPr>
            <w:tcW w:type="dxa" w:w="6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标准化模板（主诉 / 现病史 / 个人史 / 专科查体 / 初步诊断 / 处理意见），草稿与确认锁定，医患双端同步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医生端 - 转诊</w:t>
            </w:r>
          </w:p>
        </w:tc>
        <w:tc>
          <w:tcPr>
            <w:tcW w:type="dxa" w:w="6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6 步发起（选患者 → 自动带入资料 → 转诊目的 → 地区/项目/医生三维筛选 → 公开抢单 or 好友定向 → 提交）；四 Tab 管理；立即接单；取消；结案（照片/医嘱/小结）；一键复制重发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医生端 - 好友</w:t>
            </w:r>
          </w:p>
        </w:tc>
        <w:tc>
          <w:tcPr>
            <w:tcW w:type="dxa" w:w="6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按姓名/医院搜索医生、好友申请、通过/拒绝、待通过状态、私域转诊池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医生端 - 我的</w:t>
            </w:r>
          </w:p>
        </w:tc>
        <w:tc>
          <w:tcPr>
            <w:tcW w:type="dxa" w:w="6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个人资料、未来 3 天可预约出诊时段、审核状态、积分与转诊统计、医院信息（项目与价格，管理员可编辑）、消息中心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患者端</w:t>
            </w:r>
          </w:p>
        </w:tc>
        <w:tc>
          <w:tcPr>
            <w:tcW w:type="dxa" w:w="6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转诊记录与实时状态、影像查看、锁定病历查看、诊疗小结与医嘱、基础信息自主维护（双向同步）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消息体系</w:t>
            </w:r>
          </w:p>
        </w:tc>
        <w:tc>
          <w:tcPr>
            <w:tcW w:type="dxa" w:w="6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小程序订阅消息 / 系统消息中心 / 短信提醒（出诊前 3 天、前 1 天；定向转诊即时）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合规与留痕</w:t>
            </w:r>
          </w:p>
        </w:tc>
        <w:tc>
          <w:tcPr>
            <w:tcW w:type="dxa" w:w="6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全流程操作留痕（时间 / 操作人 / 操作记录）；病历确认后锁定；项目价格仅医生端可见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定时任务</w:t>
            </w:r>
          </w:p>
        </w:tc>
        <w:tc>
          <w:tcPr>
            <w:tcW w:type="dxa" w:w="6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72 小时无人接单自动取消并通知；出诊前 3 天 / 1 天定时短信提醒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二期预留</w:t>
            </w:r>
          </w:p>
        </w:tc>
        <w:tc>
          <w:tcPr>
            <w:tcW w:type="dxa" w:w="6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AI 病历总结 API 接口预留、积分排行榜、随访、报表、评价体系（不在本期范围）</w:t>
            </w:r>
          </w:p>
        </w:tc>
      </w:tr>
    </w:tbl>
    <w:p>
      <w:pPr>
        <w:pStyle w:val="Heading1"/>
        <w:spacing w:after="160" w:before="240"/>
      </w:pPr>
      <w:r>
        <w:rPr>
          <w:rFonts w:ascii="微软雅黑" w:eastAsia="微软雅黑" w:hAnsi="微软雅黑"/>
          <w:b/>
          <w:bCs/>
        </w:rPr>
        <w:t xml:space="preserve">二、交付物清单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326"/>
      </w:tblGrid>
      <w:tr>
        <w:trPr>
          <w:tblHeader/>
        </w:trP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小程序前端源码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医生端 + 患者端全部页面、自定义 tabBar、通用组件（空状态、图片上传）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云函数源码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统一网关云函数 api（20+ 接口，含权限、状态机、留痕）；定时云函数 timer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数据设计文档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9 张集合结构与字段说明、索引建议、安全规则建议、初始化脚本（system.seed）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部署与上线协助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云环境配置、集合创建、云函数部署、类目与资质材料整理、审核问题对接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文档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使用手册（医生端 / 患者端）、运维手册、接口文档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培训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线上培训 2 场（医生端使用 1 场、管理员运营 1 场），含录屏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质保服务</w:t>
            </w:r>
          </w:p>
        </w:tc>
        <w:tc>
          <w:tcPr>
            <w:tcW w:type="dxa" w:w="63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验收之日起 12 个月免费缺陷修复（不含需求变更与第三方规则变更）</w:t>
            </w:r>
          </w:p>
        </w:tc>
      </w:tr>
    </w:tbl>
    <w:p>
      <w:pPr>
        <w:pStyle w:val="Heading1"/>
        <w:spacing w:after="160" w:before="240"/>
      </w:pPr>
      <w:r>
        <w:rPr>
          <w:rFonts w:ascii="微软雅黑" w:eastAsia="微软雅黑" w:hAnsi="微软雅黑"/>
          <w:b/>
          <w:bCs/>
        </w:rPr>
        <w:t xml:space="preserve">三、开发费用明细（一次性）</w:t>
      </w:r>
    </w:p>
    <w:p>
      <w:pPr>
        <w:spacing w:after="120" w:before="0" w:line="320"/>
      </w:pPr>
      <w:r>
        <w:rPr>
          <w:rFonts w:ascii="微软雅黑" w:eastAsia="微软雅黑" w:hAnsi="微软雅黑"/>
          <w:b w:val="false"/>
          <w:bCs w:val="false"/>
          <w:color w:val="666666"/>
          <w:sz w:val="19"/>
          <w:szCs w:val="19"/>
        </w:rPr>
        <w:t xml:space="preserve">计价方式：功能模块 × 工作量（人日） × 人日单价。北京地区人日单价标准价 ¥2,400（不含税）。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6"/>
        <w:gridCol w:w="1300"/>
        <w:gridCol w:w="1800"/>
        <w:gridCol w:w="1500"/>
      </w:tblGrid>
      <w:tr>
        <w:trPr>
          <w:tblHeader/>
        </w:trPr>
        <w:tc>
          <w:tcPr>
            <w:tcW w:type="dxa" w:w="4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人日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标准价（¥）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4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需求梳理与原型 PRD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14,400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UI 视觉设计（双端约 40 页面/状态）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19,200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工程框架与设计系统、网络层、权限守卫、自定义 tabBar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12,000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登录与账号体系（一键登录 / 手机号 / 账号唯一）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12,000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医生资质认证入驻与医院挂靠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9,600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患者档案管理（列表 / 搜索 / 档案 / 录入）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19,200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毛发影像模块（分类 / 批量上传 / 删除 / 预览 / 对比）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12,000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标准化病历（模板 / 草稿 / 锁定 / 双端同步）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9,600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转诊发起（自动带入 / 目的 / 三维筛选 / 公开与定向）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24,000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转诊管理（四 Tab / 抢单锁单 / 取消 / 结案 / 重发）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19,200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医生好友体系（搜索 / 申请 / 处理）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9,600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我的 / 医院信息 / 消息中心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14,400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云函数与接口（状态机 / 权限 / 留痕 / 定时）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28,800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测试联调与性能优化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19,200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项目管理与验收支持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12,000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部署上线与审核对接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9,600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文档与培训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7,200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合计（112 人日）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112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268,800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标准价</w:t>
            </w:r>
          </w:p>
        </w:tc>
      </w:tr>
    </w:tbl>
    <w:p>
      <w:pPr>
        <w:pStyle w:val="Heading1"/>
        <w:spacing w:after="160" w:before="240"/>
      </w:pPr>
      <w:r>
        <w:rPr>
          <w:rFonts w:ascii="微软雅黑" w:eastAsia="微软雅黑" w:hAnsi="微软雅黑"/>
          <w:b/>
          <w:bCs/>
        </w:rPr>
        <w:t xml:space="preserve">四、云服务与第三方费用（按年，甲方自付）</w:t>
      </w:r>
    </w:p>
    <w:p>
      <w:pPr>
        <w:spacing w:after="120" w:before="0" w:line="320"/>
      </w:pPr>
      <w:r>
        <w:rPr>
          <w:rFonts w:ascii="微软雅黑" w:eastAsia="微软雅黑" w:hAnsi="微软雅黑"/>
          <w:b w:val="false"/>
          <w:bCs w:val="false"/>
          <w:color w:val="666666"/>
          <w:sz w:val="19"/>
          <w:szCs w:val="19"/>
        </w:rPr>
        <w:t xml:space="preserve">说明：以下为 30 家医院 / 300 名医生 / 5000 名患者规模首年估算，按实际用量结算；建议由甲方实名购买，我方负责配置与代运维。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4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年费（¥）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微信云开发套餐</w:t>
            </w:r>
          </w:p>
        </w:tc>
        <w:tc>
          <w:tcPr>
            <w:tcW w:type="dxa" w:w="4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标准版（含云函数 / 数据库 / 存储 / CDN 配额）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1,200 – 3,600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云数据库</w:t>
            </w:r>
          </w:p>
        </w:tc>
        <w:tc>
          <w:tcPr>
            <w:tcW w:type="dxa" w:w="4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读写次数与容量（转诊单 / 病历 / 消息）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0 – 1,200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云存储</w:t>
            </w:r>
          </w:p>
        </w:tc>
        <w:tc>
          <w:tcPr>
            <w:tcW w:type="dxa" w:w="4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影像约 15 – 30 GB（压缩后）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300 – 3,000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CDN 流量</w:t>
            </w:r>
          </w:p>
        </w:tc>
        <w:tc>
          <w:tcPr>
            <w:tcW w:type="dxa" w:w="4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影像浏览为主，约 100 – 500 GB / 年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200 – 1,000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短信（腾讯云 SMS）</w:t>
            </w:r>
          </w:p>
        </w:tc>
        <w:tc>
          <w:tcPr>
            <w:tcW w:type="dxa" w:w="4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出诊提醒 + 定向转诊通知，约 1 – 3 万条 / 年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350 – 1,200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微信认证（企业主体）</w:t>
            </w:r>
          </w:p>
        </w:tc>
        <w:tc>
          <w:tcPr>
            <w:tcW w:type="dxa" w:w="4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年审费用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合计</w:t>
            </w:r>
          </w:p>
        </w:tc>
        <w:tc>
          <w:tcPr>
            <w:tcW w:type="dxa" w:w="4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约 2,400 – 10,300 / 年</w:t>
            </w:r>
          </w:p>
        </w:tc>
      </w:tr>
    </w:tbl>
    <w:p>
      <w:pPr>
        <w:pStyle w:val="Heading1"/>
        <w:spacing w:after="160" w:before="240"/>
      </w:pPr>
      <w:r>
        <w:rPr>
          <w:rFonts w:ascii="微软雅黑" w:eastAsia="微软雅黑" w:hAnsi="微软雅黑"/>
          <w:b/>
          <w:bCs/>
        </w:rPr>
        <w:t xml:space="preserve">五、年度技术维护服务（次年起收取，首年赠送标准档）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900"/>
        <w:gridCol w:w="1826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服务项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基础版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标准版（推荐）</w:t>
            </w:r>
          </w:p>
        </w:tc>
        <w:tc>
          <w:tcPr>
            <w:tcW w:type="dxa" w:w="1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尊享版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故障缺陷修复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不限次数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不限次数</w:t>
            </w:r>
          </w:p>
        </w:tc>
        <w:tc>
          <w:tcPr>
            <w:tcW w:type="dxa" w:w="1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不限次数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响应时效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工作日 8 小时内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7×12，2 小时内</w:t>
            </w:r>
          </w:p>
        </w:tc>
        <w:tc>
          <w:tcPr>
            <w:tcW w:type="dxa" w:w="1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7×24，1 小时内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微信基础库 / 平台规则适配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数据备份与系统巡检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月度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季度 + 报告</w:t>
            </w:r>
          </w:p>
        </w:tc>
        <w:tc>
          <w:tcPr>
            <w:tcW w:type="dxa" w:w="1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月度 + 报告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小额需求改造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 人日 / 年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20 人日 / 年</w:t>
            </w:r>
          </w:p>
        </w:tc>
        <w:tc>
          <w:tcPr>
            <w:tcW w:type="dxa" w:w="1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50 人日 / 年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专属服务群与培训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✓ + 季度复盘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运营数据报表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年费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36,000</w:t>
            </w:r>
          </w:p>
        </w:tc>
        <w:tc>
          <w:tcPr>
            <w:tcW w:type="dxa" w:w="1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72,000</w:t>
            </w:r>
          </w:p>
        </w:tc>
      </w:tr>
    </w:tbl>
    <w:p>
      <w:pPr>
        <w:pStyle w:val="Heading1"/>
        <w:spacing w:after="160" w:before="240"/>
      </w:pPr>
      <w:r>
        <w:rPr>
          <w:rFonts w:ascii="微软雅黑" w:eastAsia="微软雅黑" w:hAnsi="微软雅黑"/>
          <w:b/>
          <w:bCs/>
        </w:rPr>
        <w:t xml:space="preserve">六、报价汇总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26"/>
        <w:gridCol w:w="2400"/>
        <w:gridCol w:w="230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标准价（¥）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成交价（¥）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小程序开发费（一次性）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268,800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218,000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首年云服务与第三方费用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6,000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首年技术维护（标准档）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36,000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赠送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首年合计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224,000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次年起（云资源 + 标准档维护）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42,000 / 年</w:t>
            </w:r>
          </w:p>
        </w:tc>
      </w:tr>
    </w:tbl>
    <w:p>
      <w:pPr>
        <w:spacing w:after="120" w:before="120" w:line="320"/>
      </w:pPr>
      <w:r>
        <w:rPr>
          <w:rFonts w:ascii="微软雅黑" w:eastAsia="微软雅黑" w:hAnsi="微软雅黑"/>
          <w:b w:val="false"/>
          <w:bCs w:val="false"/>
          <w:color w:val="666666"/>
          <w:sz w:val="19"/>
          <w:szCs w:val="19"/>
        </w:rPr>
        <w:t xml:space="preserve">注：以上报价不含税；如需增值税专用发票，一般纳税人加 6%、小规模加 1%/3%。</w:t>
      </w:r>
    </w:p>
    <w:p>
      <w:pPr>
        <w:pStyle w:val="Heading1"/>
        <w:spacing w:after="160" w:before="240"/>
      </w:pPr>
      <w:r>
        <w:rPr>
          <w:rFonts w:ascii="微软雅黑" w:eastAsia="微软雅黑" w:hAnsi="微软雅黑"/>
          <w:b/>
          <w:bCs/>
        </w:rPr>
        <w:t xml:space="preserve">七、资质与合规风险提示（需甲方确认）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426"/>
        <w:gridCol w:w="700"/>
        <w:gridCol w:w="600"/>
        <w:gridCol w:w="1600"/>
      </w:tblGrid>
      <w:tr>
        <w:trPr>
          <w:tblHeader/>
        </w:trP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风险点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责任方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建议处理方式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互联网诊疗 / 互联网医院资质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若平台被认定为开展线上诊疗（诊断、开方），须依托实体医疗机构并取得相应资质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本项目定位为“医生间转诊协作工具”，不提供线上诊疗；如需增加问诊/开方，须另行办理资质并单独报价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小程序类目与主体资质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微信「医疗」类目审核需《医疗机构执业许可证》等主体资质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甲方提供真实有效资质材料；因资质不全导致的审核驳回，延期责任不由乙方承担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医师执业资质核验真实性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医生执业证、职称存在造假可能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系统提供上传与留痕能力；资质审核责任主体为甲方，乙方不承担因医生资质问题引发的纠纷责任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患者敏感个人信息保护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影像、病历属敏感个人信息，受《个人信息保护法》《数据安全法》约束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共担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已实现最小必要收集、访问控制、加密存储与留痕；患者授权书、隐私政策、留存期限与删除/导出机制由甲方提供并落地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网络安全等级保护测评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诊疗数据系统通常需等保二级（含整改约 3–8 万），三级更高，且需每年复测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中高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本报价不含等保测评与整改费用，可协助对接测评机构（另行报价）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数据存储本地化与出境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患者诊疗数据须境内存储，禁止出境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共担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使用微信云开发境内环境；不使用境外第三方服务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医疗广告与宣传合规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禁止疗效承诺、治愈率保证、患者形象代言等（《广告法》《医疗广告管理办法》）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医院介绍与项目文案由甲方提供并对其合法性负责；系统已做“价格仅医生端可见”规避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电子病历规范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病历需锁定、留痕、可追溯；门诊病历保存不少于 15 年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共担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已实现创建确认即锁定与全流程留痕；长期归档与备份策略由甲方制定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短信内容与签名报备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含医疗字样的短信签名与模板需额外资质审核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由甲方提供签名与模板材料并完成报备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知识产权与源码归属</w:t>
            </w:r>
          </w:p>
        </w:tc>
        <w:tc>
          <w:tcPr>
            <w:tcW w:type="dxa" w:w="34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源码著作权、二次开发权、可否转售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合同约定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建议：著作权归乙方，甲方获永久使用权；如需买断源码，另行加收 30%–50%</w:t>
            </w:r>
          </w:p>
        </w:tc>
      </w:tr>
    </w:tbl>
    <w:p>
      <w:pPr>
        <w:pStyle w:val="Heading1"/>
        <w:spacing w:after="160" w:before="240"/>
      </w:pPr>
      <w:r>
        <w:rPr>
          <w:rFonts w:ascii="微软雅黑" w:eastAsia="微软雅黑" w:hAnsi="微软雅黑"/>
          <w:b/>
          <w:bCs/>
        </w:rPr>
        <w:t xml:space="preserve">八、需甲方配合与确认的事项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提供营业执照、《医疗机构执业许可证》等小程序类目与经营资质材料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以甲方主体开通微信云开发并实名，承担云资源费用（我方代运维）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指定唯一项目对接人与验收人，需求变更走《变更单》书面确认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提供真实业务流程与测试账号（医生 / 患者 / 管理员各若干）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提供医院介绍、诊疗项目与价格、诊疗文案等内容，并对其合法性负责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确认数据迁移范围、历史数据量与时间窗口（如需导入存量数据）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确认上线时间预期与审核排期（医疗类目审核通常 1–7 个工作日）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确认是否需要 Web 管理后台（本期不含，可另行报价）</w:t>
      </w:r>
    </w:p>
    <w:p>
      <w:pPr>
        <w:pStyle w:val="Heading1"/>
        <w:spacing w:after="160" w:before="240"/>
      </w:pPr>
      <w:r>
        <w:rPr>
          <w:rFonts w:ascii="微软雅黑" w:eastAsia="微软雅黑" w:hAnsi="微软雅黑"/>
          <w:b/>
          <w:bCs/>
        </w:rPr>
        <w:t xml:space="preserve">九、本报价不包含的内容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网络安全等级保护测评、整改及年度复测费用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互联网医院 / 互联网诊疗相关资质办理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域名注册、ICP 备案（可协助）、SSL 证书费用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超出套餐的短信、存储、CDN 等按量费用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IM 即时通讯、音视频会诊（如后续需要，另行报价）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微信支付商户号申请与交易手续费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Web 管理后台、数据大屏、定制报表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服务器、网络、终端硬件及机房环境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内容生产（文案、摄影、医学插图）与医学审核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第三方付费插件、字体、图库授权费用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超出约定工作量的需求变更（按 ¥1,600/人日 计）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驻场与差旅费用（如需要，按次报价）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专业压力测试与渗透测试（可另行报价）</w:t>
      </w:r>
    </w:p>
    <w:p>
      <w:pPr>
        <w:pStyle w:val="Heading1"/>
        <w:spacing w:after="160" w:before="240"/>
      </w:pPr>
      <w:r>
        <w:rPr>
          <w:rFonts w:ascii="微软雅黑" w:eastAsia="微软雅黑" w:hAnsi="微软雅黑"/>
          <w:b/>
          <w:bCs/>
        </w:rPr>
        <w:t xml:space="preserve">十、商务条款（建议）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条款</w:t>
            </w:r>
          </w:p>
        </w:tc>
        <w:tc>
          <w:tcPr>
            <w:tcW w:type="dxa" w:w="7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约定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付款方式</w:t>
            </w:r>
          </w:p>
        </w:tc>
        <w:tc>
          <w:tcPr>
            <w:tcW w:type="dxa" w:w="7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合同签订 40% → 原型 UI 确认 30% → UAT 提测 25% → 验收上线满 3 个月 5%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项目周期</w:t>
            </w:r>
          </w:p>
        </w:tc>
        <w:tc>
          <w:tcPr>
            <w:tcW w:type="dxa" w:w="7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约 12 – 14 周（需求 1 周 / UI 2 周 / 开发 8 周 / 联调测试 2 周 / 上线培训 1 周）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依据双方确认的《需求规格说明书》与原型；以功能清单逐项验收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验收时效</w:t>
            </w:r>
          </w:p>
        </w:tc>
        <w:tc>
          <w:tcPr>
            <w:tcW w:type="dxa" w:w="7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甲方应在提测后 10 个工作日内反馈意见，逾期未反馈视为验收通过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需求变更</w:t>
            </w:r>
          </w:p>
        </w:tc>
        <w:tc>
          <w:tcPr>
            <w:tcW w:type="dxa" w:w="7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书面《变更单》确认，评估工作量与费用后执行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知识产权</w:t>
            </w:r>
          </w:p>
        </w:tc>
        <w:tc>
          <w:tcPr>
            <w:tcW w:type="dxa" w:w="7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著作权归乙方，甲方享永久使用权；源码买断另议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数据安全</w:t>
            </w:r>
          </w:p>
        </w:tc>
        <w:tc>
          <w:tcPr>
            <w:tcW w:type="dxa" w:w="7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甲方为数据控制者并承担主体责任；乙方负责技术实现与安全加固，双方签署保密与数据处理协议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服务保障</w:t>
            </w:r>
          </w:p>
        </w:tc>
        <w:tc>
          <w:tcPr>
            <w:tcW w:type="dxa" w:w="7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质保期 12 个月，期满按年续签维护服务；欠费或第三方原因导致的故障不属保障范围</w:t>
            </w:r>
          </w:p>
        </w:tc>
      </w:tr>
    </w:tbl>
    <w:p>
      <w:pPr>
        <w:spacing w:after="12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/>
      </w:r>
    </w:p>
    <w:p>
      <w:pPr>
        <w:spacing w:after="120" w:before="0" w:line="320"/>
        <w:ind w:firstLine="4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如贵司对以上报价或交付范围有任何调整意见，我方将积极配合评估并尽快出具修订版。期待与贵司达成合作。</w:t>
      </w:r>
    </w:p>
    <w:p>
      <w:pPr>
        <w:spacing w:after="12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/>
      </w:r>
    </w:p>
    <w:p>
      <w:pPr>
        <w:spacing w:after="120" w:before="0" w:line="320"/>
        <w:ind w:firstLine="4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顺祝商祺！</w:t>
      </w:r>
    </w:p>
    <w:p>
      <w:pPr>
        <w:spacing w:before="400"/>
      </w:pPr>
      <w:r>
        <w:rPr>
          <w:rFonts w:ascii="微软雅黑" w:eastAsia="微软雅黑" w:hAnsi="微软雅黑"/>
        </w:rPr>
        <w:t xml:space="preserve"/>
      </w:r>
    </w:p>
    <w:p>
      <w:pPr>
        <w:spacing w:after="12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乙方（盖章）：____________________          授权代表：____________          日期：____年__月__日</w:t>
      </w:r>
    </w:p>
    <w:p>
      <w:pPr>
        <w:spacing w:after="12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/>
      </w:r>
    </w:p>
    <w:p>
      <w:pPr>
        <w:spacing w:after="12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甲方（盖章）：____________________          授权代表：____________          日期：____年__月__日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eastAsia="微软雅黑" w:hAnsi="微软雅黑"/>
        <w:color w:val="999999"/>
        <w:sz w:val="16"/>
        <w:szCs w:val="16"/>
      </w:rPr>
      <w:fldChar w:fldCharType="begin"/>
    </w:r>
    <w:r>
      <w:rPr>
        <w:rFonts w:ascii="微软雅黑" w:eastAsia="微软雅黑" w:hAnsi="微软雅黑"/>
        <w:color w:val="999999"/>
        <w:sz w:val="16"/>
        <w:szCs w:val="16"/>
      </w:rPr>
      <w:instrText xml:space="preserve">PAGE</w:instrText>
    </w:r>
    <w:r>
      <w:rPr>
        <w:rFonts w:ascii="微软雅黑" w:eastAsia="微软雅黑" w:hAnsi="微软雅黑"/>
        <w:color w:val="999999"/>
        <w:sz w:val="16"/>
        <w:szCs w:val="16"/>
      </w:rPr>
      <w:fldChar w:fldCharType="separate"/>
    </w:r>
    <w:r>
      <w:rPr>
        <w:rFonts w:ascii="微软雅黑" w:eastAsia="微软雅黑" w:hAnsi="微软雅黑"/>
        <w:color w:val="999999"/>
        <w:sz w:val="16"/>
        <w:szCs w:val="16"/>
      </w:rPr>
      <w:fldChar w:fldCharType="end"/>
    </w:r>
    <w:r>
      <w:rPr>
        <w:rFonts w:ascii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999999"/>
        <w:sz w:val="16"/>
        <w:szCs w:val="16"/>
      </w:rPr>
      <w:t xml:space="preserve">毛发专病医联体全国转诊小程序 · 项目报价函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微软雅黑" w:eastAsia="微软雅黑" w:hAnsi="微软雅黑"/>
      <w:b/>
      <w:bCs/>
      <w:color w:val="2E75B6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eastAsia="微软雅黑" w:hAnsi="微软雅黑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2026-10-21T17:29:37.948Z</dcterms:created>
  <dcterms:modified xsi:type="dcterms:W3CDTF">2026-10-21T17:29:37.950Z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