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毛发专病医联体全国转诊小程序项目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项 目 报 价 函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致：____________________（甲方公司）</w:t>
      </w:r>
    </w:p>
    <w:p>
      <w:pPr>
        <w:spacing w:after="200" w:before="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报价编号：Q-2026-HR-001        报价日期：2026 年 10 月 22 日        有效期：30 日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尊敬的合作伙伴：</w:t>
      </w:r>
    </w:p>
    <w:p>
      <w:pPr>
        <w:spacing w:after="100" w:before="0" w:line="320"/>
        <w:ind w:firstLine="4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感谢贵司的信任与沟通。我方已根据贵司提供的《毛发专病医联体全国转诊小程序业务需求文档》完成需求梳理、功能拆解与技术方案设计，并已完成可运行的完整版本（医生端 + 患者端）。现将项目报价、交付内容、周期及商务条款提交如下，供贵司评估。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一、项目范围确认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本次交付为一套完整可上线的小程序系统，包含医生端与患者端双端，采用微信原生框架 + 微信云开发（云函数 / 云数据库 / 云存储），无需甲方自备服务器。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726"/>
      </w:tblGrid>
      <w:tr>
        <w:trPr>
          <w:tblHeader/>
        </w:trP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范围说明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账号与认证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微信一键登录、手机号绑定、账号唯一（openid）；医生实名认证入驻、资质上传与审核、挂靠医院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患者管理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患者列表（建档时间 / 最近转诊时间）、姓名与手机号搜索、档案三模块、信息录入与脱发类型标签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影像资料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头皮全景 / 发际线 / 头顶 / 皮肤镜 / 检测报告 / 化验单 / 处方 分类存档，批量拍照上传、单张删除、大图预览、两张对比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格式化病历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标准化模板（主诉 / 现病史 / 个人史 / 专科查体 / 初步诊断 / 处理意见），草稿与确认锁定，医患双端同步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转诊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 步发起（选患者 → 自动带入资料 → 转诊目的 → 地区/项目/医生三维筛选 → 公开抢单 or 好友定向 → 提交）；四 Tab 管理；立即接单；取消；结案；一键复制重发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好友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按姓名/医院搜索医生、好友申请、通过/拒绝、待通过状态、私域转诊池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- 我的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个人资料、未来 3 天可预约出诊时段、审核状态、积分与转诊统计、医院信息（项目与价格，管理员可编辑）、消息中心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转诊记录与实时状态、影像查看、锁定病历查看、诊疗小结与医嘱、基础信息自主维护（双向同步）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消息体系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小程序订阅消息 / 系统消息中心 / 短信提醒（出诊前 3 天、前 1 天；定向转诊即时）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合规与留痕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全流程操作留痕（时间 / 操作人 / 操作记录）；病历确认后锁定；项目价格仅医生端可见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72 小时无人接单自动取消并通知；出诊前 3 天 / 1 天定时短信提醒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二期预留</w:t>
            </w:r>
          </w:p>
        </w:tc>
        <w:tc>
          <w:tcPr>
            <w:tcW w:type="dxa" w:w="67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AI 病历总结 API 接口预留、积分排行榜、随访、报表、评价体系（不在本期范围）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rPr>
          <w:tblHeader/>
        </w:trP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6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小程序前端源码</w:t>
            </w:r>
          </w:p>
        </w:tc>
        <w:tc>
          <w:tcPr>
            <w:tcW w:type="dxa" w:w="6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+ 患者端全部页面、自定义 tabBar、通用组件（空状态、图片上传）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云函数源码</w:t>
            </w:r>
          </w:p>
        </w:tc>
        <w:tc>
          <w:tcPr>
            <w:tcW w:type="dxa" w:w="6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统一网关云函数 api（20+ 接口，含权限、状态机、留痕）；定时云函数 timer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数据设计文档</w:t>
            </w:r>
          </w:p>
        </w:tc>
        <w:tc>
          <w:tcPr>
            <w:tcW w:type="dxa" w:w="6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 张集合结构与字段说明、索引建议、安全规则建议、初始化脚本（system.seed）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部署与上线协助</w:t>
            </w:r>
          </w:p>
        </w:tc>
        <w:tc>
          <w:tcPr>
            <w:tcW w:type="dxa" w:w="6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云环境配置、集合创建、云函数部署、类目与资质材料整理、审核问题对接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  <w:tc>
          <w:tcPr>
            <w:tcW w:type="dxa" w:w="6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使用手册（医生端 / 患者端）、运维手册、接口文档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培训</w:t>
            </w:r>
          </w:p>
        </w:tc>
        <w:tc>
          <w:tcPr>
            <w:tcW w:type="dxa" w:w="6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线上培训 2 场（医生端使用 1 场、管理员运营 1 场），含录屏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质保服务</w:t>
            </w:r>
          </w:p>
        </w:tc>
        <w:tc>
          <w:tcPr>
            <w:tcW w:type="dxa" w:w="6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验收之日起 12 个月免费缺陷修复（不含需求变更与第三方规则变更）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三、开发费用明细（一次性）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计价方式：功能模块 × 工作量（人日） × 人日单价。北京地区标准人日单价 ¥2,400（不含税）。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1300"/>
        <w:gridCol w:w="1800"/>
        <w:gridCol w:w="1500"/>
      </w:tblGrid>
      <w:tr>
        <w:trPr>
          <w:tblHeader/>
        </w:trP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人日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标准价（¥）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需求梳理与原型 PRD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14,400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UI 视觉设计（双端约 40 页面/状态）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工程框架、设计系统、网络层、权限守卫、自定义 tabBar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登录与账号体系（一键登录 / 手机号 / 账号唯一）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医生资质认证入驻与医院挂靠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9,600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患者档案管理（列表 / 搜索 / 档案 / 录入）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毛发影像模块（分类 / 批量上传 / 删除 / 预览 / 对比）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标准化病历（模板 / 草稿 / 锁定 / 双端同步）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9,600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转诊发起（自动带入 / 目的 / 三维筛选 / 公开与定向）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24,000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转诊管理（四 Tab / 抢单锁单 / 取消 / 结案 / 重发）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医生好友体系（搜索 / 申请 / 处理）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9,600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我的 / 医院信息 / 消息中心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14,400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云函数与接口（状态机 / 权限 / 留痕 / 定时）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28,800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测试联调与性能优化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项目管理与验收支持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部署上线与审核对接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9,600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文档与培训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7,200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合计（112 人日）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268,800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标准价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四、云服务与第三方费用（按年）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说明：以下按 30 家医院 / 300 名医生 / 5000 名患者规模首年估算，按实际用量结算。建议由甲方实名购买，我方负责配置与代运维。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年费（¥）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微信云开发套餐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标准版（含云函数 / 数据库 / 存储 / CDN 配额）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1,200 – 3,600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云数据库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读写次数与容量（转诊单 / 病历 / 消息）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0 – 1,200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云存储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影像约 15 – 30 GB（压缩后）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 – 3,000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CDN 流量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影像浏览为主，约 100 – 500 GB / 年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 – 1,000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短信（腾讯云 SMS）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出诊提醒 + 定向转诊通知，约 1 – 3 万条 / 年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350 – 1,200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微信认证（企业主体）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年审费用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约 2,400 – 10,300 / 年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五、年度技术维护服务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首年赠送「标准版」维护服务，次年起按所选档位收取，服务内容与响应时效如下表。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1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服务项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基础版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标准版（推荐）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尊享版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故障缺陷修复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不限次数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不限次数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不限次数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响应时效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工作日 8 小时内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7×12，2 小时内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7×24，1 小时内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微信基础库 / 平台规则适配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数据备份与系统巡检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月度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季度 + 报告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月度 + 报告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小额需求改造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 人日 / 年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 人日 / 年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 人日 / 年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专属服务群与培训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 + 季度复盘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运营数据报表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年费（¥）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  <w:tc>
          <w:tcPr>
            <w:tcW w:type="dxa" w:w="2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72,000</w:t>
            </w:r>
          </w:p>
        </w:tc>
      </w:tr>
    </w:tbl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超出约定人日的改造需求，按 ¥1,600/人日 计价；单次超过 10 人日享 9 折。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六、报价汇总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26"/>
        <w:gridCol w:w="2400"/>
        <w:gridCol w:w="2300"/>
      </w:tblGrid>
      <w:tr>
        <w:trPr>
          <w:tblHeader/>
        </w:trP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标准价（¥）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成交价（¥）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小程序开发费（一次性）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268,800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218,000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首年云服务与第三方费用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6,000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首年技术维护（标准版）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赠送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首年合计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224,000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次年起（云资源 + 标准版维护）</w:t>
            </w:r>
          </w:p>
        </w:tc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42,000 / 年</w:t>
            </w:r>
          </w:p>
        </w:tc>
      </w:tr>
    </w:tbl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color w:val="666666"/>
          <w:sz w:val="19"/>
          <w:szCs w:val="19"/>
        </w:rPr>
        <w:t xml:space="preserve">注：以上报价不含税；如需增值税专用发票，一般纳税人加 6%、小规模纳税人加 1%–3%。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七、资质与合规风险提示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医疗行业为强监管领域，以下事项需甲方在签约前确认并承担相应责任：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26"/>
        <w:gridCol w:w="700"/>
        <w:gridCol w:w="6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风险点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责任方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建议处理方式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互联网诊疗 / 互联网医院资质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若平台被认定为开展线上诊疗（诊断、开方），须依托实体医疗机构并取得相应资质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本项目定位为医生间转诊协作工具，不提供线上诊疗；如需增加问诊/开方须另行办理资质并单独报价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小程序类目与主体资质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微信医疗类目审核需《医疗机构执业许可证》等主体资质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甲方提供真实有效资质材料；因资质不全导致的审核驳回，延期责任不由乙方承担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医师执业资质核验真实性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医生执业证、职称存在造假可能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系统提供上传与留痕能力；资质审核责任主体为甲方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患者敏感个人信息保护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影像、病历属敏感个人信息，受《个人信息保护法》《数据安全法》约束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已实现最小必要收集、访问控制、加密存储与留痕；授权书、隐私政策、留存与删除机制由甲方落地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网络安全等级保护测评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诊疗数据系统通常需等保二级（含整改约 3–8 万），三级更高，每年复测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中高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本报价不含测评与整改费用，可协助对接测评机构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数据存储本地化与出境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患者诊疗数据须境内存储，禁止出境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使用微信云开发境内环境，不接入境外服务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医疗广告与宣传合规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禁止疗效承诺、治愈率保证、患者形象代言等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文案由甲方提供并对其合法性负责；价格已做仅医生端可见处理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电子病历规范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病历需锁定、留痕、可追溯；门诊病历保存不少于 15 年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已实现确认即锁定与全流程留痕；长期归档与备份策略由甲方制定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短信内容与签名报备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含医疗字样的短信签名与模板需额外资质审核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由甲方提供签名与模板材料并完成报备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知识产权与源码归属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源码著作权、二次开发权、可否转售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合同约定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建议著作权归乙方、甲方获永久使用权；买断源码另行加收 30%–50%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八、需甲方配合与确认的事项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提供营业执照、《医疗机构执业许可证》等小程序类目与经营资质材料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以甲方主体开通微信云开发并实名，承担云资源费用（我方代运维）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指定唯一项目对接人与验收人，需求变更走《变更单》书面确认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提供真实业务流程与测试账号（医生 / 患者 / 管理员各若干）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提供医院介绍、诊疗项目与价格、诊疗文案等内容，并对其合法性负责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确认是否需要 Web 管理后台（本期不含，可另行报价）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九、本报价不包含的内容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网络安全等级保护测评、整改及年度复测费用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互联网医院 / 互联网诊疗相关资质办理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域名注册、ICP 备案（可协助）、SSL 证书费用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超出套餐的短信、存储、CDN 等按量费用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IM 即时通讯、音视频会诊（后续如需另行报价）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微信支付商户号申请与交易手续费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Web 管理后台、数据大屏、定制报表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服务器、网络、终端硬件及机房环境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内容生产（文案、摄影、医学插图）与医学审核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第三方付费插件、字体、图库授权费用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超出约定工作量的需求变更（按 ¥1,600/人日 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驻场与差旅费用（如需要按次报价）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专业压力测试与渗透测试（可另行报价）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十、商务条款（建议）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条款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约定</w:t>
            </w:r>
          </w:p>
        </w:tc>
      </w:tr>
      <w:t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合同签订 40% → 原型 UI 确认 30% → UAT 提测 25% → 验收上线满 3 个月 5%</w:t>
            </w:r>
          </w:p>
        </w:tc>
      </w:tr>
      <w:t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项目周期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约 12 – 14 周（需求 1 周 / UI 2 周 / 开发 8 周 / 联调测试 2 周 / 上线培训 1 周）</w:t>
            </w:r>
          </w:p>
        </w:tc>
      </w:tr>
      <w:t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依据双方确认的《需求规格说明书》与原型，按功能清单逐项验收</w:t>
            </w:r>
          </w:p>
        </w:tc>
      </w:tr>
      <w:t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验收时效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甲方应在提测后 10 个工作日内反馈意见，逾期未反馈视为验收通过</w:t>
            </w:r>
          </w:p>
        </w:tc>
      </w:tr>
      <w:t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需求变更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书面《变更单》确认，评估工作量与费用后执行</w:t>
            </w:r>
          </w:p>
        </w:tc>
      </w:tr>
      <w:t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知识产权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著作权归乙方，甲方享永久使用权；源码买断另议</w:t>
            </w:r>
          </w:p>
        </w:tc>
      </w:tr>
      <w:t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甲方为数据控制者并承担主体责任；乙方负责技术实现与安全加固，双方签署保密与数据处理协议</w:t>
            </w:r>
          </w:p>
        </w:tc>
      </w:tr>
      <w:tr>
        <w:tc>
          <w:tcPr>
            <w:tcW w:type="dxa" w:w="1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服务保障</w:t>
            </w:r>
          </w:p>
        </w:tc>
        <w:tc>
          <w:tcPr>
            <w:tcW w:type="dxa" w:w="7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质保期 12 个月，期满按年续签维护服务；欠费或第三方原因导致的故障不属保障范围</w:t>
            </w:r>
          </w:p>
        </w:tc>
      </w:tr>
    </w:tbl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  <w:ind w:firstLine="4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如贵司对以上报价或交付范围有任何调整意见，我方将积极配合评估并尽快出具修订版。期待与贵司达成合作。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  <w:ind w:firstLine="4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顺祝商祺！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乙方（盖章）：____________________          授权代表：____________          日期：____年__月__日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甲方（盖章）：____________________          授权代表：____________          日期：____年__月__日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2026-10-21T17:38:59.590Z</dcterms:created>
  <dcterms:modified xsi:type="dcterms:W3CDTF">2026-10-21T17:38:59.591Z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