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微软雅黑" w:eastAsia="微软雅黑" w:hAnsi="微软雅黑"/>
          <w:b/>
          <w:bCs/>
          <w:color w:val="2E75B6"/>
          <w:sz w:val="32"/>
          <w:szCs w:val="32"/>
        </w:rPr>
        <w:t xml:space="preserve">软件开发与技术服务合同</w:t>
      </w:r>
    </w:p>
    <w:p>
      <w:pPr>
        <w:spacing w:after="60"/>
        <w:jc w:val="center"/>
      </w:pPr>
      <w:r>
        <w:rPr>
          <w:rFonts w:ascii="微软雅黑" w:eastAsia="微软雅黑" w:hAnsi="微软雅黑"/>
          <w:b/>
          <w:bCs/>
          <w:sz w:val="24"/>
          <w:szCs w:val="24"/>
        </w:rPr>
        <w:t xml:space="preserve">（模板 · 供双方协商使用）</w:t>
      </w:r>
    </w:p>
    <w:p>
      <w:pPr>
        <w:pBdr>
          <w:bottom w:val="single" w:color="2E75B6" w:sz="8" w:space="6"/>
        </w:pBdr>
        <w:spacing w:after="200"/>
        <w:jc w:val="center"/>
      </w:pPr>
      <w:r>
        <w:rPr>
          <w:rFonts w:ascii="微软雅黑" w:eastAsia="微软雅黑" w:hAnsi="微软雅黑"/>
        </w:rPr>
        <w:t xml:space="preserve"/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甲方（委托方）：____________________</w:t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乙方（受托方）：____________________</w:t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签订地点：北京市        签订日期：2026 年 __ 月 __ 日</w:t>
      </w:r>
    </w:p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第一条 合同标的</w:t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1.1 乙方为甲方开发「毛发专病医联体全国转诊小程序」，包含医生端与患者端，功能范围以附件一《需求规格说明书》为准。</w:t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1.2 技术路线：微信原生小程序框架 + 微信云开发（云函数 / 云数据库 / 云存储）。</w:t>
      </w:r>
    </w:p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第二条 合同金额</w:t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2.1 开发费（一次性）：人民币 ¥218,000（大写：贰拾壹万捌仟元整），不含税。</w:t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2.2 首年云服务与第三方费用：约 ¥6,000，由甲方实名购买，乙方代运维，按实际用量结算。</w:t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2.3 首年技术维护服务（标准版）：赠送，价值 ¥36,000。</w:t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2.4 次年起维护服务费：¥42,000 / 年（含云资源代运维）。</w:t>
      </w:r>
    </w:p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第三条 付款方式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26"/>
        <w:gridCol w:w="2100"/>
        <w:gridCol w:w="2100"/>
      </w:tblGrid>
      <w:tr>
        <w:trPr>
          <w:tblHeader/>
        </w:trPr>
        <w:tc>
          <w:tcPr>
            <w:tcW w:type="dxa" w:w="1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节点</w:t>
            </w:r>
          </w:p>
        </w:tc>
        <w:tc>
          <w:tcPr>
            <w:tcW w:type="dxa" w:w="38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21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比例</w:t>
            </w:r>
          </w:p>
        </w:tc>
        <w:tc>
          <w:tcPr>
            <w:tcW w:type="dxa" w:w="21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金额（¥）</w:t>
            </w:r>
          </w:p>
        </w:tc>
      </w:tr>
      <w:tr>
        <w:tc>
          <w:tcPr>
            <w:tcW w:type="dxa" w:w="1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8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合同签订后 5 个工作日内</w:t>
            </w:r>
          </w:p>
        </w:tc>
        <w:tc>
          <w:tcPr>
            <w:tcW w:type="dxa" w:w="21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40%</w:t>
            </w:r>
          </w:p>
        </w:tc>
        <w:tc>
          <w:tcPr>
            <w:tcW w:type="dxa" w:w="21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righ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87,200</w:t>
            </w:r>
          </w:p>
        </w:tc>
      </w:tr>
      <w:tr>
        <w:tc>
          <w:tcPr>
            <w:tcW w:type="dxa" w:w="1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8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原型与 UI 设计确认后</w:t>
            </w:r>
          </w:p>
        </w:tc>
        <w:tc>
          <w:tcPr>
            <w:tcW w:type="dxa" w:w="21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  <w:tc>
          <w:tcPr>
            <w:tcW w:type="dxa" w:w="21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righ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65,400</w:t>
            </w:r>
          </w:p>
        </w:tc>
      </w:tr>
      <w:tr>
        <w:tc>
          <w:tcPr>
            <w:tcW w:type="dxa" w:w="1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8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开发完成并提交 UAT 测试</w:t>
            </w:r>
          </w:p>
        </w:tc>
        <w:tc>
          <w:tcPr>
            <w:tcW w:type="dxa" w:w="21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  <w:tc>
          <w:tcPr>
            <w:tcW w:type="dxa" w:w="21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righ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54,500</w:t>
            </w:r>
          </w:p>
        </w:tc>
      </w:tr>
      <w:tr>
        <w:tc>
          <w:tcPr>
            <w:tcW w:type="dxa" w:w="1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8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验收上线满 3 个月（质保金）</w:t>
            </w:r>
          </w:p>
        </w:tc>
        <w:tc>
          <w:tcPr>
            <w:tcW w:type="dxa" w:w="21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  <w:tc>
          <w:tcPr>
            <w:tcW w:type="dxa" w:w="21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righ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10,900</w:t>
            </w:r>
          </w:p>
        </w:tc>
      </w:tr>
      <w:tr>
        <w:tc>
          <w:tcPr>
            <w:tcW w:type="dxa" w:w="1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8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合计</w:t>
            </w:r>
          </w:p>
        </w:tc>
        <w:tc>
          <w:tcPr>
            <w:tcW w:type="dxa" w:w="21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21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righ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218,000</w:t>
            </w:r>
          </w:p>
        </w:tc>
      </w:tr>
    </w:tbl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3.1 甲方逾期付款的，按日 0.05% 支付违约金；逾期超过 30 日，乙方有权暂停服务。</w:t>
      </w:r>
    </w:p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第四条 项目周期与里程碑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626"/>
      </w:tblGrid>
      <w:tr>
        <w:trPr>
          <w:tblHeader/>
        </w:trPr>
        <w:tc>
          <w:tcPr>
            <w:tcW w:type="dxa" w:w="1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阶段</w:t>
            </w:r>
          </w:p>
        </w:tc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周期</w:t>
            </w:r>
          </w:p>
        </w:tc>
        <w:tc>
          <w:tcPr>
            <w:tcW w:type="dxa" w:w="5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主要工作</w:t>
            </w:r>
          </w:p>
        </w:tc>
      </w:tr>
      <w:tr>
        <w:tc>
          <w:tcPr>
            <w:tcW w:type="dxa" w:w="1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需求确认</w:t>
            </w:r>
          </w:p>
        </w:tc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1 周</w:t>
            </w:r>
          </w:p>
        </w:tc>
        <w:tc>
          <w:tcPr>
            <w:tcW w:type="dxa" w:w="5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需求评审、原型与 PRD 确认</w:t>
            </w:r>
          </w:p>
        </w:tc>
      </w:tr>
      <w:tr>
        <w:tc>
          <w:tcPr>
            <w:tcW w:type="dxa" w:w="1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UI 设计</w:t>
            </w:r>
          </w:p>
        </w:tc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2 周</w:t>
            </w:r>
          </w:p>
        </w:tc>
        <w:tc>
          <w:tcPr>
            <w:tcW w:type="dxa" w:w="5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双端视觉设计与评审</w:t>
            </w:r>
          </w:p>
        </w:tc>
      </w:tr>
      <w:tr>
        <w:tc>
          <w:tcPr>
            <w:tcW w:type="dxa" w:w="1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开发</w:t>
            </w:r>
          </w:p>
        </w:tc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8 周</w:t>
            </w:r>
          </w:p>
        </w:tc>
        <w:tc>
          <w:tcPr>
            <w:tcW w:type="dxa" w:w="5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前端双端 + 云函数接口 + 定时任务</w:t>
            </w:r>
          </w:p>
        </w:tc>
      </w:tr>
      <w:tr>
        <w:tc>
          <w:tcPr>
            <w:tcW w:type="dxa" w:w="1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联调测试</w:t>
            </w:r>
          </w:p>
        </w:tc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2 周</w:t>
            </w:r>
          </w:p>
        </w:tc>
        <w:tc>
          <w:tcPr>
            <w:tcW w:type="dxa" w:w="5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功能测试、兼容性测试、缺陷修复</w:t>
            </w:r>
          </w:p>
        </w:tc>
      </w:tr>
      <w:tr>
        <w:tc>
          <w:tcPr>
            <w:tcW w:type="dxa" w:w="1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上线与培训</w:t>
            </w:r>
          </w:p>
        </w:tc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1 周</w:t>
            </w:r>
          </w:p>
        </w:tc>
        <w:tc>
          <w:tcPr>
            <w:tcW w:type="dxa" w:w="5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环境部署、审核对接、培训与文档交付</w:t>
            </w:r>
          </w:p>
        </w:tc>
      </w:tr>
    </w:tbl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第五条 交付与验收</w:t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5.1 乙方按附件一交付全部功能与文档。</w:t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5.2 甲方应在 UAT 提测后 10 个工作日内完成验收并书面反馈；逾期未反馈视为验收通过。</w:t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5.3 验收以附件一功能清单为准；清单外需求按变更流程处理。</w:t>
      </w:r>
    </w:p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第六条 知识产权</w:t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6.1 本项目软件著作权归乙方所有，甲方享有永久使用权。</w:t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6.2 甲方如需买断源码及著作权，另行加收合同金额的 30%–50%，并签署补充协议。</w:t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6.3 甲方提供的素材、内容、资质材料的知识产权归甲方所有，甲方保证其合法性与授权完整性。</w:t>
      </w:r>
    </w:p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第七条 保密义务</w:t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双方对因履行本合同获知的对方商业秘密、技术资料、患者数据承担保密义务，保密期限为合同终止后 3 年。详见附件二《保密协议》。</w:t>
      </w:r>
    </w:p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第八条 数据安全与合规</w:t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8.1 甲方为数据处理活动中的数据控制者，对数据来源合法性、患者授权、诊疗合规承担主体责任。</w:t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8.2 乙方作为受托处理者，按附件三《个人信息处理协议》采取加密、访问控制、留痕、备份等安全措施。</w:t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8.3 因甲方提供的资质、内容、指令违法违规导致的责任，由甲方承担。</w:t>
      </w:r>
    </w:p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第九条 运维与质保</w:t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9.1 自验收之日起提供 12 个月免费质保，范围为系统缺陷修复。</w:t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9.2 质保不含：需求变更、第三方平台规则或接口变更导致的改造、甲方自身环境或欠费导致的故障。</w:t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9.3 质保期满后按年度维护服务续约，具体 SLA 见报价函第五章。</w:t>
      </w:r>
    </w:p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第十条 需求变更</w:t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10.1 变更须以书面《需求变更单》提出，乙方评估工作量、费用与工期影响，双方确认后执行。</w:t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10.2 变更工作量按 ¥1,600/人日 计（单次 ≥10 人日享 9 折）。</w:t>
      </w:r>
    </w:p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第十一条 违约责任</w:t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11.1 乙方无正当理由逾期交付的，按合同总额日 0.05% 支付违约金，累计不超过合同总额 10%。</w:t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11.2 甲方逾期付款或逾期提供资质材料、测试环境导致延期的，交付周期相应顺延。</w:t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11.3 因不可抗力或第三方平台（微信）规则调整导致的延误，双方互不追究违约责任。</w:t>
      </w:r>
    </w:p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第十二条 合同解除</w:t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任一方严重违约且在收到书面催告后 15 日内未纠正的，另一方有权解除合同，已发生的工作量按实际结算。</w:t>
      </w:r>
    </w:p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第十三条 争议解决</w:t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因本合同发生的争议，双方协商解决；协商不成的，提交北京市有管辖权的人民法院诉讼解决。</w:t>
      </w:r>
    </w:p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第十四条 附件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附件一：《需求规格说明书（功能清单确认表）》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附件二：《保密协议》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附件三：《个人信息处理协议》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附件四：《技术方案说明书》《数据库设计说明书》《接口文档》《部署与运维手册》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附件五：《项目报价函》</w:t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/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本合同一式两份，甲乙双方各执一份，自双方签字盖章之日起生效。</w:t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/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甲方（盖章）：____________________          授权代表：____________          日期：____年__月__日</w:t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/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乙方（盖章）：____________________          授权代表：____________          日期：____年__月__日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eastAsia="微软雅黑" w:hAnsi="微软雅黑"/>
        <w:color w:val="999999"/>
        <w:sz w:val="16"/>
        <w:szCs w:val="16"/>
      </w:rPr>
      <w:t xml:space="preserve">第 </w:t>
    </w:r>
    <w:r>
      <w:rPr>
        <w:rFonts w:ascii="微软雅黑" w:eastAsia="微软雅黑" w:hAnsi="微软雅黑"/>
        <w:color w:val="999999"/>
        <w:sz w:val="16"/>
        <w:szCs w:val="16"/>
      </w:rPr>
      <w:fldChar w:fldCharType="begin"/>
    </w:r>
    <w:r>
      <w:rPr>
        <w:rFonts w:ascii="微软雅黑" w:eastAsia="微软雅黑" w:hAnsi="微软雅黑"/>
        <w:color w:val="999999"/>
        <w:sz w:val="16"/>
        <w:szCs w:val="16"/>
      </w:rPr>
      <w:instrText xml:space="preserve">PAGE</w:instrText>
    </w:r>
    <w:r>
      <w:rPr>
        <w:rFonts w:ascii="微软雅黑" w:eastAsia="微软雅黑" w:hAnsi="微软雅黑"/>
        <w:color w:val="999999"/>
        <w:sz w:val="16"/>
        <w:szCs w:val="16"/>
      </w:rPr>
      <w:fldChar w:fldCharType="separate"/>
    </w:r>
    <w:r>
      <w:rPr>
        <w:rFonts w:ascii="微软雅黑" w:eastAsia="微软雅黑" w:hAnsi="微软雅黑"/>
        <w:color w:val="999999"/>
        <w:sz w:val="16"/>
        <w:szCs w:val="16"/>
      </w:rPr>
      <w:fldChar w:fldCharType="end"/>
    </w:r>
    <w:r>
      <w:rPr>
        <w:rFonts w:ascii="微软雅黑" w:eastAsia="微软雅黑" w:hAnsi="微软雅黑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微软雅黑" w:eastAsia="微软雅黑" w:hAnsi="微软雅黑"/>
        <w:color w:val="999999"/>
        <w:sz w:val="16"/>
        <w:szCs w:val="16"/>
      </w:rPr>
      <w:t xml:space="preserve">毛发专病医联体全国转诊小程序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eastAsia="微软雅黑" w:hAnsi="微软雅黑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微软雅黑" w:eastAsia="微软雅黑" w:hAnsi="微软雅黑"/>
      <w:b/>
      <w:bCs/>
      <w:color w:val="2E75B6"/>
      <w:sz w:val="25"/>
      <w:szCs w:val="25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微软雅黑" w:eastAsia="微软雅黑" w:hAnsi="微软雅黑"/>
      <w:b/>
      <w:bCs/>
      <w:color w:val="1F4E79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2026-10-21T17:39:00.510Z</dcterms:created>
  <dcterms:modified xsi:type="dcterms:W3CDTF">2026-10-21T17:39:00.510Z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