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微软雅黑" w:eastAsia="微软雅黑" w:hAnsi="微软雅黑"/>
          <w:b/>
          <w:bCs/>
          <w:color w:val="2E75B6"/>
          <w:sz w:val="32"/>
          <w:szCs w:val="32"/>
        </w:rPr>
        <w:t xml:space="preserve">个人信息处理协议（DPA）</w:t>
      </w:r>
    </w:p>
    <w:p>
      <w:pPr>
        <w:spacing w:after="60"/>
        <w:jc w:val="center"/>
      </w:pPr>
      <w:r>
        <w:rPr>
          <w:rFonts w:ascii="微软雅黑" w:eastAsia="微软雅黑" w:hAnsi="微软雅黑"/>
          <w:b/>
          <w:bCs/>
          <w:sz w:val="24"/>
          <w:szCs w:val="24"/>
        </w:rPr>
        <w:t xml:space="preserve">作为技术服务合同附件三</w:t>
      </w:r>
    </w:p>
    <w:p>
      <w:pPr>
        <w:pBdr>
          <w:bottom w:val="single" w:color="2E75B6" w:sz="8" w:space="6"/>
        </w:pBdr>
        <w:spacing w:after="200"/>
        <w:jc w:val="center"/>
      </w:pPr>
      <w:r>
        <w:rPr>
          <w:rFonts w:ascii="微软雅黑" w:eastAsia="微软雅黑" w:hAnsi="微软雅黑"/>
        </w:rPr>
        <w:t xml:space="preserve"/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甲方（个人信息处理者 / 数据控制者）：____________________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乙方（受托处理者）：____________________</w:t>
      </w:r>
    </w:p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第一条 处理角色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甲方决定个人信息处理目的与方式，为数据控制者；乙方仅为实现合同约定功能而处理，为受托处理者，不得超出甲方指示范围处理。</w:t>
      </w:r>
    </w:p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第二条 处理目的与范围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dxa" w:w="68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处理目的</w:t>
            </w:r>
          </w:p>
        </w:tc>
        <w:tc>
          <w:tcPr>
            <w:tcW w:type="dxa" w:w="68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医生认证入驻、患者档案管理、影像与病历管理、转诊协作、消息与短信提醒、统计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个人信息类型</w:t>
            </w:r>
          </w:p>
        </w:tc>
        <w:tc>
          <w:tcPr>
            <w:tcW w:type="dxa" w:w="68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医生：姓名、手机号、执业证号、职称、科室、资质证件；患者：姓名、性别、年龄、手机号、既往史、过敏史、主诉、影像与病历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敏感个人信息</w:t>
            </w:r>
          </w:p>
        </w:tc>
        <w:tc>
          <w:tcPr>
            <w:tcW w:type="dxa" w:w="68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患者临床影像、病历资料（已按最小必要原则收集并加密存储）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数据主体</w:t>
            </w:r>
          </w:p>
        </w:tc>
        <w:tc>
          <w:tcPr>
            <w:tcW w:type="dxa" w:w="68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医生、患者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存储地域</w:t>
            </w:r>
          </w:p>
        </w:tc>
        <w:tc>
          <w:tcPr>
            <w:tcW w:type="dxa" w:w="68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中华人民共和国境内（微信云开发境内环境）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处理方式</w:t>
            </w:r>
          </w:p>
        </w:tc>
        <w:tc>
          <w:tcPr>
            <w:tcW w:type="dxa" w:w="68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收集、存储、使用、传输（端到端加密）、展示、删除</w:t>
            </w:r>
          </w:p>
        </w:tc>
      </w:tr>
    </w:tbl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第三条 安全措施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传输与存储加密；按角色最小化授权与访问控制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全流程操作留痕（操作人、时间、操作内容），可追溯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定期备份与恢复演练；异常访问告警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离职/项目结束回收权限并删除数据</w:t>
      </w:r>
    </w:p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第四条 数据主体权利保障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甲方负责建立查阅、复制、更正、删除、撤回同意的受理机制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乙方提供技术接口支持，在收到甲方指令后 5 个工作日内协助完成</w:t>
      </w:r>
    </w:p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第五条 子处理者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乙方使用的主要子处理者为腾讯云（云开发、云存储、短信）与微信平台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新增子处理者须提前书面通知甲方，甲方有权提出异议</w:t>
      </w:r>
    </w:p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第六条 留存与删除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数据留存期限由甲方依据《电子病历应用管理规范》等规定确定（门诊病历不少于 15 年）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合同终止后，乙方按甲方指令删除或匿名化处理数据，并出具删除确认</w:t>
      </w:r>
    </w:p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第七条 事件通知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发生或可能发生个人信息泄露、篡改、丢失时，乙方应在 24 小时内通知甲方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双方配合开展调查、处置、报告与告知义务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/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甲方（盖章）：____________________          授权代表：____________          日期：____年__月__日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/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乙方（盖章）：____________________          授权代表：____________          日期：____年__月__日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eastAsia="微软雅黑" w:hAnsi="微软雅黑"/>
        <w:color w:val="999999"/>
        <w:sz w:val="16"/>
        <w:szCs w:val="16"/>
      </w:rPr>
      <w:t xml:space="preserve">第 </w:t>
    </w:r>
    <w:r>
      <w:rPr>
        <w:rFonts w:ascii="微软雅黑" w:eastAsia="微软雅黑" w:hAnsi="微软雅黑"/>
        <w:color w:val="999999"/>
        <w:sz w:val="16"/>
        <w:szCs w:val="16"/>
      </w:rPr>
      <w:fldChar w:fldCharType="begin"/>
    </w:r>
    <w:r>
      <w:rPr>
        <w:rFonts w:ascii="微软雅黑" w:eastAsia="微软雅黑" w:hAnsi="微软雅黑"/>
        <w:color w:val="999999"/>
        <w:sz w:val="16"/>
        <w:szCs w:val="16"/>
      </w:rPr>
      <w:instrText xml:space="preserve">PAGE</w:instrText>
    </w:r>
    <w:r>
      <w:rPr>
        <w:rFonts w:ascii="微软雅黑" w:eastAsia="微软雅黑" w:hAnsi="微软雅黑"/>
        <w:color w:val="999999"/>
        <w:sz w:val="16"/>
        <w:szCs w:val="16"/>
      </w:rPr>
      <w:fldChar w:fldCharType="separate"/>
    </w:r>
    <w:r>
      <w:rPr>
        <w:rFonts w:ascii="微软雅黑" w:eastAsia="微软雅黑" w:hAnsi="微软雅黑"/>
        <w:color w:val="999999"/>
        <w:sz w:val="16"/>
        <w:szCs w:val="16"/>
      </w:rPr>
      <w:fldChar w:fldCharType="end"/>
    </w:r>
    <w:r>
      <w:rPr>
        <w:rFonts w:ascii="微软雅黑" w:eastAsia="微软雅黑" w:hAnsi="微软雅黑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微软雅黑" w:eastAsia="微软雅黑" w:hAnsi="微软雅黑"/>
        <w:color w:val="999999"/>
        <w:sz w:val="16"/>
        <w:szCs w:val="16"/>
      </w:rPr>
      <w:t xml:space="preserve">毛发专病医联体全国转诊小程序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eastAsia="微软雅黑" w:hAnsi="微软雅黑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微软雅黑" w:eastAsia="微软雅黑" w:hAnsi="微软雅黑"/>
      <w:b/>
      <w:bCs/>
      <w:color w:val="2E75B6"/>
      <w:sz w:val="25"/>
      <w:szCs w:val="25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微软雅黑" w:eastAsia="微软雅黑" w:hAnsi="微软雅黑"/>
      <w:b/>
      <w:bCs/>
      <w:color w:val="1F4E79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2026-10-21T17:39:00.612Z</dcterms:created>
  <dcterms:modified xsi:type="dcterms:W3CDTF">2026-10-21T17:39:00.612Z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