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微软雅黑" w:eastAsia="微软雅黑" w:hAnsi="微软雅黑"/>
          <w:b/>
          <w:bCs/>
          <w:color w:val="2E75B6"/>
          <w:sz w:val="32"/>
          <w:szCs w:val="32"/>
        </w:rPr>
        <w:t xml:space="preserve">毛发专病医联体全国转诊小程序</w:t>
      </w:r>
    </w:p>
    <w:p>
      <w:pPr>
        <w:spacing w:after="60"/>
        <w:jc w:val="center"/>
      </w:pPr>
      <w:r>
        <w:rPr>
          <w:rFonts w:ascii="微软雅黑" w:eastAsia="微软雅黑" w:hAnsi="微软雅黑"/>
          <w:b/>
          <w:bCs/>
          <w:sz w:val="24"/>
          <w:szCs w:val="24"/>
        </w:rPr>
        <w:t xml:space="preserve">部署与运维手册</w:t>
      </w:r>
    </w:p>
    <w:p>
      <w:pPr>
        <w:pBdr>
          <w:bottom w:val="single" w:color="2E75B6" w:sz="8" w:space="6"/>
        </w:pBdr>
        <w:spacing w:after="200"/>
        <w:jc w:val="center"/>
      </w:pPr>
      <w:r>
        <w:rPr>
          <w:rFonts w:ascii="微软雅黑" w:eastAsia="微软雅黑" w:hAnsi="微软雅黑"/>
        </w:rPr>
        <w:t xml:space="preserve"/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一、部署前置条件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已注册小程序并取得 AppID（企业主体，建议完成微信认证）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已开通微信云开发，取得环境 ID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微信开发者工具（稳定版）已安装并登录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如涉及医疗类目，已准备《医疗机构执业许可证》等资质材料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二、部署步骤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步骤</w:t>
            </w:r>
          </w:p>
        </w:tc>
        <w:tc>
          <w:tcPr>
            <w:tcW w:type="dxa" w:w="5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操作说明</w:t>
            </w:r>
          </w:p>
        </w:tc>
      </w:tr>
      <w:tr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导入项目</w:t>
            </w:r>
          </w:p>
        </w:tc>
        <w:tc>
          <w:tcPr>
            <w:tcW w:type="dxa" w:w="5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开发者工具 → 导入项目 → 选择仓库根目录 → 填写 AppID</w:t>
            </w:r>
          </w:p>
        </w:tc>
      </w:tr>
      <w:tr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配置环境</w:t>
            </w:r>
          </w:p>
        </w:tc>
        <w:tc>
          <w:tcPr>
            <w:tcW w:type="dxa" w:w="5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编辑 miniprogram/config/env.js：cloudEnv 填环境 ID，useMock 设为 false</w:t>
            </w:r>
          </w:p>
        </w:tc>
      </w:tr>
      <w:tr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初始化云环境</w:t>
            </w:r>
          </w:p>
        </w:tc>
        <w:tc>
          <w:tcPr>
            <w:tcW w:type="dxa" w:w="5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开发者工具「云开发」→ 创建环境 → 复制环境 ID</w:t>
            </w:r>
          </w:p>
        </w:tc>
      </w:tr>
      <w:tr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创建集合</w:t>
            </w:r>
          </w:p>
        </w:tc>
        <w:tc>
          <w:tcPr>
            <w:tcW w:type="dxa" w:w="5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云开发控制台 → 数据库 → 按「数据库设计说明书」新建 9 张集合</w:t>
            </w:r>
          </w:p>
        </w:tc>
      </w:tr>
      <w:tr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建索引</w:t>
            </w:r>
          </w:p>
        </w:tc>
        <w:tc>
          <w:tcPr>
            <w:tcW w:type="dxa" w:w="5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按索引建议添加索引，尤其是 referrals.status / initiatorId / acceptedBy</w:t>
            </w:r>
          </w:p>
        </w:tc>
      </w:tr>
      <w:tr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部署云函数</w:t>
            </w:r>
          </w:p>
        </w:tc>
        <w:tc>
          <w:tcPr>
            <w:tcW w:type="dxa" w:w="5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右键 cloudfunctions/api → 上传并部署（云端安装依赖）；同样处理 timer</w:t>
            </w:r>
          </w:p>
        </w:tc>
      </w:tr>
      <w:tr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配置定时触发器</w:t>
            </w:r>
          </w:p>
        </w:tc>
        <w:tc>
          <w:tcPr>
            <w:tcW w:type="dxa" w:w="5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确认 timer 的 config.json（默认 0 30 * * * * *，每小时第 30 分）已生效</w:t>
            </w:r>
          </w:p>
        </w:tc>
      </w:tr>
      <w:tr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初始化数据</w:t>
            </w:r>
          </w:p>
        </w:tc>
        <w:tc>
          <w:tcPr>
            <w:tcW w:type="dxa" w:w="5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云函数控制台调用 api，action = system.seed</w:t>
            </w:r>
          </w:p>
        </w:tc>
      </w:tr>
      <w:tr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本地/真机验证</w:t>
            </w:r>
          </w:p>
        </w:tc>
        <w:tc>
          <w:tcPr>
            <w:tcW w:type="dxa" w:w="5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登录 → 建档 → 发起转诊 → 抢单 → 结案 全流程走通</w:t>
            </w:r>
          </w:p>
        </w:tc>
      </w:tr>
      <w:tr>
        <w:tc>
          <w:tcPr>
            <w:tcW w:type="dxa" w:w="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提交审核</w:t>
            </w:r>
          </w:p>
        </w:tc>
        <w:tc>
          <w:tcPr>
            <w:tcW w:type="dxa" w:w="5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开发者工具「上传」→ 小程序后台提交审核 → 发布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三、环境变量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变量</w:t>
            </w:r>
          </w:p>
        </w:tc>
        <w:tc>
          <w:tcPr>
            <w:tcW w:type="dxa" w:w="3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未配置时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SMS_SECRET_ID</w:t>
            </w:r>
          </w:p>
        </w:tc>
        <w:tc>
          <w:tcPr>
            <w:tcW w:type="dxa" w:w="3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短信服务密钥 ID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短信仅写入 sms_tasks 留痕，不实际发送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SMS_SECRET_KEY</w:t>
            </w:r>
          </w:p>
        </w:tc>
        <w:tc>
          <w:tcPr>
            <w:tcW w:type="dxa" w:w="3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短信服务密钥 Key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SMS_SDK_APP_ID</w:t>
            </w:r>
          </w:p>
        </w:tc>
        <w:tc>
          <w:tcPr>
            <w:tcW w:type="dxa" w:w="3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短信应用 ID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SMS_TEMPLATE_ID</w:t>
            </w:r>
          </w:p>
        </w:tc>
        <w:tc>
          <w:tcPr>
            <w:tcW w:type="dxa" w:w="3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短信模板 ID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4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SMS_SIGN</w:t>
            </w:r>
          </w:p>
        </w:tc>
        <w:tc>
          <w:tcPr>
            <w:tcW w:type="dxa" w:w="32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短信签名</w:t>
            </w:r>
          </w:p>
        </w:tc>
        <w:tc>
          <w:tcPr>
            <w:tcW w:type="dxa" w:w="3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同上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四、监控与备份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云开发控制台查看云函数调用量、错误率、耗时；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数据库与云存储开启定期备份，建议每日一次、保留 30 天；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短信发送结果在 sms_tasks 集合中可查，异常需人工重发；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每月检查一次容量与费用，接近套餐上限时提前扩容。</w:t>
      </w:r>
    </w:p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五、常见故障排查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shd w:fill="DCE9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center"/>
            </w:pPr>
            <w:r>
              <w:rPr>
                <w:rFonts w:ascii="微软雅黑" w:eastAsia="微软雅黑" w:hAnsi="微软雅黑"/>
                <w:b/>
                <w:bCs/>
                <w:sz w:val="20"/>
                <w:szCs w:val="20"/>
              </w:rPr>
              <w:t xml:space="preserve">排查与处理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点击无跳转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检查 app.json 是否注册该页面、跳转路径是否与实际文件名一致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云函数调用失败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检查云函数是否部署成功、环境 ID 是否与 env.js 一致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图片上传失败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检查云存储权限、图片是否过大（已压缩，仍超限需调低分辨率）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待抢单池为空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确认单据状态为 pending 且自己不在发起人之列、可见范围匹配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消息红点不更新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消息中心会重新拉取，检查 message.read 是否调用成功</w:t>
            </w:r>
          </w:p>
        </w:tc>
      </w:tr>
      <w:tr>
        <w:tc>
          <w:tcPr>
            <w:tcW w:type="dxa" w:w="2600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短信未收到</w:t>
            </w:r>
          </w:p>
        </w:tc>
        <w:tc>
          <w:tcPr>
            <w:tcW w:type="dxa" w:w="6426"/>
            <w:tcBorders>
              <w:top w:val="single" w:color="B4C6E7" w:sz="2"/>
              <w:left w:val="single" w:color="B4C6E7" w:sz="2"/>
              <w:bottom w:val="single" w:color="B4C6E7" w:sz="2"/>
              <w:right w:val="single" w:color="B4C6E7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300"/>
              <w:jc w:val="left"/>
            </w:pPr>
            <w:r>
              <w:rPr>
                <w:rFonts w:ascii="微软雅黑" w:eastAsia="微软雅黑" w:hAnsi="微软雅黑"/>
                <w:b w:val="false"/>
                <w:bCs w:val="false"/>
                <w:sz w:val="20"/>
                <w:szCs w:val="20"/>
              </w:rPr>
              <w:t xml:space="preserve">检查环境变量是否配置、sms_tasks 中 status 是否为 pending</w:t>
            </w:r>
          </w:p>
        </w:tc>
      </w:tr>
    </w:tbl>
    <w:p>
      <w:pPr>
        <w:pStyle w:val="Heading1"/>
        <w:spacing w:after="160" w:before="300"/>
      </w:pPr>
      <w:r>
        <w:rPr>
          <w:rFonts w:ascii="微软雅黑" w:eastAsia="微软雅黑" w:hAnsi="微软雅黑"/>
          <w:b/>
          <w:bCs/>
        </w:rPr>
        <w:t xml:space="preserve">六、应急响应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P0（全站不可用）：15 分钟内响应，2 小时内恢复或提供临时方案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P1（核心流程受阻）：1 小时内响应，当日修复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P2（一般缺陷）：1 个工作日内响应，按版本计划修复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软雅黑" w:eastAsia="微软雅黑" w:hAnsi="微软雅黑"/>
          <w:sz w:val="21"/>
          <w:szCs w:val="21"/>
        </w:rPr>
        <w:t xml:space="preserve">数据安全事件：24 小时内通知甲方并配合处置、报告与告知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eastAsia="微软雅黑" w:hAnsi="微软雅黑"/>
        <w:color w:val="999999"/>
        <w:sz w:val="16"/>
        <w:szCs w:val="16"/>
      </w:rPr>
      <w:fldChar w:fldCharType="begin"/>
    </w:r>
    <w:r>
      <w:rPr>
        <w:rFonts w:ascii="微软雅黑" w:eastAsia="微软雅黑" w:hAnsi="微软雅黑"/>
        <w:color w:val="999999"/>
        <w:sz w:val="16"/>
        <w:szCs w:val="16"/>
      </w:rPr>
      <w:instrText xml:space="preserve">PAGE</w:instrText>
    </w:r>
    <w:r>
      <w:rPr>
        <w:rFonts w:ascii="微软雅黑" w:eastAsia="微软雅黑" w:hAnsi="微软雅黑"/>
        <w:color w:val="999999"/>
        <w:sz w:val="16"/>
        <w:szCs w:val="16"/>
      </w:rPr>
      <w:fldChar w:fldCharType="separate"/>
    </w:r>
    <w:r>
      <w:rPr>
        <w:rFonts w:ascii="微软雅黑" w:eastAsia="微软雅黑" w:hAnsi="微软雅黑"/>
        <w:color w:val="999999"/>
        <w:sz w:val="16"/>
        <w:szCs w:val="16"/>
      </w:rPr>
      <w:fldChar w:fldCharType="end"/>
    </w:r>
    <w:r>
      <w:rPr>
        <w:rFonts w:ascii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eastAsia="微软雅黑" w:hAnsi="微软雅黑"/>
        <w:color w:val="999999"/>
        <w:sz w:val="16"/>
        <w:szCs w:val="16"/>
      </w:rPr>
      <w:t xml:space="preserve">毛发专病医联体全国转诊小程序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微软雅黑" w:eastAsia="微软雅黑" w:hAnsi="微软雅黑"/>
      <w:b/>
      <w:bCs/>
      <w:color w:val="2E75B6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eastAsia="微软雅黑" w:hAnsi="微软雅黑"/>
      <w:b/>
      <w:bCs/>
      <w:color w:val="1F4E79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2026-10-21T17:39:00.881Z</dcterms:created>
  <dcterms:modified xsi:type="dcterms:W3CDTF">2026-10-21T17:39:00.881Z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