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毛发专病医联体全国转诊小程序</w:t>
      </w:r>
    </w:p>
    <w:p>
      <w:pPr>
        <w:spacing w:after="60"/>
        <w:jc w:val="center"/>
      </w:pPr>
      <w:r>
        <w:rPr>
          <w:rFonts w:ascii="微软雅黑" w:eastAsia="微软雅黑" w:hAnsi="微软雅黑"/>
          <w:b/>
          <w:bCs/>
          <w:sz w:val="24"/>
          <w:szCs w:val="24"/>
        </w:rPr>
        <w:t xml:space="preserve">测试用例与缺陷报告（模板）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微软雅黑" w:eastAsia="微软雅黑" w:hAnsi="微软雅黑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3826"/>
      </w:tblGrid>
      <w:tr>
        <w:trPr>
          <w:tblHeader/>
        </w:trP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测试环境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微信开发者工具 / iOS / Android</w:t>
            </w:r>
          </w:p>
        </w:tc>
      </w:tr>
      <w:t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测试轮次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第 __ 轮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测试日期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2026 年 __ 月 __ 日</w:t>
            </w:r>
          </w:p>
        </w:tc>
      </w:tr>
      <w:t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测试人员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________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开发负责人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________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一、测试范围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医生端：患者管理、影像资料、格式化病历、转诊发起与管理、好友、我的、消息中心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患者端：转诊记录、转诊详情、影像与病历查看、个人中心、消息提醒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服务端：云函数接口、权限校验、转诊状态机、定时任务、短信留痕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二、核心测试用例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326"/>
        <w:gridCol w:w="20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TC01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登录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微信一键授权登录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自动注册并进入医生端首页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TC02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登录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重复登录同一微信号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不产生重复账号，资料保留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TC03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资质核验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提交姓名/职称/执业证 + 证件照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状态变更为待审核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TC04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患者管理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搜索姓名 / 手机号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列表即时过滤，结果正确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TC05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影像资料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多选拍照上传、删除、预览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操作成功，分类与时间正确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TC06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影像资料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 2 张照片对比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对比弹层正常展示两张影像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TC07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格式化病历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未选目的直接下一步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提示转诊目的必填，无法继续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TC08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格式化病历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填写后保存草稿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草稿可再次修改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TC09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格式化病历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确认提交后再次打开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仅可查看，不可修改，患者端同步可见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TC10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转诊发起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选择患者并进入发起流程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自动带入档案、影像、病历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TC11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转诊发起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按省/市、项目、医生筛选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候选医院与医生列表正确刷新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TC12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转诊发起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选择公开 / 定向模式并提交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可见范围与推送符合规则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TC13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转诊管理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 医生抢单后 B 医生查看待抢单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该单不再出现在 B 的待抢单池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TC14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转诊管理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发起医生主动取消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状态更新为已取消并留痕通知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TC15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定时任务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构造 72 小时前的待接单数据执行 timer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自动取消并通知双方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TC16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短信提醒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医生排班日期为 3 天后且有待接诊患者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生成短信任务，不重复发送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TC17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好友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搜索医生并发起申请，对方通过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双方好友列表均出现对方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TC18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消息中心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产生转诊/好友/系统消息并标记已读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红点清零，列表状态更新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TC19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患者端同步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医生端修改病历与基础信息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患者端实时可见；患者修改后医生端同步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□通过 □失败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TC20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权限隔离</w:t>
            </w:r>
          </w:p>
        </w:tc>
        <w:tc>
          <w:tcPr>
            <w:tcW w:type="dxa" w:w="3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 A 访问医生 B 的患者档案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不可见，接口拒绝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三、缺陷报告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400"/>
        <w:gridCol w:w="2326"/>
        <w:gridCol w:w="1400"/>
        <w:gridCol w:w="1400"/>
      </w:tblGrid>
      <w:tr>
        <w:trPr>
          <w:tblHeader/>
        </w:trP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2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处理人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BUG-001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□P0 □P1 □P2</w:t>
            </w:r>
          </w:p>
        </w:tc>
        <w:tc>
          <w:tcPr>
            <w:tcW w:type="dxa" w:w="2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□待修 □修复中 □已关闭</w:t>
            </w:r>
          </w:p>
        </w:tc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BUG-002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□P0 □P1 □P2</w:t>
            </w:r>
          </w:p>
        </w:tc>
        <w:tc>
          <w:tcPr>
            <w:tcW w:type="dxa" w:w="2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□待修 □修复中 □已关闭</w:t>
            </w:r>
          </w:p>
        </w:tc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BUG-003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□P0 □P1 □P2</w:t>
            </w:r>
          </w:p>
        </w:tc>
        <w:tc>
          <w:tcPr>
            <w:tcW w:type="dxa" w:w="2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□待修 □修复中 □已关闭</w:t>
            </w:r>
          </w:p>
        </w:tc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四、测试结论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用例总数：____，通过：____，失败：____，阻塞：____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遗留缺陷：____，其中 P0：____，P1：____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测试结论：□ 通过，可上线    □ 有条件通过（限期整改）    □ 不通过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测试负责人：____________    日期：____年__月__日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2026-10-21T17:39:00.929Z</dcterms:created>
  <dcterms:modified xsi:type="dcterms:W3CDTF">2026-10-21T17:39:00.929Z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