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微软雅黑" w:eastAsia="微软雅黑" w:hAnsi="微软雅黑"/>
          <w:b/>
          <w:bCs/>
          <w:color w:val="2E75B6"/>
          <w:sz w:val="32"/>
          <w:szCs w:val="32"/>
        </w:rPr>
        <w:t xml:space="preserve">毛发专病医联体全国转诊小程序</w:t>
      </w:r>
    </w:p>
    <w:p>
      <w:pPr>
        <w:spacing w:after="60"/>
        <w:jc w:val="center"/>
      </w:pPr>
      <w:r>
        <w:rPr>
          <w:rFonts w:ascii="微软雅黑" w:eastAsia="微软雅黑" w:hAnsi="微软雅黑"/>
          <w:b/>
          <w:bCs/>
          <w:sz w:val="24"/>
          <w:szCs w:val="24"/>
        </w:rPr>
        <w:t xml:space="preserve">上线检查与资质清单</w:t>
      </w:r>
    </w:p>
    <w:p>
      <w:pPr>
        <w:pBdr>
          <w:bottom w:val="single" w:color="2E75B6" w:sz="8" w:space="6"/>
        </w:pBdr>
        <w:spacing w:after="200"/>
        <w:jc w:val="center"/>
      </w:pPr>
      <w:r>
        <w:rPr>
          <w:rFonts w:ascii="微软雅黑" w:eastAsia="微软雅黑" w:hAnsi="微软雅黑"/>
        </w:rPr>
        <w:t xml:space="preserve"/>
      </w:r>
    </w:p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一、上线前检查清单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3126"/>
        <w:gridCol w:w="1300"/>
        <w:gridCol w:w="1300"/>
      </w:tblGrid>
      <w:tr>
        <w:trPr>
          <w:tblHeader/>
        </w:trP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检查项</w:t>
            </w:r>
          </w:p>
        </w:tc>
        <w:tc>
          <w:tcPr>
            <w:tcW w:type="dxa" w:w="31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标准</w:t>
            </w:r>
          </w:p>
        </w:tc>
        <w:tc>
          <w:tcPr>
            <w:tcW w:type="dxa" w:w="13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负责人</w:t>
            </w:r>
          </w:p>
        </w:tc>
        <w:tc>
          <w:tcPr>
            <w:tcW w:type="dxa" w:w="13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AppID 与主体</w:t>
            </w:r>
          </w:p>
        </w:tc>
        <w:tc>
          <w:tcPr>
            <w:tcW w:type="dxa" w:w="31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企业主体，已完成微信认证</w:t>
            </w:r>
          </w:p>
        </w:tc>
        <w:tc>
          <w:tcPr>
            <w:tcW w:type="dxa" w:w="13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甲方</w:t>
            </w:r>
          </w:p>
        </w:tc>
        <w:tc>
          <w:tcPr>
            <w:tcW w:type="dxa" w:w="13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□完成</w:t>
            </w:r>
          </w:p>
        </w:tc>
      </w:tr>
      <w:t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类目选择</w:t>
            </w:r>
          </w:p>
        </w:tc>
        <w:tc>
          <w:tcPr>
            <w:tcW w:type="dxa" w:w="31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选择「医疗」或对应子类目，资质齐全</w:t>
            </w:r>
          </w:p>
        </w:tc>
        <w:tc>
          <w:tcPr>
            <w:tcW w:type="dxa" w:w="13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甲方</w:t>
            </w:r>
          </w:p>
        </w:tc>
        <w:tc>
          <w:tcPr>
            <w:tcW w:type="dxa" w:w="13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□完成</w:t>
            </w:r>
          </w:p>
        </w:tc>
      </w:tr>
      <w:t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云环境配置</w:t>
            </w:r>
          </w:p>
        </w:tc>
        <w:tc>
          <w:tcPr>
            <w:tcW w:type="dxa" w:w="31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env.js 中 cloudEnv 正确，useMock=false</w:t>
            </w:r>
          </w:p>
        </w:tc>
        <w:tc>
          <w:tcPr>
            <w:tcW w:type="dxa" w:w="13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乙方</w:t>
            </w:r>
          </w:p>
        </w:tc>
        <w:tc>
          <w:tcPr>
            <w:tcW w:type="dxa" w:w="13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□完成</w:t>
            </w:r>
          </w:p>
        </w:tc>
      </w:tr>
      <w:t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数据库集合</w:t>
            </w:r>
          </w:p>
        </w:tc>
        <w:tc>
          <w:tcPr>
            <w:tcW w:type="dxa" w:w="31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9 张集合已建，索引已加</w:t>
            </w:r>
          </w:p>
        </w:tc>
        <w:tc>
          <w:tcPr>
            <w:tcW w:type="dxa" w:w="13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乙方</w:t>
            </w:r>
          </w:p>
        </w:tc>
        <w:tc>
          <w:tcPr>
            <w:tcW w:type="dxa" w:w="13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□完成</w:t>
            </w:r>
          </w:p>
        </w:tc>
      </w:tr>
      <w:t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云函数部署</w:t>
            </w:r>
          </w:p>
        </w:tc>
        <w:tc>
          <w:tcPr>
            <w:tcW w:type="dxa" w:w="31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api、timer 均已上传且测试通过</w:t>
            </w:r>
          </w:p>
        </w:tc>
        <w:tc>
          <w:tcPr>
            <w:tcW w:type="dxa" w:w="13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乙方</w:t>
            </w:r>
          </w:p>
        </w:tc>
        <w:tc>
          <w:tcPr>
            <w:tcW w:type="dxa" w:w="13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□完成</w:t>
            </w:r>
          </w:p>
        </w:tc>
      </w:tr>
      <w:t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定时触发器</w:t>
            </w:r>
          </w:p>
        </w:tc>
        <w:tc>
          <w:tcPr>
            <w:tcW w:type="dxa" w:w="31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Cron 已生效并有执行日志</w:t>
            </w:r>
          </w:p>
        </w:tc>
        <w:tc>
          <w:tcPr>
            <w:tcW w:type="dxa" w:w="13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乙方</w:t>
            </w:r>
          </w:p>
        </w:tc>
        <w:tc>
          <w:tcPr>
            <w:tcW w:type="dxa" w:w="13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□完成</w:t>
            </w:r>
          </w:p>
        </w:tc>
      </w:tr>
      <w:t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权限与安全规则</w:t>
            </w:r>
          </w:p>
        </w:tc>
        <w:tc>
          <w:tcPr>
            <w:tcW w:type="dxa" w:w="31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数据库仅管理端可读写，接口鉴权正常</w:t>
            </w:r>
          </w:p>
        </w:tc>
        <w:tc>
          <w:tcPr>
            <w:tcW w:type="dxa" w:w="13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乙方</w:t>
            </w:r>
          </w:p>
        </w:tc>
        <w:tc>
          <w:tcPr>
            <w:tcW w:type="dxa" w:w="13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□完成</w:t>
            </w:r>
          </w:p>
        </w:tc>
      </w:tr>
      <w:t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全流程回归</w:t>
            </w:r>
          </w:p>
        </w:tc>
        <w:tc>
          <w:tcPr>
            <w:tcW w:type="dxa" w:w="31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建档 → 转诊 → 抢单 → 结案 → 患者端同步 全通</w:t>
            </w:r>
          </w:p>
        </w:tc>
        <w:tc>
          <w:tcPr>
            <w:tcW w:type="dxa" w:w="13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双方</w:t>
            </w:r>
          </w:p>
        </w:tc>
        <w:tc>
          <w:tcPr>
            <w:tcW w:type="dxa" w:w="13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□完成</w:t>
            </w:r>
          </w:p>
        </w:tc>
      </w:tr>
      <w:t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隐私政策与授权</w:t>
            </w:r>
          </w:p>
        </w:tc>
        <w:tc>
          <w:tcPr>
            <w:tcW w:type="dxa" w:w="31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已在小程序内配置并可见</w:t>
            </w:r>
          </w:p>
        </w:tc>
        <w:tc>
          <w:tcPr>
            <w:tcW w:type="dxa" w:w="13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甲方</w:t>
            </w:r>
          </w:p>
        </w:tc>
        <w:tc>
          <w:tcPr>
            <w:tcW w:type="dxa" w:w="13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□完成</w:t>
            </w:r>
          </w:p>
        </w:tc>
      </w:tr>
      <w:t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内容与文案</w:t>
            </w:r>
          </w:p>
        </w:tc>
        <w:tc>
          <w:tcPr>
            <w:tcW w:type="dxa" w:w="31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医院介绍、项目价格、诊疗文案合法合规</w:t>
            </w:r>
          </w:p>
        </w:tc>
        <w:tc>
          <w:tcPr>
            <w:tcW w:type="dxa" w:w="13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甲方</w:t>
            </w:r>
          </w:p>
        </w:tc>
        <w:tc>
          <w:tcPr>
            <w:tcW w:type="dxa" w:w="13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□完成</w:t>
            </w:r>
          </w:p>
        </w:tc>
      </w:tr>
      <w:t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短信签名与模板</w:t>
            </w:r>
          </w:p>
        </w:tc>
        <w:tc>
          <w:tcPr>
            <w:tcW w:type="dxa" w:w="31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已报备通过并配置环境变量</w:t>
            </w:r>
          </w:p>
        </w:tc>
        <w:tc>
          <w:tcPr>
            <w:tcW w:type="dxa" w:w="13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甲方</w:t>
            </w:r>
          </w:p>
        </w:tc>
        <w:tc>
          <w:tcPr>
            <w:tcW w:type="dxa" w:w="13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□完成</w:t>
            </w:r>
          </w:p>
        </w:tc>
      </w:tr>
      <w:t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审核提交</w:t>
            </w:r>
          </w:p>
        </w:tc>
        <w:tc>
          <w:tcPr>
            <w:tcW w:type="dxa" w:w="31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小程序后台提交审核并跟踪结果</w:t>
            </w:r>
          </w:p>
        </w:tc>
        <w:tc>
          <w:tcPr>
            <w:tcW w:type="dxa" w:w="13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乙方</w:t>
            </w:r>
          </w:p>
        </w:tc>
        <w:tc>
          <w:tcPr>
            <w:tcW w:type="dxa" w:w="13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□完成</w:t>
            </w:r>
          </w:p>
        </w:tc>
      </w:tr>
    </w:tbl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二、需甲方提供的资质与材料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2426"/>
        <w:gridCol w:w="2700"/>
      </w:tblGrid>
      <w:tr>
        <w:trPr>
          <w:tblHeader/>
        </w:trP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材料</w:t>
            </w:r>
          </w:p>
        </w:tc>
        <w:tc>
          <w:tcPr>
            <w:tcW w:type="dxa" w:w="2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dxa" w:w="2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营业执照</w:t>
            </w:r>
          </w:p>
        </w:tc>
        <w:tc>
          <w:tcPr>
            <w:tcW w:type="dxa" w:w="2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小程序主体注册与企业认证</w:t>
            </w:r>
          </w:p>
        </w:tc>
        <w:tc>
          <w:tcPr>
            <w:tcW w:type="dxa" w:w="2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□已提供</w:t>
            </w:r>
          </w:p>
        </w:tc>
      </w:tr>
      <w:t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《医疗机构执业许可证》</w:t>
            </w:r>
          </w:p>
        </w:tc>
        <w:tc>
          <w:tcPr>
            <w:tcW w:type="dxa" w:w="2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医疗类目审核（如主体为医疗机构）</w:t>
            </w:r>
          </w:p>
        </w:tc>
        <w:tc>
          <w:tcPr>
            <w:tcW w:type="dxa" w:w="2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□已提供</w:t>
            </w:r>
          </w:p>
        </w:tc>
      </w:tr>
      <w:t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法人 / 经办人身份证与授权书</w:t>
            </w:r>
          </w:p>
        </w:tc>
        <w:tc>
          <w:tcPr>
            <w:tcW w:type="dxa" w:w="2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企业认证与备案</w:t>
            </w:r>
          </w:p>
        </w:tc>
        <w:tc>
          <w:tcPr>
            <w:tcW w:type="dxa" w:w="2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□已提供</w:t>
            </w:r>
          </w:p>
        </w:tc>
      </w:tr>
      <w:t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医院介绍、科室与专家资料</w:t>
            </w:r>
          </w:p>
        </w:tc>
        <w:tc>
          <w:tcPr>
            <w:tcW w:type="dxa" w:w="2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医院信息展示内容</w:t>
            </w:r>
          </w:p>
        </w:tc>
        <w:tc>
          <w:tcPr>
            <w:tcW w:type="dxa" w:w="2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□已提供</w:t>
            </w:r>
          </w:p>
        </w:tc>
      </w:tr>
      <w:t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诊疗项目与参考价格清单</w:t>
            </w:r>
          </w:p>
        </w:tc>
        <w:tc>
          <w:tcPr>
            <w:tcW w:type="dxa" w:w="2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医生端项目展示</w:t>
            </w:r>
          </w:p>
        </w:tc>
        <w:tc>
          <w:tcPr>
            <w:tcW w:type="dxa" w:w="2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□已提供</w:t>
            </w:r>
          </w:p>
        </w:tc>
      </w:tr>
      <w:t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短信签名与模板材料</w:t>
            </w:r>
          </w:p>
        </w:tc>
        <w:tc>
          <w:tcPr>
            <w:tcW w:type="dxa" w:w="2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短信报备</w:t>
            </w:r>
          </w:p>
        </w:tc>
        <w:tc>
          <w:tcPr>
            <w:tcW w:type="dxa" w:w="2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□已提供</w:t>
            </w:r>
          </w:p>
        </w:tc>
      </w:tr>
      <w:t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隐私政策与患者知情同意书</w:t>
            </w:r>
          </w:p>
        </w:tc>
        <w:tc>
          <w:tcPr>
            <w:tcW w:type="dxa" w:w="2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合规要求（可沿用乙方模板）</w:t>
            </w:r>
          </w:p>
        </w:tc>
        <w:tc>
          <w:tcPr>
            <w:tcW w:type="dxa" w:w="2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□已提供</w:t>
            </w:r>
          </w:p>
        </w:tc>
      </w:tr>
      <w:t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管理员与首批医生名单</w:t>
            </w:r>
          </w:p>
        </w:tc>
        <w:tc>
          <w:tcPr>
            <w:tcW w:type="dxa" w:w="2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账号开通与授权</w:t>
            </w:r>
          </w:p>
        </w:tc>
        <w:tc>
          <w:tcPr>
            <w:tcW w:type="dxa" w:w="2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□已提供</w:t>
            </w:r>
          </w:p>
        </w:tc>
      </w:tr>
      <w:t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存量数据（如需导入）</w:t>
            </w:r>
          </w:p>
        </w:tc>
        <w:tc>
          <w:tcPr>
            <w:tcW w:type="dxa" w:w="2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数据迁移</w:t>
            </w:r>
          </w:p>
        </w:tc>
        <w:tc>
          <w:tcPr>
            <w:tcW w:type="dxa" w:w="2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□已提供</w:t>
            </w:r>
          </w:p>
        </w:tc>
      </w:tr>
    </w:tbl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三、审核风险与应对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风险</w:t>
            </w:r>
          </w:p>
        </w:tc>
        <w:tc>
          <w:tcPr>
            <w:tcW w:type="dxa" w:w="60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应对</w:t>
            </w:r>
          </w:p>
        </w:tc>
      </w:tr>
      <w:tr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医疗类目资质不足导致驳回</w:t>
            </w:r>
          </w:p>
        </w:tc>
        <w:tc>
          <w:tcPr>
            <w:tcW w:type="dxa" w:w="60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提前备齐执业许可证等；或调整为「医疗资讯 / 健康服务」等可匹配类目</w:t>
            </w:r>
          </w:p>
        </w:tc>
      </w:tr>
      <w:tr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涉及诊疗行为被认定违规</w:t>
            </w:r>
          </w:p>
        </w:tc>
        <w:tc>
          <w:tcPr>
            <w:tcW w:type="dxa" w:w="60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明确产品定位为医生间转诊协作工具，不开展线上诊断与开方</w:t>
            </w:r>
          </w:p>
        </w:tc>
      </w:tr>
      <w:tr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疗效承诺、患者案例等违规内容</w:t>
            </w:r>
          </w:p>
        </w:tc>
        <w:tc>
          <w:tcPr>
            <w:tcW w:type="dxa" w:w="60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所有文案由甲方提供并审核，禁止保证性表述</w:t>
            </w:r>
          </w:p>
        </w:tc>
      </w:tr>
      <w:tr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患者影像/信息展示合规</w:t>
            </w:r>
          </w:p>
        </w:tc>
        <w:tc>
          <w:tcPr>
            <w:tcW w:type="dxa" w:w="60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取得患者单独同意，数据境内存储，按需授权访问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eastAsia="微软雅黑" w:hAnsi="微软雅黑"/>
        <w:color w:val="999999"/>
        <w:sz w:val="16"/>
        <w:szCs w:val="16"/>
      </w:rPr>
      <w:t xml:space="preserve">第 </w:t>
    </w:r>
    <w:r>
      <w:rPr>
        <w:rFonts w:ascii="微软雅黑" w:eastAsia="微软雅黑" w:hAnsi="微软雅黑"/>
        <w:color w:val="999999"/>
        <w:sz w:val="16"/>
        <w:szCs w:val="16"/>
      </w:rPr>
      <w:fldChar w:fldCharType="begin"/>
    </w:r>
    <w:r>
      <w:rPr>
        <w:rFonts w:ascii="微软雅黑" w:eastAsia="微软雅黑" w:hAnsi="微软雅黑"/>
        <w:color w:val="999999"/>
        <w:sz w:val="16"/>
        <w:szCs w:val="16"/>
      </w:rPr>
      <w:instrText xml:space="preserve">PAGE</w:instrText>
    </w:r>
    <w:r>
      <w:rPr>
        <w:rFonts w:ascii="微软雅黑" w:eastAsia="微软雅黑" w:hAnsi="微软雅黑"/>
        <w:color w:val="999999"/>
        <w:sz w:val="16"/>
        <w:szCs w:val="16"/>
      </w:rPr>
      <w:fldChar w:fldCharType="separate"/>
    </w:r>
    <w:r>
      <w:rPr>
        <w:rFonts w:ascii="微软雅黑" w:eastAsia="微软雅黑" w:hAnsi="微软雅黑"/>
        <w:color w:val="999999"/>
        <w:sz w:val="16"/>
        <w:szCs w:val="16"/>
      </w:rPr>
      <w:fldChar w:fldCharType="end"/>
    </w:r>
    <w:r>
      <w:rPr>
        <w:rFonts w:ascii="微软雅黑" w:eastAsia="微软雅黑" w:hAnsi="微软雅黑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软雅黑" w:eastAsia="微软雅黑" w:hAnsi="微软雅黑"/>
        <w:color w:val="999999"/>
        <w:sz w:val="16"/>
        <w:szCs w:val="16"/>
      </w:rPr>
      <w:t xml:space="preserve">毛发专病医联体全国转诊小程序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eastAsia="微软雅黑" w:hAnsi="微软雅黑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微软雅黑" w:eastAsia="微软雅黑" w:hAnsi="微软雅黑"/>
      <w:b/>
      <w:bCs/>
      <w:color w:val="2E75B6"/>
      <w:sz w:val="25"/>
      <w:szCs w:val="25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微软雅黑" w:eastAsia="微软雅黑" w:hAnsi="微软雅黑"/>
      <w:b/>
      <w:bCs/>
      <w:color w:val="1F4E79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2026-10-21T17:39:01.085Z</dcterms:created>
  <dcterms:modified xsi:type="dcterms:W3CDTF">2026-10-21T17:39:01.085Z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