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eastAsia="微软雅黑" w:hAnsi="微软雅黑"/>
          <w:b/>
          <w:bCs/>
          <w:color w:val="2E75B6"/>
          <w:sz w:val="32"/>
          <w:szCs w:val="32"/>
        </w:rPr>
        <w:t xml:space="preserve">毛发专病医联体全国转诊小程序</w:t>
      </w:r>
    </w:p>
    <w:p>
      <w:pPr>
        <w:spacing w:after="60"/>
        <w:jc w:val="center"/>
      </w:pPr>
      <w:r>
        <w:rPr>
          <w:rFonts w:ascii="微软雅黑" w:eastAsia="微软雅黑" w:hAnsi="微软雅黑"/>
          <w:b/>
          <w:bCs/>
          <w:sz w:val="24"/>
          <w:szCs w:val="24"/>
        </w:rPr>
        <w:t xml:space="preserve">医疗行业合规与风险清单</w:t>
      </w:r>
    </w:p>
    <w:p>
      <w:pPr>
        <w:pBdr>
          <w:bottom w:val="single" w:color="2E75B6" w:sz="8" w:space="6"/>
        </w:pBdr>
        <w:spacing w:after="200"/>
        <w:jc w:val="center"/>
      </w:pPr>
      <w:r>
        <w:rPr>
          <w:rFonts w:ascii="微软雅黑" w:eastAsia="微软雅黑" w:hAnsi="微软雅黑"/>
        </w:rPr>
        <w:t xml:space="preserve"/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说明：本文档用于项目前期风险告知与责任划分，需甲方在签约前确认。清单不构成法律意见，重大事项建议由甲方法务或外部律师出具意见。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一、核心风险清单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526"/>
        <w:gridCol w:w="600"/>
        <w:gridCol w:w="700"/>
        <w:gridCol w:w="1700"/>
      </w:tblGrid>
      <w:tr>
        <w:trPr>
          <w:tblHeader/>
        </w:trP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风险点</w:t>
            </w:r>
          </w:p>
        </w:tc>
        <w:tc>
          <w:tcPr>
            <w:tcW w:type="dxa" w:w="35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说明 / 依据</w:t>
            </w:r>
          </w:p>
        </w:tc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等级</w:t>
            </w:r>
          </w:p>
        </w:tc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责任方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处理建议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互联网诊疗资质</w:t>
            </w:r>
          </w:p>
        </w:tc>
        <w:tc>
          <w:tcPr>
            <w:tcW w:type="dxa" w:w="35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若被认定为开展线上诊疗（诊断、开方），须依托实体医疗机构并取得互联网医院资质（《互联网诊疗监管细则（试行）》）</w:t>
            </w:r>
          </w:p>
        </w:tc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产品定位为医生间转诊协作工具；如需问诊/开方另行办理资质并单独报价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小程序类目资质</w:t>
            </w:r>
          </w:p>
        </w:tc>
        <w:tc>
          <w:tcPr>
            <w:tcW w:type="dxa" w:w="35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微信医疗类目需《医疗机构执业许可证》等主体资质</w:t>
            </w:r>
          </w:p>
        </w:tc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甲方提供真实有效材料；因资质不全导致驳回，延期不由乙方负责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医师资质真实性</w:t>
            </w:r>
          </w:p>
        </w:tc>
        <w:tc>
          <w:tcPr>
            <w:tcW w:type="dxa" w:w="35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执业证、职称存在造假可能</w:t>
            </w:r>
          </w:p>
        </w:tc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乙方提供上传与留痕；审核责任主体为甲方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患者敏感个人信息</w:t>
            </w:r>
          </w:p>
        </w:tc>
        <w:tc>
          <w:tcPr>
            <w:tcW w:type="dxa" w:w="35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影像、病历属敏感个人信息（《个人信息保护法》《数据安全法》）</w:t>
            </w:r>
          </w:p>
        </w:tc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共担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已实现最小必要、加密存储、访问控制、留痕；授权与隐私政策由甲方落地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等保测评</w:t>
            </w:r>
          </w:p>
        </w:tc>
        <w:tc>
          <w:tcPr>
            <w:tcW w:type="dxa" w:w="35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诊疗数据系统通常需等保二级（含整改约 3–8 万），三级更高，每年复测</w:t>
            </w:r>
          </w:p>
        </w:tc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中高</w:t>
            </w:r>
          </w:p>
        </w:tc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本报价不含，可协助对接测评机构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数据本地化</w:t>
            </w:r>
          </w:p>
        </w:tc>
        <w:tc>
          <w:tcPr>
            <w:tcW w:type="dxa" w:w="35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患者数据须境内存储，禁止出境</w:t>
            </w:r>
          </w:p>
        </w:tc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共担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使用境内云开发环境，不接入境外服务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医疗广告合规</w:t>
            </w:r>
          </w:p>
        </w:tc>
        <w:tc>
          <w:tcPr>
            <w:tcW w:type="dxa" w:w="35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禁止疗效承诺、治愈率保证、患者代言（《广告法》《医疗广告管理办法》）</w:t>
            </w:r>
          </w:p>
        </w:tc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文案由甲方提供并对其合法性负责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7a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项目价格展示</w:t>
            </w:r>
          </w:p>
        </w:tc>
        <w:tc>
          <w:tcPr>
            <w:tcW w:type="dxa" w:w="35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价格信息仅医生端可见，患者端隐藏</w:t>
            </w:r>
          </w:p>
        </w:tc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乙方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已实现，上线前复核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电子病历规范</w:t>
            </w:r>
          </w:p>
        </w:tc>
        <w:tc>
          <w:tcPr>
            <w:tcW w:type="dxa" w:w="35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病历需锁定留痕可追溯，门诊病历保存不少于 15 年</w:t>
            </w:r>
          </w:p>
        </w:tc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共担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已实现锁定与留痕；归档与备份由甲方制定制度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短信内容合规</w:t>
            </w:r>
          </w:p>
        </w:tc>
        <w:tc>
          <w:tcPr>
            <w:tcW w:type="dxa" w:w="35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含医疗字样的签名与模板需额外资质审核</w:t>
            </w:r>
          </w:p>
        </w:tc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由甲方完成报备并配置环境变量</w:t>
            </w:r>
          </w:p>
        </w:tc>
      </w:tr>
      <w:tr>
        <w:tc>
          <w:tcPr>
            <w:tcW w:type="dxa" w:w="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知识产权</w:t>
            </w:r>
          </w:p>
        </w:tc>
        <w:tc>
          <w:tcPr>
            <w:tcW w:type="dxa" w:w="35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源码著作权、二次开发权、可否转售</w:t>
            </w:r>
          </w:p>
        </w:tc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约定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建议著作权归乙方、甲方永久使用权；买断另议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二、合规落地检查表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2426"/>
        <w:gridCol w:w="2300"/>
      </w:tblGrid>
      <w:tr>
        <w:trPr>
          <w:tblHeader/>
        </w:trP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事项</w:t>
            </w:r>
          </w:p>
        </w:tc>
        <w:tc>
          <w:tcPr>
            <w:tcW w:type="dxa" w:w="2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责任方</w:t>
            </w:r>
          </w:p>
        </w:tc>
        <w:tc>
          <w:tcPr>
            <w:tcW w:type="dxa" w:w="2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小程序内配置并公示《隐私政策》</w:t>
            </w:r>
          </w:p>
        </w:tc>
        <w:tc>
          <w:tcPr>
            <w:tcW w:type="dxa" w:w="2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</w:t>
            </w:r>
          </w:p>
        </w:tc>
        <w:tc>
          <w:tcPr>
            <w:tcW w:type="dxa" w:w="2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□完成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患者建档时取得《个人信息处理知情同意》</w:t>
            </w:r>
          </w:p>
        </w:tc>
        <w:tc>
          <w:tcPr>
            <w:tcW w:type="dxa" w:w="2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</w:t>
            </w:r>
          </w:p>
        </w:tc>
        <w:tc>
          <w:tcPr>
            <w:tcW w:type="dxa" w:w="2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□完成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建立患者查阅 / 更正 / 删除 / 导出受理机制</w:t>
            </w:r>
          </w:p>
        </w:tc>
        <w:tc>
          <w:tcPr>
            <w:tcW w:type="dxa" w:w="2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</w:t>
            </w:r>
          </w:p>
        </w:tc>
        <w:tc>
          <w:tcPr>
            <w:tcW w:type="dxa" w:w="2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□完成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明确数据留存期限与到期处置流程</w:t>
            </w:r>
          </w:p>
        </w:tc>
        <w:tc>
          <w:tcPr>
            <w:tcW w:type="dxa" w:w="2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</w:t>
            </w:r>
          </w:p>
        </w:tc>
        <w:tc>
          <w:tcPr>
            <w:tcW w:type="dxa" w:w="2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□完成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签署《保密协议》与《个人信息处理协议》</w:t>
            </w:r>
          </w:p>
        </w:tc>
        <w:tc>
          <w:tcPr>
            <w:tcW w:type="dxa" w:w="2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双方</w:t>
            </w:r>
          </w:p>
        </w:tc>
        <w:tc>
          <w:tcPr>
            <w:tcW w:type="dxa" w:w="2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□完成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定期备份与恢复演练</w:t>
            </w:r>
          </w:p>
        </w:tc>
        <w:tc>
          <w:tcPr>
            <w:tcW w:type="dxa" w:w="2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乙方</w:t>
            </w:r>
          </w:p>
        </w:tc>
        <w:tc>
          <w:tcPr>
            <w:tcW w:type="dxa" w:w="2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□完成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数据安全事件应急预案与联系人</w:t>
            </w:r>
          </w:p>
        </w:tc>
        <w:tc>
          <w:tcPr>
            <w:tcW w:type="dxa" w:w="2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双方</w:t>
            </w:r>
          </w:p>
        </w:tc>
        <w:tc>
          <w:tcPr>
            <w:tcW w:type="dxa" w:w="2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□完成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三、责任边界建议表述（写入合同）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甲方作为医疗机构及个人信息处理者，对其提供的资质、诊疗内容、患者数据来源合法性以及诊疗行为合规性承担全部责任；乙方作为技术服务提供方，仅就系统功能实现、数据安全加固与运维保障承担责任。因甲方指令、内容或资质问题导致的行政处罚、纠纷或损失，由甲方承担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eastAsia="微软雅黑" w:hAnsi="微软雅黑"/>
        <w:color w:val="999999"/>
        <w:sz w:val="16"/>
        <w:szCs w:val="16"/>
      </w:rPr>
      <w:t xml:space="preserve">第 </w:t>
    </w:r>
    <w:r>
      <w:rPr>
        <w:rFonts w:ascii="微软雅黑" w:eastAsia="微软雅黑" w:hAnsi="微软雅黑"/>
        <w:color w:val="999999"/>
        <w:sz w:val="16"/>
        <w:szCs w:val="16"/>
      </w:rPr>
      <w:fldChar w:fldCharType="begin"/>
    </w:r>
    <w:r>
      <w:rPr>
        <w:rFonts w:ascii="微软雅黑" w:eastAsia="微软雅黑" w:hAnsi="微软雅黑"/>
        <w:color w:val="999999"/>
        <w:sz w:val="16"/>
        <w:szCs w:val="16"/>
      </w:rPr>
      <w:instrText xml:space="preserve">PAGE</w:instrText>
    </w:r>
    <w:r>
      <w:rPr>
        <w:rFonts w:ascii="微软雅黑" w:eastAsia="微软雅黑" w:hAnsi="微软雅黑"/>
        <w:color w:val="999999"/>
        <w:sz w:val="16"/>
        <w:szCs w:val="16"/>
      </w:rPr>
      <w:fldChar w:fldCharType="separate"/>
    </w:r>
    <w:r>
      <w:rPr>
        <w:rFonts w:ascii="微软雅黑" w:eastAsia="微软雅黑" w:hAnsi="微软雅黑"/>
        <w:color w:val="999999"/>
        <w:sz w:val="16"/>
        <w:szCs w:val="16"/>
      </w:rPr>
      <w:fldChar w:fldCharType="end"/>
    </w:r>
    <w:r>
      <w:rPr>
        <w:rFonts w:ascii="微软雅黑" w:eastAsia="微软雅黑" w:hAnsi="微软雅黑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eastAsia="微软雅黑" w:hAnsi="微软雅黑"/>
        <w:color w:val="999999"/>
        <w:sz w:val="16"/>
        <w:szCs w:val="16"/>
      </w:rPr>
      <w:t xml:space="preserve">毛发专病医联体全国转诊小程序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eastAsia="微软雅黑" w:hAnsi="微软雅黑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微软雅黑" w:eastAsia="微软雅黑" w:hAnsi="微软雅黑"/>
      <w:b/>
      <w:bCs/>
      <w:color w:val="2E75B6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微软雅黑" w:eastAsia="微软雅黑" w:hAnsi="微软雅黑"/>
      <w:b/>
      <w:bCs/>
      <w:color w:val="1F4E79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2026-10-21T17:39:01.202Z</dcterms:created>
  <dcterms:modified xsi:type="dcterms:W3CDTF">2026-10-21T17:39:01.202Z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