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目标函数：</w:t>
      </w:r>
    </w:p>
    <w:p>
      <w:pPr>
        <w:widowControl w:val="0"/>
        <w:adjustRightInd w:val="0"/>
        <w:snapToGrid w:val="0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kern w:val="2"/>
          <w:sz w:val="21"/>
          <w:szCs w:val="22"/>
          <w:lang w:val="en-US" w:eastAsia="zh-CN"/>
        </w:rPr>
        <w:t>目标函数主要考虑了投资成本和运行成本两部分，其中，投资成本主要为储能的等年值投资成本，运行成本则包括配电网交互成本（购售电成本）、各单元运维成本以及微型燃气轮机的燃料成本。</w:t>
      </w:r>
    </w:p>
    <w:p>
      <w:pPr>
        <w:widowControl w:val="0"/>
        <w:wordWrap w:val="0"/>
        <w:jc w:val="right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kern w:val="2"/>
          <w:position w:val="-14"/>
        </w:rPr>
        <w:object>
          <v:shape id="_x0000_i1025" o:spt="75" type="#_x0000_t75" style="height:19.15pt;width:12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14"/>
        </w:rPr>
        <w:t xml:space="preserve">    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wordWrap w:val="0"/>
        <w:jc w:val="right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kern w:val="2"/>
          <w:position w:val="-104"/>
          <w:sz w:val="21"/>
          <w:szCs w:val="22"/>
        </w:rPr>
        <w:object>
          <v:shape id="_x0000_i1026" o:spt="75" alt="" type="#_x0000_t75" style="height:111.6pt;width:293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</w:p>
    <w:p>
      <w:pPr>
        <w:widowControl w:val="0"/>
        <w:wordWrap w:val="0"/>
        <w:jc w:val="right"/>
        <w:rPr>
          <w:rFonts w:hint="eastAsia" w:ascii="Times New Roman" w:hAnsi="Times New Roman" w:cs="Times New Roman"/>
          <w:kern w:val="2"/>
          <w:position w:val="-102"/>
          <w:sz w:val="21"/>
          <w:szCs w:val="22"/>
        </w:rPr>
      </w:pPr>
      <w:r>
        <w:rPr>
          <w:rFonts w:ascii="Calibri" w:hAnsi="Calibri" w:cs="Times New Roman"/>
          <w:position w:val="-122"/>
        </w:rPr>
        <w:object>
          <v:shape id="_x0000_i1027" o:spt="75" alt="" type="#_x0000_t75" style="height:128pt;width:15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position w:val="-122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adjustRightInd w:val="0"/>
        <w:snapToGrid w:val="0"/>
        <w:jc w:val="both"/>
        <w:textAlignment w:val="center"/>
        <w:rPr>
          <w:rFonts w:ascii="Times New Roman" w:hAnsi="Times New Roman" w:cs="Times New Roman"/>
          <w:bCs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28" o:spt="75" type="#_x0000_t75" style="height:13.9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为综合成本，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29" o:spt="75" type="#_x0000_t75" style="height:18pt;width:19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为储能等年值投资成本，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0" o:spt="75" type="#_x0000_t75" style="height:19.15pt;width:22.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为微网年运行成本；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1" o:spt="75" type="#_x0000_t75" style="height:13.15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为折现率，r为折现年数，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2" o:spt="75" type="#_x0000_t75" style="height:18pt;width:28.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为储能单位容量投资成本，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3" o:spt="75" type="#_x0000_t75" style="height:18pt;width:34.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为储能配置容量；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4" o:spt="75" type="#_x0000_t75" style="height:18pt;width:25.1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5" o:spt="75" type="#_x0000_t75" style="height:19.15pt;width:28.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6" o:spt="75" type="#_x0000_t75" style="height:18pt;width:2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7" o:spt="75" type="#_x0000_t75" style="height:18pt;width:26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分别为第i个典日对应的的储能寿命日损耗成本，购售电成本，各单元运维成本，燃料成本，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8" o:spt="75" type="#_x0000_t75" style="height:19pt;width:2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为电网电价，</w: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object>
          <v:shape id="_x0000_i1039" o:spt="75" type="#_x0000_t75" style="height:18pt;width:2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为第W种单元的运维成本系数。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黑体" w:hAnsi="Arial" w:eastAsia="黑体" w:cs="Times New Roman"/>
          <w:b w:val="0"/>
          <w:bCs w:val="0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Arial" w:eastAsia="黑体" w:cs="Times New Roman"/>
          <w:b w:val="0"/>
          <w:bCs w:val="0"/>
          <w:color w:val="000000"/>
          <w:kern w:val="2"/>
          <w:sz w:val="21"/>
          <w:szCs w:val="24"/>
          <w:lang w:val="en-US" w:eastAsia="zh-CN" w:bidi="ar-SA"/>
        </w:rPr>
        <w:t>2.2 各单元约束条件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  <w:t>2.2.1微型燃气轮机</w:t>
      </w:r>
    </w:p>
    <w:p>
      <w:pPr>
        <w:widowControl w:val="0"/>
        <w:wordWrap w:val="0"/>
        <w:adjustRightInd w:val="0"/>
        <w:snapToGrid w:val="0"/>
        <w:jc w:val="right"/>
        <w:rPr>
          <w:rFonts w:hint="eastAsia" w:ascii="Times New Roman" w:hAnsi="Times New Roman" w:cs="Times New Roman"/>
          <w:kern w:val="2"/>
          <w:sz w:val="21"/>
        </w:rPr>
      </w:pPr>
      <w:r>
        <w:rPr>
          <w:rFonts w:hint="eastAsia" w:ascii="Times New Roman" w:hAnsi="Times New Roman" w:cs="Times New Roman"/>
          <w:kern w:val="2"/>
          <w:position w:val="-12"/>
          <w:sz w:val="21"/>
        </w:rPr>
        <w:object>
          <v:shape id="_x0000_i1040" o:spt="75" type="#_x0000_t75" style="height:18pt;width:103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12"/>
          <w:sz w:val="21"/>
        </w:rPr>
        <w:t xml:space="preserve">     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adjustRightInd w:val="0"/>
        <w:snapToGrid w:val="0"/>
        <w:jc w:val="both"/>
        <w:textAlignment w:val="center"/>
        <w:rPr>
          <w:rFonts w:ascii="Times New Roman" w:hAnsi="Times New Roman" w:cs="Times New Roman"/>
          <w:kern w:val="2"/>
          <w:sz w:val="21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41" o:spt="75" type="#_x0000_t75" style="height:18pt;width:28.1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、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42" o:spt="75" type="#_x0000_t75" style="height:18pt;width:3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分别为微型燃气轮机出力的上下限，</w:t>
      </w:r>
      <w:r>
        <w:rPr>
          <w:rFonts w:ascii="Times New Roman" w:hAnsi="Times New Roman" w:cs="Times New Roman"/>
          <w:kern w:val="2"/>
          <w:sz w:val="21"/>
        </w:rPr>
        <w:t>分别受其最小负载率和额定功率的限制</w:t>
      </w:r>
      <w:r>
        <w:rPr>
          <w:rFonts w:hint="eastAsia" w:ascii="Times New Roman" w:hAnsi="Times New Roman" w:cs="Times New Roman"/>
          <w:kern w:val="2"/>
          <w:sz w:val="21"/>
        </w:rPr>
        <w:t>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  <w:t>2.2.2配电网交互</w:t>
      </w:r>
    </w:p>
    <w:p>
      <w:pPr>
        <w:widowControl w:val="0"/>
        <w:snapToGrid w:val="0"/>
        <w:jc w:val="right"/>
        <w:rPr>
          <w:rFonts w:hint="eastAsia" w:ascii="Times New Roman" w:hAnsi="Times New Roman" w:cs="Times New Roman"/>
          <w:sz w:val="21"/>
          <w:szCs w:val="21"/>
        </w:rPr>
      </w:pPr>
      <w:r>
        <w:rPr>
          <w:rFonts w:cs="Times New Roman"/>
          <w:kern w:val="2"/>
          <w:position w:val="-34"/>
        </w:rPr>
        <w:object>
          <v:shape id="_x0000_i1043" o:spt="75" type="#_x0000_t75" style="height:36.15pt;width:166.5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 w:cs="Times New Roman"/>
          <w:kern w:val="2"/>
          <w:position w:val="-34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snapToGrid w:val="0"/>
        <w:jc w:val="both"/>
        <w:textAlignment w:val="center"/>
        <w:rPr>
          <w:rFonts w:cs="Times New Roman"/>
          <w:kern w:val="2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44" o:spt="75" type="#_x0000_t75" style="height:19.15pt;width:34.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、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45" o:spt="75" type="#_x0000_t75" style="height:18pt;width:34.1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分别为第t个时段微电网的购、售电功率，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46" o:spt="75" type="#_x0000_t75" style="height:19.15pt;width:3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为微电网与配电网之间的联络线的交互功率上限。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47" o:spt="75" type="#_x0000_t75" style="height:19.15pt;width:3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为t时段微电网购售电状态变量，1代表购电，0代表售电。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  <w:t>2.2.3储能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center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（1）储能充放电功率约束</w:t>
      </w:r>
    </w:p>
    <w:p>
      <w:pPr>
        <w:widowControl w:val="0"/>
        <w:wordWrap w:val="0"/>
        <w:snapToGrid w:val="0"/>
        <w:jc w:val="right"/>
        <w:rPr>
          <w:rFonts w:hint="eastAsia" w:ascii="Times New Roman" w:hAnsi="Times New Roman" w:cs="Times New Roman"/>
          <w:kern w:val="2"/>
          <w:sz w:val="21"/>
          <w:szCs w:val="22"/>
        </w:rPr>
      </w:pPr>
      <w:r>
        <w:rPr>
          <w:rFonts w:cs="Times New Roman"/>
          <w:kern w:val="2"/>
          <w:position w:val="-32"/>
        </w:rPr>
        <w:object>
          <v:shape id="_x0000_i1048" o:spt="75" type="#_x0000_t75" style="height:34.45pt;width:165.8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wordWrap w:val="0"/>
        <w:snapToGrid w:val="0"/>
        <w:jc w:val="right"/>
        <w:rPr>
          <w:rFonts w:hint="eastAsia" w:ascii="Times New Roman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  <w:kern w:val="2"/>
          <w:position w:val="-12"/>
          <w:sz w:val="21"/>
          <w:szCs w:val="22"/>
        </w:rPr>
        <w:object>
          <v:shape id="_x0000_i1049" o:spt="75" type="#_x0000_t75" style="height:18pt;width:8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12"/>
          <w:sz w:val="21"/>
          <w:szCs w:val="22"/>
        </w:rPr>
        <w:t xml:space="preserve">        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7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autoSpaceDE w:val="0"/>
        <w:autoSpaceDN w:val="0"/>
        <w:adjustRightInd w:val="0"/>
        <w:snapToGrid w:val="0"/>
        <w:jc w:val="both"/>
        <w:textAlignment w:val="center"/>
        <w:rPr>
          <w:rFonts w:cs="Times New Roman"/>
          <w:kern w:val="2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0" o:spt="75" type="#_x0000_t75" style="height:18pt;width:31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，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1" o:spt="75" type="#_x0000_t75" style="height:18pt;width:30.1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分别为t时刻储能系统放电和充电功率。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2" o:spt="75" type="#_x0000_t75" style="height:18pt;width:34.1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为储能充放电功率上限，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3" o:spt="75" type="#_x0000_t75" style="height:13.15pt;width:1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为储能功率上限和容量的固定比例系数。</w:t>
      </w:r>
    </w:p>
    <w:p>
      <w:pPr>
        <w:widowControl w:val="0"/>
        <w:numPr>
          <w:ilvl w:val="0"/>
          <w:numId w:val="1"/>
        </w:numPr>
        <w:adjustRightInd w:val="0"/>
        <w:snapToGrid w:val="0"/>
        <w:spacing w:before="156" w:beforeLines="50"/>
        <w:jc w:val="both"/>
        <w:textAlignment w:val="center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储能荷电状态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（State of Charge，SOC）</w:t>
      </w:r>
      <w:r>
        <w:rPr>
          <w:rFonts w:hint="eastAsia" w:cs="Times New Roman"/>
          <w:kern w:val="2"/>
          <w:sz w:val="21"/>
          <w:szCs w:val="21"/>
        </w:rPr>
        <w:t>约束</w:t>
      </w:r>
    </w:p>
    <w:p>
      <w:pPr>
        <w:widowControl w:val="0"/>
        <w:wordWrap w:val="0"/>
        <w:adjustRightInd w:val="0"/>
        <w:snapToGrid w:val="0"/>
        <w:spacing w:before="156" w:beforeLines="50"/>
        <w:jc w:val="right"/>
        <w:rPr>
          <w:rFonts w:hint="eastAsia" w:cs="Times New Roman"/>
          <w:kern w:val="2"/>
        </w:rPr>
      </w:pPr>
      <w:r>
        <w:rPr>
          <w:rFonts w:cs="Times New Roman"/>
          <w:kern w:val="2"/>
          <w:position w:val="-100"/>
        </w:rPr>
        <w:object>
          <v:shape id="_x0000_i1054" o:spt="75" type="#_x0000_t75" style="height:106.15pt;width:17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8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autoSpaceDE w:val="0"/>
        <w:autoSpaceDN w:val="0"/>
        <w:adjustRightInd w:val="0"/>
        <w:snapToGrid w:val="0"/>
        <w:jc w:val="both"/>
        <w:textAlignment w:val="center"/>
        <w:rPr>
          <w:rFonts w:ascii="Times New Roman" w:hAnsi="Times New Roman" w:cs="Times New Roman"/>
          <w:kern w:val="2"/>
          <w:sz w:val="18"/>
          <w:szCs w:val="18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5" o:spt="75" type="#_x0000_t75" style="height:13.9pt;width:1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为时间步长，文中中取1h，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6" o:spt="75" type="#_x0000_t75" style="height:16.15pt;width:25.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为储能初始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/>
        </w:rPr>
        <w:t>电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t>量，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7" o:spt="75" type="#_x0000_t75" style="height:18pt;width:39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、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8" o:spt="75" type="#_x0000_t75" style="height:16.9pt;width:37.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分别为储能的荷电状态上下限，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object>
          <v:shape id="_x0000_i1059" o:spt="75" type="#_x0000_t75" style="height:13.15pt;width:10.1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为储能充放电效率。</w:t>
      </w:r>
    </w:p>
    <w:p>
      <w:pPr>
        <w:widowControl w:val="0"/>
        <w:adjustRightInd w:val="0"/>
        <w:snapToGrid w:val="0"/>
        <w:spacing w:before="156" w:beforeLines="50"/>
        <w:jc w:val="both"/>
        <w:textAlignment w:val="center"/>
        <w:rPr>
          <w:rFonts w:cs="Times New Roman"/>
          <w:kern w:val="2"/>
          <w:sz w:val="21"/>
          <w:szCs w:val="21"/>
        </w:rPr>
      </w:pPr>
      <w:r>
        <w:rPr>
          <w:rFonts w:hint="eastAsia" w:cs="Times New Roman"/>
          <w:kern w:val="2"/>
          <w:sz w:val="21"/>
          <w:szCs w:val="21"/>
        </w:rPr>
        <w:t>（3）充放电量平衡约束</w:t>
      </w:r>
    </w:p>
    <w:p>
      <w:pPr>
        <w:widowControl w:val="0"/>
        <w:wordWrap w:val="0"/>
        <w:autoSpaceDE w:val="0"/>
        <w:autoSpaceDN w:val="0"/>
        <w:adjustRightInd w:val="0"/>
        <w:snapToGrid w:val="0"/>
        <w:jc w:val="right"/>
        <w:rPr>
          <w:rFonts w:hint="eastAsia" w:ascii="Times New Roman" w:hAnsi="Times New Roman" w:cs="Times New Roman"/>
          <w:kern w:val="2"/>
          <w:position w:val="-28"/>
          <w:sz w:val="21"/>
          <w:szCs w:val="22"/>
        </w:rPr>
      </w:pPr>
      <w:r>
        <w:rPr>
          <w:rFonts w:hint="eastAsia" w:ascii="Times New Roman" w:hAnsi="Times New Roman" w:cs="Times New Roman"/>
          <w:kern w:val="2"/>
          <w:position w:val="-28"/>
          <w:sz w:val="21"/>
          <w:szCs w:val="22"/>
        </w:rPr>
        <w:object>
          <v:shape id="_x0000_i1060" o:spt="75" type="#_x0000_t75" style="height:34.15pt;width:154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28"/>
          <w:sz w:val="21"/>
          <w:szCs w:val="22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楷体_GB2312" w:cs="Times New Roman"/>
          <w:b w:val="0"/>
          <w:color w:val="000000"/>
          <w:kern w:val="2"/>
          <w:sz w:val="21"/>
          <w:szCs w:val="21"/>
          <w:lang w:val="en-US" w:eastAsia="zh-CN" w:bidi="ar-SA"/>
        </w:rPr>
        <w:t>2.2.4功率平衡约束</w:t>
      </w:r>
    </w:p>
    <w:p>
      <w:pPr>
        <w:widowControl w:val="0"/>
        <w:wordWrap w:val="0"/>
        <w:adjustRightInd w:val="0"/>
        <w:snapToGrid w:val="0"/>
        <w:jc w:val="right"/>
        <w:rPr>
          <w:rFonts w:hint="eastAsia" w:cs="Times New Roman"/>
          <w:kern w:val="2"/>
        </w:rPr>
      </w:pPr>
      <w:r>
        <w:rPr>
          <w:rFonts w:cs="Times New Roman"/>
          <w:kern w:val="2"/>
          <w:position w:val="-30"/>
        </w:rPr>
        <w:object>
          <v:shape id="_x0000_i1063" o:spt="75" type="#_x0000_t75" style="height:36pt;width:15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1" r:id="rId76">
            <o:LockedField>false</o:LockedField>
          </o:OLEObject>
        </w:object>
      </w:r>
      <w:r>
        <w:rPr>
          <w:rFonts w:hint="eastAsia" w:cs="Times New Roman"/>
          <w:kern w:val="2"/>
          <w:position w:val="-30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rPr>
          <w:rFonts w:hint="eastAsia" w:ascii="Times New Roman" w:hAnsi="Times New Roman" w:cs="Times New Roman"/>
          <w:kern w:val="2"/>
          <w:sz w:val="21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64" o:spt="75" type="#_x0000_t75" style="height:18pt;width:33.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4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、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65" o:spt="75" type="#_x0000_t75" style="height:18pt;width:3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、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66" o:spt="75" type="#_x0000_t75" style="height:17pt;width:2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6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分别为为第t个时段的光伏、风机出力和负荷功率</w:t>
      </w:r>
      <w:r>
        <w:rPr>
          <w:rFonts w:hint="eastAsia" w:ascii="Times New Roman" w:hAnsi="Times New Roman" w:cs="Times New Roman"/>
          <w:kern w:val="2"/>
          <w:sz w:val="21"/>
          <w:lang w:val="en-US" w:eastAsia="zh-CN"/>
        </w:rPr>
        <w:t>的不确定变量</w:t>
      </w:r>
      <w:r>
        <w:rPr>
          <w:rFonts w:hint="eastAsia" w:ascii="Times New Roman" w:hAnsi="Times New Roman" w:cs="Times New Roman"/>
          <w:kern w:val="2"/>
          <w:sz w:val="21"/>
        </w:rPr>
        <w:t>。</w:t>
      </w:r>
    </w:p>
    <w:p>
      <w:pPr>
        <w:rPr>
          <w:rFonts w:hint="eastAsia" w:ascii="Times New Roman" w:hAnsi="Times New Roman" w:cs="Times New Roman"/>
          <w:kern w:val="2"/>
          <w:sz w:val="21"/>
        </w:rPr>
      </w:pPr>
    </w:p>
    <w:p>
      <w:pPr>
        <w:widowControl w:val="0"/>
        <w:adjustRightInd w:val="0"/>
        <w:snapToGrid w:val="0"/>
        <w:ind w:firstLine="420" w:firstLineChars="200"/>
        <w:jc w:val="both"/>
        <w:textAlignment w:val="center"/>
        <w:rPr>
          <w:rFonts w:hint="eastAsia" w:hAnsi="NimbusRomNo9L-Regu"/>
          <w:color w:val="auto"/>
          <w:sz w:val="21"/>
          <w:szCs w:val="21"/>
          <w:lang w:val="en-US" w:eastAsia="zh-CN"/>
        </w:rPr>
      </w:pPr>
    </w:p>
    <w:p>
      <w:pPr>
        <w:widowControl w:val="0"/>
        <w:adjustRightInd w:val="0"/>
        <w:snapToGrid w:val="0"/>
        <w:jc w:val="both"/>
        <w:textAlignment w:val="center"/>
        <w:rPr>
          <w:rFonts w:hAnsi="NimbusRomNo9L-Regu"/>
          <w:b/>
          <w:bCs/>
          <w:sz w:val="21"/>
          <w:szCs w:val="21"/>
        </w:rPr>
      </w:pPr>
      <w:r>
        <w:rPr>
          <w:rFonts w:hint="eastAsia" w:hAnsi="NimbusRomNo9L-Regu"/>
          <w:b/>
          <w:bCs/>
          <w:color w:val="auto"/>
          <w:sz w:val="21"/>
          <w:szCs w:val="21"/>
          <w:lang w:val="en-US" w:eastAsia="zh-CN"/>
        </w:rPr>
        <w:t>储能寿命损耗线性化约束</w:t>
      </w:r>
      <w:r>
        <w:rPr>
          <w:rFonts w:hint="eastAsia" w:hAnsi="NimbusRomNo9L-Regu"/>
          <w:b/>
          <w:bCs/>
          <w:color w:val="auto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jc w:val="both"/>
        <w:textAlignment w:val="center"/>
        <w:rPr>
          <w:rFonts w:hint="eastAsia" w:ascii="Times New Roman" w:hAnsi="Times New Roman" w:cs="Times New Roman"/>
          <w:kern w:val="2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/>
        </w:rPr>
        <w:t>对储能寿命损耗成本</w: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/>
        </w:rPr>
        <w:object>
          <v:shape id="_x0000_i1067" o:spt="75" type="#_x0000_t75" style="height:18pt;width:21.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67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  <w:lang w:val="en-US" w:eastAsia="zh-CN"/>
        </w:rPr>
        <w:t>线性化：</w:t>
      </w:r>
    </w:p>
    <w:p>
      <w:pPr>
        <w:widowControl w:val="0"/>
        <w:wordWrap w:val="0"/>
        <w:snapToGrid w:val="0"/>
        <w:jc w:val="righ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kern w:val="2"/>
          <w:position w:val="-28"/>
          <w:sz w:val="21"/>
          <w:szCs w:val="22"/>
        </w:rPr>
        <w:object>
          <v:shape id="_x0000_i1068" o:spt="75" type="#_x0000_t75" style="height:29.25pt;width:157.0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8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46"/>
          <w:sz w:val="21"/>
          <w:szCs w:val="22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11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 w:val="0"/>
        <w:autoSpaceDN w:val="0"/>
        <w:bidi w:val="0"/>
        <w:adjustRightInd w:val="0"/>
        <w:snapToGrid w:val="0"/>
        <w:jc w:val="both"/>
        <w:textAlignment w:val="center"/>
        <w:rPr>
          <w:rFonts w:hint="eastAsia" w:ascii="Times New Roman" w:hAnsi="Times New Roman" w:cs="Times New Roman"/>
          <w:kern w:val="2"/>
          <w:sz w:val="21"/>
          <w:szCs w:val="22"/>
          <w:lang w:eastAsia="zh-CN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sz w:val="21"/>
          <w:szCs w:val="22"/>
        </w:rPr>
        <w:t>M表示一个极大的数</w:t>
      </w:r>
      <w:r>
        <w:rPr>
          <w:rFonts w:hint="eastAsia" w:ascii="Times New Roman" w:hAnsi="Times New Roman" w:cs="Times New Roman"/>
          <w:kern w:val="2"/>
          <w:sz w:val="21"/>
          <w:szCs w:val="2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bidi w:val="0"/>
        <w:snapToGrid w:val="0"/>
        <w:ind w:firstLine="420" w:firstLineChars="200"/>
        <w:jc w:val="both"/>
        <w:rPr>
          <w:rFonts w:hint="eastAsia" w:ascii="Times New Roman" w:hAnsi="Times New Roman" w:cs="Times New Roman"/>
          <w:kern w:val="2"/>
          <w:sz w:val="21"/>
          <w:szCs w:val="22"/>
        </w:rPr>
      </w:pPr>
      <w:r>
        <w:rPr>
          <w:rFonts w:hint="eastAsia" w:ascii="Times New Roman" w:hAnsi="Times New Roman" w:cs="Times New Roman"/>
          <w:kern w:val="2"/>
          <w:sz w:val="21"/>
          <w:szCs w:val="22"/>
        </w:rPr>
        <w:t>对循环计数变量对</w:t>
      </w:r>
      <w:r>
        <w:rPr>
          <w:rFonts w:hint="eastAsia" w:ascii="Times New Roman" w:hAnsi="Times New Roman" w:cs="Times New Roman"/>
          <w:kern w:val="2"/>
          <w:position w:val="-12"/>
          <w:sz w:val="21"/>
          <w:szCs w:val="22"/>
        </w:rPr>
        <w:object>
          <v:shape id="_x0000_i1069" o:spt="75" type="#_x0000_t75" style="height:18pt;width:33.1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9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szCs w:val="22"/>
        </w:rPr>
        <w:t>线性化：</w:t>
      </w:r>
    </w:p>
    <w:p>
      <w:pPr>
        <w:widowControl w:val="0"/>
        <w:wordWrap w:val="0"/>
        <w:jc w:val="right"/>
        <w:rPr>
          <w:rFonts w:hint="eastAsia" w:ascii="Times New Roman" w:cs="Times New Roman"/>
          <w:sz w:val="21"/>
          <w:szCs w:val="21"/>
        </w:rPr>
      </w:pPr>
      <w:r>
        <w:rPr>
          <w:rFonts w:ascii="Times New Roman" w:hAnsi="Times New Roman" w:cs="Times New Roman"/>
          <w:kern w:val="2"/>
          <w:position w:val="-32"/>
          <w:sz w:val="21"/>
          <w:szCs w:val="22"/>
        </w:rPr>
        <w:object>
          <v:shape id="_x0000_i1070" o:spt="75" type="#_x0000_t75" style="height:37.9pt;width:15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70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12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widowControl w:val="0"/>
        <w:adjustRightInd w:val="0"/>
        <w:snapToGrid w:val="0"/>
        <w:jc w:val="both"/>
        <w:textAlignment w:val="center"/>
        <w:rPr>
          <w:rFonts w:hint="eastAsia" w:ascii="Times New Roman" w:hAnsi="Times New Roman" w:cs="Times New Roman"/>
          <w:bCs/>
          <w:kern w:val="2"/>
          <w:sz w:val="21"/>
          <w:szCs w:val="22"/>
        </w:rPr>
      </w:pPr>
    </w:p>
    <w:p>
      <w:pPr>
        <w:widowControl w:val="0"/>
        <w:adjustRightInd w:val="0"/>
        <w:snapToGrid w:val="0"/>
        <w:jc w:val="both"/>
        <w:textAlignment w:val="center"/>
        <w:rPr>
          <w:rFonts w:hint="eastAsia" w:ascii="Times New Roman" w:hAnsi="Times New Roman" w:cs="Times New Roman"/>
          <w:bCs/>
          <w:kern w:val="2"/>
          <w:sz w:val="21"/>
          <w:szCs w:val="22"/>
        </w:rPr>
      </w:pPr>
    </w:p>
    <w:p>
      <w:pPr>
        <w:widowControl w:val="0"/>
        <w:adjustRightInd w:val="0"/>
        <w:snapToGrid w:val="0"/>
        <w:jc w:val="both"/>
        <w:textAlignment w:val="center"/>
        <w:rPr>
          <w:rFonts w:hint="eastAsia" w:ascii="Times New Roman" w:hAnsi="Times New Roman" w:cs="Times New Roman"/>
          <w:bCs/>
          <w:kern w:val="2"/>
          <w:sz w:val="21"/>
          <w:szCs w:val="22"/>
        </w:rPr>
      </w:pPr>
    </w:p>
    <w:p>
      <w:pPr>
        <w:widowControl w:val="0"/>
        <w:adjustRightInd w:val="0"/>
        <w:snapToGrid w:val="0"/>
        <w:ind w:firstLine="425"/>
        <w:jc w:val="both"/>
        <w:textAlignment w:val="center"/>
        <w:rPr>
          <w:rFonts w:hAnsi="NimbusRomNo9L-Regu"/>
          <w:sz w:val="21"/>
          <w:szCs w:val="21"/>
        </w:rPr>
      </w:pPr>
      <w:r>
        <w:rPr>
          <w:rFonts w:hint="eastAsia" w:hAnsi="NimbusRomNo9L-Regu"/>
          <w:sz w:val="21"/>
          <w:szCs w:val="21"/>
        </w:rPr>
        <w:t>放电深度：</w:t>
      </w:r>
    </w:p>
    <w:p>
      <w:pPr>
        <w:widowControl w:val="0"/>
        <w:wordWrap w:val="0"/>
        <w:autoSpaceDE w:val="0"/>
        <w:autoSpaceDN w:val="0"/>
        <w:adjustRightInd w:val="0"/>
        <w:snapToGrid w:val="0"/>
        <w:jc w:val="right"/>
        <w:rPr>
          <w:rFonts w:hint="eastAsia" w:hAnsi="NimbusRomNo9L-Regu"/>
          <w:sz w:val="21"/>
          <w:szCs w:val="21"/>
        </w:rPr>
      </w:pPr>
      <w:r>
        <w:rPr>
          <w:rFonts w:hAnsi="NimbusRomNo9L-Regu"/>
          <w:position w:val="-88"/>
          <w:sz w:val="21"/>
          <w:szCs w:val="21"/>
        </w:rPr>
        <w:object>
          <v:shape id="_x0000_i1071" o:spt="75" type="#_x0000_t75" style="height:80.5pt;width:163.1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3" ShapeID="_x0000_i1071" DrawAspect="Content" ObjectID="_1468075769" r:id="rId92">
            <o:LockedField>false</o:LockedField>
          </o:OLEObject>
        </w:object>
      </w:r>
      <w:r>
        <w:rPr>
          <w:rFonts w:hint="eastAsia" w:hAnsi="NimbusRomNo9L-Regu"/>
          <w:position w:val="-106"/>
          <w:sz w:val="21"/>
          <w:szCs w:val="21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13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rPr>
          <w:rFonts w:hint="eastAsia" w:ascii="Calibri" w:hAnsi="Calibri" w:cs="Times New Roman"/>
          <w:kern w:val="2"/>
          <w:sz w:val="21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Calibri" w:hAnsi="Calibri" w:cs="Times New Roman"/>
          <w:kern w:val="2"/>
          <w:sz w:val="21"/>
        </w:rPr>
        <w:object>
          <v:shape id="_x0000_i1072" o:spt="75" type="#_x0000_t75" style="height:18pt;width:40.2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72" DrawAspect="Content" ObjectID="_1468075770" r:id="rId94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sz w:val="21"/>
        </w:rPr>
        <w:t>表示储能系统第t个时段、第</w:t>
      </w:r>
      <w:r>
        <w:rPr>
          <w:rFonts w:hint="default" w:ascii="Times New Roman" w:hAnsi="Times New Roman" w:cs="Times New Roman"/>
          <w:kern w:val="2"/>
          <w:sz w:val="21"/>
        </w:rPr>
        <w:t>d</w:t>
      </w:r>
      <w:r>
        <w:rPr>
          <w:rFonts w:hint="eastAsia" w:ascii="Calibri" w:hAnsi="Calibri" w:cs="Times New Roman"/>
          <w:kern w:val="2"/>
          <w:sz w:val="21"/>
        </w:rPr>
        <w:t>个分段的放电深度；</w:t>
      </w:r>
      <w:r>
        <w:rPr>
          <w:rFonts w:hint="eastAsia" w:ascii="Calibri" w:hAnsi="Calibri" w:cs="Times New Roman"/>
          <w:kern w:val="2"/>
          <w:sz w:val="21"/>
        </w:rPr>
        <w:object>
          <v:shape id="_x0000_i1073" o:spt="75" type="#_x0000_t75" style="height:19.9pt;width:28.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3" ShapeID="_x0000_i1073" DrawAspect="Content" ObjectID="_1468075771" r:id="rId96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sz w:val="21"/>
        </w:rPr>
        <w:t>、</w:t>
      </w:r>
      <w:r>
        <w:rPr>
          <w:rFonts w:hint="eastAsia" w:ascii="Calibri" w:hAnsi="Calibri" w:cs="Times New Roman"/>
          <w:kern w:val="2"/>
          <w:sz w:val="21"/>
        </w:rPr>
        <w:object>
          <v:shape id="_x0000_i1074" o:spt="75" type="#_x0000_t75" style="height:19.9pt;width:28.1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3" ShapeID="_x0000_i1074" DrawAspect="Content" ObjectID="_1468075772" r:id="rId98">
            <o:LockedField>false</o:LockedField>
          </o:OLEObject>
        </w:object>
      </w:r>
      <w:r>
        <w:rPr>
          <w:rFonts w:hint="eastAsia" w:ascii="Calibri" w:hAnsi="Calibri" w:cs="Times New Roman"/>
          <w:kern w:val="2"/>
          <w:sz w:val="21"/>
        </w:rPr>
        <w:t>分别为第</w:t>
      </w:r>
      <w:r>
        <w:rPr>
          <w:rFonts w:hint="default" w:ascii="Times New Roman" w:hAnsi="Times New Roman" w:cs="Times New Roman"/>
          <w:kern w:val="2"/>
          <w:sz w:val="21"/>
        </w:rPr>
        <w:t>d</w:t>
      </w:r>
      <w:r>
        <w:rPr>
          <w:rFonts w:hint="eastAsia" w:ascii="Calibri" w:hAnsi="Calibri" w:cs="Times New Roman"/>
          <w:kern w:val="2"/>
          <w:sz w:val="21"/>
        </w:rPr>
        <w:t>个分段的放电深度的上、下限。</w:t>
      </w:r>
    </w:p>
    <w:p>
      <w:pPr>
        <w:rPr>
          <w:rFonts w:hint="eastAsia" w:ascii="Calibri" w:hAnsi="Calibri" w:cs="Times New Roman"/>
          <w:b/>
          <w:bCs/>
          <w:kern w:val="2"/>
          <w:position w:val="-102"/>
          <w:sz w:val="21"/>
          <w:lang w:val="en-US" w:eastAsia="zh-CN"/>
        </w:rPr>
      </w:pPr>
      <w:r>
        <w:rPr>
          <w:rFonts w:hint="eastAsia" w:ascii="Calibri" w:hAnsi="Calibri" w:cs="Times New Roman"/>
          <w:b/>
          <w:bCs/>
          <w:kern w:val="2"/>
          <w:position w:val="-102"/>
          <w:sz w:val="21"/>
          <w:lang w:val="en-US" w:eastAsia="zh-CN"/>
        </w:rPr>
        <w:t>两阶段鲁棒模型：</w:t>
      </w:r>
    </w:p>
    <w:p>
      <w:pPr>
        <w:rPr>
          <w:rFonts w:ascii="Calibri" w:hAnsi="Calibri" w:cs="Times New Roman"/>
          <w:kern w:val="2"/>
          <w:position w:val="-102"/>
          <w:sz w:val="21"/>
        </w:rPr>
      </w:pPr>
      <w:r>
        <w:rPr>
          <w:rFonts w:ascii="Calibri" w:hAnsi="Calibri" w:cs="Times New Roman"/>
          <w:kern w:val="2"/>
          <w:position w:val="-36"/>
          <w:sz w:val="21"/>
        </w:rPr>
        <w:object>
          <v:shape id="_x0000_i1090" o:spt="75" alt="" type="#_x0000_t75" style="height:42.25pt;width:139.9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3" ShapeID="_x0000_i1090" DrawAspect="Content" ObjectID="_1468075773" r:id="rId100">
            <o:LockedField>false</o:LockedField>
          </o:OLEObject>
        </w:object>
      </w:r>
    </w:p>
    <w:p>
      <w:pPr>
        <w:widowControl w:val="0"/>
        <w:snapToGrid w:val="0"/>
        <w:jc w:val="both"/>
        <w:textAlignment w:val="center"/>
        <w:rPr>
          <w:rFonts w:hint="eastAsia" w:ascii="Times New Roman" w:hAnsi="Times New Roman" w:cs="Times New Roman"/>
          <w:kern w:val="2"/>
          <w:sz w:val="21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77" o:spt="75" type="#_x0000_t75" style="height:18pt;width:19.1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3" ShapeID="_x0000_i1077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为一阶段目标函数，即投资成本，决策变量变量为</w:t>
      </w:r>
      <w:r>
        <w:rPr>
          <w:rFonts w:hint="eastAsia" w:ascii="Times New Roman" w:hAnsi="Times New Roman" w:cs="Times New Roman"/>
          <w:kern w:val="2"/>
          <w:position w:val="-12"/>
          <w:sz w:val="21"/>
        </w:rPr>
        <w:object>
          <v:shape id="_x0000_i1078" o:spt="75" alt="" type="#_x0000_t75" style="height:18pt;width:16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8" DrawAspect="Content" ObjectID="_1468075775" r:id="rId10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；不确定变量为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79" o:spt="75" type="#_x0000_t75" style="height:17.5pt;width:128.1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9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lang w:val="en-US" w:eastAsia="zh-CN"/>
        </w:rPr>
        <w:t>，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80" o:spt="75" type="#_x0000_t75" style="height:19.15pt;width:22.1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3" ShapeID="_x0000_i1080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为二阶段目标函数，即运行成本，二阶段变量为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81" o:spt="75" type="#_x0000_t75" style="height:18pt;width:57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1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82" o:spt="75" type="#_x0000_t75" style="height:20pt;width:117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2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,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83" o:spt="75" type="#_x0000_t75" style="height:18pt;width:5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3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12"/>
          <w:sz w:val="21"/>
        </w:rPr>
        <w:object>
          <v:shape id="_x0000_i1084" o:spt="75" type="#_x0000_t75" style="height:18pt;width:31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4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14"/>
          <w:sz w:val="21"/>
        </w:rPr>
        <w:object>
          <v:shape id="_x0000_i1085" o:spt="75" type="#_x0000_t75" style="height:19pt;width:116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5" DrawAspect="Content" ObjectID="_1468075782" r:id="rId118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12"/>
          <w:sz w:val="21"/>
        </w:rPr>
        <w:object>
          <v:shape id="_x0000_i1086" o:spt="75" type="#_x0000_t75" style="height:19pt;width:37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6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,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87" o:spt="75" type="#_x0000_t75" style="height:17pt;width:5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7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88" o:spt="75" type="#_x0000_t75" style="height:19pt;width:96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8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和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89" o:spt="75" type="#_x0000_t75" style="height:18pt;width:21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3" ShapeID="_x0000_i1089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。</w:t>
      </w:r>
    </w:p>
    <w:p>
      <w:pPr>
        <w:widowControl w:val="0"/>
        <w:snapToGrid w:val="0"/>
        <w:jc w:val="both"/>
        <w:textAlignment w:val="center"/>
        <w:rPr>
          <w:rFonts w:hint="eastAsia" w:ascii="Times New Roman" w:hAnsi="Times New Roman" w:cs="Times New Roman"/>
          <w:kern w:val="2"/>
          <w:sz w:val="21"/>
        </w:rPr>
      </w:pPr>
    </w:p>
    <w:p>
      <w:pPr>
        <w:widowControl w:val="0"/>
        <w:autoSpaceDE w:val="0"/>
        <w:autoSpaceDN w:val="0"/>
        <w:adjustRightInd w:val="0"/>
        <w:snapToGrid w:val="0"/>
        <w:ind w:firstLine="420" w:firstLineChars="200"/>
        <w:jc w:val="both"/>
        <w:rPr>
          <w:rFonts w:hint="eastAsia" w:ascii="Times New Roman" w:hAnsi="Times New Roman" w:cs="Times New Roman"/>
          <w:bCs/>
          <w:kern w:val="2"/>
          <w:sz w:val="21"/>
          <w:szCs w:val="22"/>
        </w:rPr>
      </w:pPr>
      <w:r>
        <w:rPr>
          <w:rFonts w:hint="eastAsia" w:ascii="Times New Roman" w:hAnsi="Times New Roman" w:cs="Times New Roman"/>
          <w:bCs/>
          <w:kern w:val="2"/>
          <w:sz w:val="21"/>
          <w:szCs w:val="22"/>
        </w:rPr>
        <w:t>由于微网系统中，风光出力和负荷存在不确定性，将其以上下界等比例缩放的盒式不确定集表示：</w:t>
      </w:r>
    </w:p>
    <w:p>
      <w:pPr>
        <w:widowControl w:val="0"/>
        <w:wordWrap/>
        <w:autoSpaceDE w:val="0"/>
        <w:autoSpaceDN w:val="0"/>
        <w:adjustRightInd w:val="0"/>
        <w:snapToGrid w:val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bCs/>
          <w:kern w:val="2"/>
          <w:position w:val="-12"/>
          <w:sz w:val="21"/>
          <w:szCs w:val="22"/>
        </w:rPr>
        <w:object>
          <v:shape id="_x0000_i1091" o:spt="75" type="#_x0000_t75" style="height:18pt;width:14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91" DrawAspect="Content" ObjectID="_1468075787" r:id="rId128">
            <o:LockedField>false</o:LockedField>
          </o:OLEObject>
        </w:object>
      </w:r>
    </w:p>
    <w:p>
      <w:pPr>
        <w:widowControl w:val="0"/>
        <w:snapToGrid w:val="0"/>
        <w:jc w:val="both"/>
        <w:rPr>
          <w:rFonts w:hint="default" w:ascii="Times New Roman" w:hAnsi="Times New Roman" w:cs="Times New Roman" w:eastAsiaTheme="minorEastAsia"/>
          <w:kern w:val="2"/>
          <w:sz w:val="21"/>
          <w:lang w:val="en-US" w:eastAsia="zh-CN"/>
        </w:rPr>
      </w:pPr>
      <w:r>
        <w:rPr>
          <w:rFonts w:ascii="Calibri" w:hAnsi="Calibri" w:cs="Times New Roman"/>
          <w:kern w:val="2"/>
          <w:sz w:val="21"/>
        </w:rPr>
        <w:t>式中</w:t>
      </w:r>
      <w:r>
        <w:rPr>
          <w:rFonts w:hint="eastAsia" w:ascii="Calibri" w:hAnsi="Calibri" w:cs="Times New Roman"/>
          <w:kern w:val="2"/>
          <w:sz w:val="21"/>
          <w:lang w:eastAsia="zh-CN"/>
        </w:rPr>
        <w:t>：</w:t>
      </w:r>
      <w:r>
        <w:rPr>
          <w:rFonts w:hint="eastAsia" w:ascii="Times New Roman" w:hAnsi="Times New Roman" w:cs="Times New Roman"/>
          <w:kern w:val="2"/>
          <w:position w:val="-12"/>
          <w:sz w:val="21"/>
        </w:rPr>
        <w:object>
          <v:shape id="_x0000_i1092" o:spt="75" type="#_x0000_t75" style="height:18pt;width:13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92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</w:rPr>
        <w:t>为风光出力和负荷功率的预测值，</w:t>
      </w:r>
      <w:r>
        <w:rPr>
          <w:rFonts w:hint="eastAsia" w:ascii="Times New Roman" w:hAnsi="Times New Roman" w:cs="Times New Roman"/>
          <w:kern w:val="2"/>
          <w:sz w:val="21"/>
        </w:rPr>
        <w:object>
          <v:shape id="_x0000_i1093" o:spt="75" type="#_x0000_t75" style="height:10.9pt;width:10.1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93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sz w:val="21"/>
          <w:lang w:val="en-US" w:eastAsia="zh-CN"/>
        </w:rPr>
        <w:t>为</w:t>
      </w:r>
      <w:r>
        <w:rPr>
          <w:rFonts w:hint="eastAsia" w:ascii="Times New Roman" w:hAnsi="Times New Roman" w:cs="Times New Roman"/>
          <w:kern w:val="2"/>
          <w:sz w:val="21"/>
        </w:rPr>
        <w:t>缩放比例</w:t>
      </w:r>
      <w:r>
        <w:rPr>
          <w:rFonts w:hint="eastAsia" w:ascii="Times New Roman" w:hAnsi="Times New Roman" w:cs="Times New Roman"/>
          <w:kern w:val="2"/>
          <w:sz w:val="21"/>
          <w:lang w:eastAsia="zh-CN"/>
        </w:rPr>
        <w:t>，</w:t>
      </w:r>
      <w:r>
        <w:rPr>
          <w:rFonts w:hint="eastAsia" w:ascii="Times New Roman" w:hAnsi="Times New Roman" w:cs="Times New Roman"/>
          <w:kern w:val="2"/>
          <w:sz w:val="21"/>
        </w:rPr>
        <w:t>即不确定度</w:t>
      </w:r>
      <w:r>
        <w:rPr>
          <w:rFonts w:hint="eastAsia" w:ascii="Times New Roman" w:hAnsi="Times New Roman" w:cs="Times New Roman"/>
          <w:kern w:val="2"/>
          <w:sz w:val="21"/>
          <w:lang w:eastAsia="zh-CN"/>
        </w:rPr>
        <w:t>，</w:t>
      </w:r>
      <w:r>
        <w:rPr>
          <w:rFonts w:hint="eastAsia" w:ascii="Times New Roman" w:hAnsi="Times New Roman" w:cs="Times New Roman"/>
          <w:kern w:val="2"/>
          <w:sz w:val="21"/>
          <w:lang w:val="en-US" w:eastAsia="zh-CN"/>
        </w:rPr>
        <w:t>分别取0.05,0.1,0.15</w:t>
      </w:r>
      <w:bookmarkStart w:id="0" w:name="_GoBack"/>
      <w:bookmarkEnd w:id="0"/>
    </w:p>
    <w:p>
      <w:pPr>
        <w:widowControl w:val="0"/>
        <w:snapToGrid w:val="0"/>
        <w:jc w:val="both"/>
        <w:textAlignment w:val="center"/>
        <w:rPr>
          <w:rFonts w:hint="eastAsia" w:ascii="Times New Roman" w:hAnsi="Times New Roman" w:cs="Times New Roman"/>
          <w:kern w:val="2"/>
          <w:sz w:val="21"/>
        </w:rPr>
      </w:pPr>
    </w:p>
    <w:p>
      <w:pPr>
        <w:widowControl w:val="0"/>
        <w:snapToGrid w:val="0"/>
        <w:jc w:val="both"/>
        <w:textAlignment w:val="center"/>
        <w:rPr>
          <w:rFonts w:hint="eastAsia" w:ascii="Times New Roman" w:hAnsi="Times New Roman" w:cs="Times New Roman"/>
          <w:kern w:val="2"/>
          <w:sz w:val="21"/>
        </w:rPr>
      </w:pPr>
    </w:p>
    <w:p>
      <w:pPr>
        <w:widowControl w:val="0"/>
        <w:snapToGrid w:val="0"/>
        <w:jc w:val="both"/>
        <w:textAlignment w:val="center"/>
        <w:rPr>
          <w:rFonts w:hint="eastAsia" w:ascii="Times New Roman" w:hAnsi="Times New Roman" w:cs="Times New Roman"/>
          <w:b/>
          <w:bCs/>
          <w:kern w:val="2"/>
          <w:sz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2"/>
          <w:sz w:val="21"/>
          <w:lang w:val="en-US" w:eastAsia="zh-CN"/>
        </w:rPr>
        <w:t>参数：</w:t>
      </w:r>
    </w:p>
    <w:p>
      <w:pPr>
        <w:widowControl w:val="0"/>
        <w:snapToGrid w:val="0"/>
        <w:jc w:val="both"/>
        <w:textAlignment w:val="center"/>
        <w:rPr>
          <w:rFonts w:hint="eastAsia" w:ascii="Times New Roman" w:hAnsi="Times New Roman" w:cs="Times New Roman"/>
          <w:kern w:val="2"/>
          <w:sz w:val="21"/>
          <w:lang w:val="en-US" w:eastAsia="zh-CN"/>
        </w:rPr>
      </w:pPr>
    </w:p>
    <w:p>
      <w:pPr>
        <w:jc w:val="center"/>
        <w:textAlignment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表1 微网相关参数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参数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094" o:spt="75" type="#_x0000_t75" style="height:11.35pt;width:8.75pt;" o:ole="t" filled="f" o:preferrelative="t" stroked="f" coordsize="21600,21600">
                  <v:path/>
                  <v:fill on="f" focussize="0,0"/>
                  <v:stroke on="f"/>
                  <v:imagedata r:id="rId135" o:title=""/>
                  <o:lock v:ext="edit" aspectratio="t"/>
                  <w10:wrap type="none"/>
                  <w10:anchorlock/>
                </v:shape>
                <o:OLEObject Type="Embed" ProgID="Equation.3" ShapeID="_x0000_i1094" DrawAspect="Content" ObjectID="_1468075790" r:id="rId13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/（￥/kWh）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095" o:spt="75" type="#_x0000_t75" style="height:11.35pt;width:18.9pt;" o:ole="t" filled="f" o:preferrelative="t" stroked="f" coordsize="21600,21600">
                  <v:path/>
                  <v:fill on="f" focussize="0,0"/>
                  <v:stroke on="f"/>
                  <v:imagedata r:id="rId137" o:title=""/>
                  <o:lock v:ext="edit" aspectratio="t"/>
                  <w10:wrap type="none"/>
                  <w10:anchorlock/>
                </v:shape>
                <o:OLEObject Type="Embed" ProgID="Equation.KSEE3" ShapeID="_x0000_i1095" DrawAspect="Content" ObjectID="_1468075791" r:id="rId13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</w: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￥/kWh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0.0296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096" o:spt="75" type="#_x0000_t75" style="height:11.35pt;width:18.9pt;" o:ole="t" filled="f" o:preferrelative="t" stroked="f" coordsize="21600,21600">
                  <v:path/>
                  <v:fill on="f" focussize="0,0"/>
                  <v:stroke on="f"/>
                  <v:imagedata r:id="rId139" o:title=""/>
                  <o:lock v:ext="edit" aspectratio="t"/>
                  <w10:wrap type="none"/>
                  <w10:anchorlock/>
                </v:shape>
                <o:OLEObject Type="Embed" ProgID="Equation.KSEE3" ShapeID="_x0000_i1096" DrawAspect="Content" ObjectID="_1468075792" r:id="rId13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/（￥/kWh）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0.0096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097" o:spt="75" type="#_x0000_t75" style="height:11.35pt;width:15.75pt;" o:ole="t" filled="f" o:preferrelative="t" stroked="f" coordsize="21600,21600">
                  <v:path/>
                  <v:fill on="f" focussize="0,0"/>
                  <v:stroke on="f"/>
                  <v:imagedata r:id="rId141" o:title=""/>
                  <o:lock v:ext="edit" aspectratio="t"/>
                  <w10:wrap type="none"/>
                  <w10:anchorlock/>
                </v:shape>
                <o:OLEObject Type="Embed" ProgID="Equation.KSEE3" ShapeID="_x0000_i1097" DrawAspect="Content" ObjectID="_1468075793" r:id="rId14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</w: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￥/kWh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098" o:spt="75" type="#_x0000_t75" style="height:11.35pt;width:18.3pt;" o:ole="t" filled="f" o:preferrelative="t" stroked="f" coordsize="21600,21600">
                  <v:path/>
                  <v:fill on="f" focussize="0,0"/>
                  <v:stroke on="f"/>
                  <v:imagedata r:id="rId143" o:title=""/>
                  <o:lock v:ext="edit" aspectratio="t"/>
                  <w10:wrap type="none"/>
                  <w10:anchorlock/>
                </v:shape>
                <o:OLEObject Type="Embed" ProgID="Equation.KSEE3" ShapeID="_x0000_i1098" DrawAspect="Content" ObjectID="_1468075794" r:id="rId14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</w: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￥/kWh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099" o:spt="75" type="#_x0000_t75" style="height:11.35pt;width:10.3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99" DrawAspect="Content" ObjectID="_1468075795" r:id="rId144">
                  <o:LockedField>false</o:LockedField>
                </o:OLEObject>
              </w:objec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101" o:spt="75" type="#_x0000_t75" style="height:11.35pt;width:8.75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101" DrawAspect="Content" ObjectID="_1468075796" r:id="rId145">
                  <o:LockedField>false</o:LockedField>
                </o:OLEObject>
              </w:objec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102" o:spt="75" type="#_x0000_t75" style="height:11.35pt;width:10.35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102" DrawAspect="Content" ObjectID="_1468075797" r:id="rId146">
                  <o:LockedField>false</o:LockedField>
                </o:OLEObject>
              </w:objec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103" o:spt="75" type="#_x0000_t75" style="height:11.35pt;width:25.45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103" DrawAspect="Content" ObjectID="_1468075798" r:id="rId147">
                  <o:LockedField>false</o:LockedField>
                </o:OLEObject>
              </w:objec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position w:val="-12"/>
                <w:sz w:val="15"/>
                <w:szCs w:val="15"/>
              </w:rPr>
              <w:object>
                <v:shape id="_x0000_i1104" o:spt="75" type="#_x0000_t75" style="height:11.35pt;width:24.6pt;" o:ole="t" filled="f" o:preferrelative="t" stroked="f" coordsize="21600,21600">
                  <v:path/>
                  <v:fill on="f" focussize="0,0"/>
                  <v:stroke on="f"/>
                  <v:imagedata r:id="rId149" o:title=""/>
                  <o:lock v:ext="edit" aspectratio="t"/>
                  <w10:wrap type="none"/>
                  <w10:anchorlock/>
                </v:shape>
                <o:OLEObject Type="Embed" ProgID="Equation.3" ShapeID="_x0000_i1104" DrawAspect="Content" ObjectID="_1468075799" r:id="rId148">
                  <o:LockedField>false</o:LockedField>
                </o:OLEObject>
              </w:objec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105" o:spt="75" type="#_x0000_t75" style="height:11.35pt;width:17.7pt;" o:ole="t" filled="f" o:preferrelative="t" stroked="f" coordsize="21600,21600">
                  <v:path/>
                  <v:fill on="f" focussize="0,0"/>
                  <v:stroke on="f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3" ShapeID="_x0000_i1105" DrawAspect="Content" ObjectID="_1468075800" r:id="rId15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/kW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106" o:spt="75" type="#_x0000_t75" style="height:11.35pt;width:18.95pt;" o:ole="t" filled="f" o:preferrelative="t" stroked="f" coordsize="21600,21600">
                  <v:path/>
                  <v:fill on="f" focussize="0,0"/>
                  <v:stroke on="f"/>
                  <v:imagedata r:id="rId153" o:title=""/>
                  <o:lock v:ext="edit" aspectratio="t"/>
                  <w10:wrap type="none"/>
                  <w10:anchorlock/>
                </v:shape>
                <o:OLEObject Type="Embed" ProgID="Equation.3" ShapeID="_x0000_i1106" DrawAspect="Content" ObjectID="_1468075801" r:id="rId15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/kW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107" o:spt="75" type="#_x0000_t75" style="height:12pt;width:22.75pt;" o:ole="t" filled="f" o:preferrelative="t" stroked="f" coordsize="21600,21600">
                  <v:path/>
                  <v:fill on="f" focussize="0,0"/>
                  <v:stroke on="f"/>
                  <v:imagedata r:id="rId155" o:title=""/>
                  <o:lock v:ext="edit" aspectratio="t"/>
                  <w10:wrap type="none"/>
                  <w10:anchorlock/>
                </v:shape>
                <o:OLEObject Type="Embed" ProgID="Equation.3" ShapeID="_x0000_i1107" DrawAspect="Content" ObjectID="_1468075802" r:id="rId15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/kW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bat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）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/年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PV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）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/年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WT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）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/年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G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eastAsia="zh-CN"/>
              </w:rPr>
              <w:t>）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/年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object>
                <v:shape id="_x0000_i1109" o:spt="75" type="#_x0000_t75" style="height:11.35pt;width:17.65pt;" o:ole="t" filled="f" o:preferrelative="t" stroked="f" coordsize="21600,21600">
                  <v:path/>
                  <v:fill on="f" focussize="0,0"/>
                  <v:stroke on="f"/>
                  <v:imagedata r:id="rId157" o:title=""/>
                  <o:lock v:ext="edit" aspectratio="t"/>
                  <w10:wrap type="none"/>
                  <w10:anchorlock/>
                </v:shape>
                <o:OLEObject Type="Embed" ProgID="Equation.KSEE3" ShapeID="_x0000_i1109" DrawAspect="Content" ObjectID="_1468075803" r:id="rId15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</w: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￥/kWh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1107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12"/>
                <w:sz w:val="15"/>
                <w:szCs w:val="15"/>
              </w:rPr>
              <w:object>
                <v:shape id="_x0000_i1111" o:spt="75" alt="" type="#_x0000_t75" style="height:11.35pt;width:17.65pt;" o:ole="t" filled="f" o:preferrelative="t" stroked="f" coordsize="21600,21600">
                  <v:path/>
                  <v:fill on="f" focussize="0,0"/>
                  <v:stroke on="f"/>
                  <v:imagedata r:id="rId159" o:title=""/>
                  <o:lock v:ext="edit" aspectratio="t"/>
                  <w10:wrap type="none"/>
                  <w10:anchorlock/>
                </v:shape>
                <o:OLEObject Type="Embed" ProgID="Equation.KSEE3" ShapeID="_x0000_i1111" DrawAspect="Content" ObjectID="_1468075804" r:id="rId15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</w: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￥/kW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12"/>
                <w:sz w:val="15"/>
                <w:szCs w:val="15"/>
              </w:rPr>
              <w:object>
                <v:shape id="_x0000_i1113" o:spt="75" alt="" type="#_x0000_t75" style="height:11.35pt;width:18.95pt;" o:ole="t" filled="f" o:preferrelative="t" stroked="f" coordsize="21600,21600">
                  <v:path/>
                  <v:fill on="f" focussize="0,0"/>
                  <v:stroke on="f"/>
                  <v:imagedata r:id="rId161" o:title=""/>
                  <o:lock v:ext="edit" aspectratio="t"/>
                  <w10:wrap type="none"/>
                  <w10:anchorlock/>
                </v:shape>
                <o:OLEObject Type="Embed" ProgID="Equation.KSEE3" ShapeID="_x0000_i1113" DrawAspect="Content" ObjectID="_1468075805" r:id="rId16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</w: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￥/kW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12"/>
                <w:sz w:val="15"/>
                <w:szCs w:val="15"/>
              </w:rPr>
              <w:object>
                <v:shape id="_x0000_i1114" o:spt="75" alt="" type="#_x0000_t75" style="height:11.35pt;width:15.15pt;" o:ole="t" filled="f" o:preferrelative="t" stroked="f" coordsize="21600,21600">
                  <v:path/>
                  <v:fill on="f" focussize="0,0"/>
                  <v:stroke on="f"/>
                  <v:imagedata r:id="rId163" o:title=""/>
                  <o:lock v:ext="edit" aspectratio="t"/>
                  <w10:wrap type="none"/>
                  <w10:anchorlock/>
                </v:shape>
                <o:OLEObject Type="Embed" ProgID="Equation.KSEE3" ShapeID="_x0000_i1114" DrawAspect="Content" ObjectID="_1468075806" r:id="rId16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/（</w:t>
            </w:r>
            <w:r>
              <w:rPr>
                <w:rFonts w:ascii="Times New Roman" w:hAnsi="Times New Roman" w:eastAsia="宋体" w:cs="Times New Roman"/>
                <w:sz w:val="15"/>
                <w:szCs w:val="15"/>
              </w:rPr>
              <w:t>￥/kW</w:t>
            </w:r>
            <w:r>
              <w:rPr>
                <w:rFonts w:hint="eastAsia" w:ascii="Times New Roman" w:hAnsi="Times New Roman" w:eastAsia="宋体" w:cs="Times New Roman"/>
                <w:sz w:val="15"/>
                <w:szCs w:val="15"/>
              </w:rPr>
              <w:t>）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snapToGrid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5"/>
                <w:lang w:val="en-US" w:eastAsia="zh-CN"/>
              </w:rPr>
              <w:t>2000</w:t>
            </w:r>
          </w:p>
        </w:tc>
      </w:tr>
    </w:tbl>
    <w:p>
      <w:pPr>
        <w:ind w:firstLine="420"/>
        <w:textAlignment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高峰电价时段为9:00-11:00和19:00-23:00，电价均为1.35元/kWh，低谷电价时段为24:00-8:00和12:00-18:00，电价分别为0.48元/kWh和0.9元/kWh。</w:t>
      </w:r>
    </w:p>
    <w:p>
      <w:pPr>
        <w:ind w:firstLine="420"/>
        <w:textAlignment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光伏出力:</w:t>
      </w:r>
      <w:r>
        <w:rPr>
          <w:rFonts w:hint="eastAsia" w:ascii="Times New Roman" w:hAnsi="Times New Roman" w:eastAsia="宋体" w:cs="Times New Roman"/>
          <w:position w:val="-12"/>
          <w:lang w:val="en-US" w:eastAsia="zh-CN"/>
        </w:rPr>
        <w:object>
          <v:shape id="_x0000_i1116" o:spt="75" type="#_x0000_t75" style="height:18pt;width:156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16" DrawAspect="Content" ObjectID="_1468075807" r:id="rId164">
            <o:LockedField>false</o:LockedField>
          </o:OLEObject>
        </w:object>
      </w:r>
    </w:p>
    <w:p>
      <w:pPr>
        <w:ind w:firstLine="420"/>
        <w:textAlignment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风机出力:</w:t>
      </w:r>
      <w:r>
        <w:rPr>
          <w:rFonts w:hint="eastAsia" w:ascii="Times New Roman" w:hAnsi="Times New Roman" w:eastAsia="宋体" w:cs="Times New Roman"/>
          <w:position w:val="-12"/>
          <w:lang w:val="en-US" w:eastAsia="zh-CN"/>
        </w:rPr>
        <w:object>
          <v:shape id="_x0000_i1117" o:spt="75" alt="" type="#_x0000_t75" style="height:18pt;width:157.9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7" DrawAspect="Content" ObjectID="_1468075808" r:id="rId166">
            <o:LockedField>false</o:LockedField>
          </o:OLEObject>
        </w:object>
      </w:r>
    </w:p>
    <w:p>
      <w:pPr>
        <w:ind w:firstLine="420"/>
        <w:textAlignment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风光出力归一值和负荷功率见表格</w:t>
      </w:r>
    </w:p>
    <w:p>
      <w:pPr>
        <w:ind w:firstLine="420"/>
        <w:textAlignment w:val="center"/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6514E"/>
    <w:multiLevelType w:val="singleLevel"/>
    <w:tmpl w:val="A436514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A1776"/>
    <w:rsid w:val="004D04D8"/>
    <w:rsid w:val="01257C2B"/>
    <w:rsid w:val="15297259"/>
    <w:rsid w:val="17565C27"/>
    <w:rsid w:val="17F21D5B"/>
    <w:rsid w:val="1CA002E8"/>
    <w:rsid w:val="250E16A2"/>
    <w:rsid w:val="2A4F148B"/>
    <w:rsid w:val="2FF97A4F"/>
    <w:rsid w:val="3042306B"/>
    <w:rsid w:val="393B013B"/>
    <w:rsid w:val="3DA164DE"/>
    <w:rsid w:val="3EB64F69"/>
    <w:rsid w:val="3EE718BA"/>
    <w:rsid w:val="40114576"/>
    <w:rsid w:val="42734C60"/>
    <w:rsid w:val="47930970"/>
    <w:rsid w:val="48383FB4"/>
    <w:rsid w:val="4D080708"/>
    <w:rsid w:val="506A758F"/>
    <w:rsid w:val="5A2E08B9"/>
    <w:rsid w:val="5B9D23FE"/>
    <w:rsid w:val="5F0A1776"/>
    <w:rsid w:val="75412612"/>
    <w:rsid w:val="79EC5C60"/>
    <w:rsid w:val="7D1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theme="minorBidi"/>
      <w:b/>
      <w:bCs/>
      <w:kern w:val="2"/>
      <w:sz w:val="32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Theme="minorHAnsi" w:hAnsiTheme="minorHAnsi" w:eastAsiaTheme="minorEastAsia" w:cstheme="minorBidi"/>
      <w:b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0" Type="http://schemas.openxmlformats.org/officeDocument/2006/relationships/fontTable" Target="fontTable.xml"/><Relationship Id="rId17" Type="http://schemas.openxmlformats.org/officeDocument/2006/relationships/image" Target="media/image7.wmf"/><Relationship Id="rId169" Type="http://schemas.openxmlformats.org/officeDocument/2006/relationships/numbering" Target="numbering.xml"/><Relationship Id="rId168" Type="http://schemas.openxmlformats.org/officeDocument/2006/relationships/customXml" Target="../customXml/item1.xml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5.bin"/><Relationship Id="rId147" Type="http://schemas.openxmlformats.org/officeDocument/2006/relationships/oleObject" Target="embeddings/oleObject74.bin"/><Relationship Id="rId146" Type="http://schemas.openxmlformats.org/officeDocument/2006/relationships/oleObject" Target="embeddings/oleObject73.bin"/><Relationship Id="rId145" Type="http://schemas.openxmlformats.org/officeDocument/2006/relationships/oleObject" Target="embeddings/oleObject72.bin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紫妍</cp:lastModifiedBy>
  <cp:revision>1</cp:revision>
  <dcterms:created xsi:type="dcterms:W3CDTF">2021-02-18T01:21:00Z</dcterms:created>
  <dcterms:modified xsi:type="dcterms:W3CDTF">2021-02-18T02:16:27Z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