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把Sbat(t)单独分到y1,使得决策变量中，只有x和y1是纯0-1变量，其他的n,u,y,z全是连续变量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3.2  两阶段鲁棒模型及求解方法</w:t>
      </w:r>
    </w:p>
    <w:p>
      <w:pPr>
        <w:pStyle w:val="3"/>
        <w:bidi w:val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3.2.1 两阶段鲁棒优化模型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 模型预处理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由于2.1中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25" o:spt="75" type="#_x0000_t75" style="height:18pt;width:33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的计算公式中存在“max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，因此需要将其转化为线性形式的约束条件，如下所示：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righ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position w:val="-28"/>
          <w:sz w:val="21"/>
          <w:szCs w:val="21"/>
        </w:rPr>
        <w:object>
          <v:shape id="_x0000_i1026" o:spt="75" type="#_x0000_t75" style="height:38pt;width:13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FF0000"/>
          <w:position w:val="-28"/>
          <w:sz w:val="21"/>
          <w:szCs w:val="21"/>
          <w:lang w:val="en-US" w:eastAsia="zh-CN"/>
        </w:rPr>
        <w:t xml:space="preserve">                </w:t>
      </w:r>
      <w:r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</w:rPr>
        <w:t>（</w:t>
      </w:r>
      <w:r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  <w:t>3-20</w:t>
      </w:r>
      <w:r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 等效模型和不确定集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为了解决微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网中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出力和负荷功率的不确定性问题，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将鲁棒优化的思想引入3.1中的确定型模型，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构建了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微电网的两阶段鲁棒优化容量配置模型，其一阶段目标函数为微电网的投资成本，二阶段目标函数为微电网的运行成本。将上文预处理过的约束条件</w:t>
      </w:r>
      <w:r>
        <w:rPr>
          <w:rFonts w:hint="eastAsia" w:ascii="Times New Roman" w:hAnsi="宋体" w:eastAsia="宋体" w:cs="Times New Roman"/>
          <w:kern w:val="0"/>
          <w:szCs w:val="21"/>
          <w:lang w:val="en-US" w:eastAsia="zh-CN"/>
        </w:rPr>
        <w:t>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阶段归类后，两阶段鲁棒等效优化模型如下式：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right"/>
        <w:textAlignment w:val="center"/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position w:val="-100"/>
          <w:sz w:val="21"/>
          <w:szCs w:val="21"/>
          <w:lang w:val="en-US" w:eastAsia="zh-CN"/>
        </w:rPr>
        <w:object>
          <v:shape id="_x0000_i1027" o:spt="75" type="#_x0000_t75" style="height:106pt;width:19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  <w:t xml:space="preserve">           （3-21）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式中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tbl>
      <w:tblPr>
        <w:tblStyle w:val="5"/>
        <w:tblW w:w="7945" w:type="dxa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696"/>
        <w:gridCol w:w="6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一阶段决策变量，为微电网各微源的配置容量；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不确定变量，为微电网风光出力和负荷功率；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二阶段决策变量，为微电网各微源的0/1状态变量；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二阶段决策变量，为微电网各微源的时序出力；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电池储能日循环次数计数变量，为0/1变量；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z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二阶段决策变量，为电池储能的分段放电深度；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200"/>
        <w:textAlignment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一、二阶段决策变量及不确定变量的具体公式如下：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right"/>
        <w:textAlignment w:val="center"/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position w:val="-116"/>
          <w:sz w:val="21"/>
          <w:szCs w:val="21"/>
          <w:lang w:val="en-US" w:eastAsia="zh-CN"/>
        </w:rPr>
        <w:object>
          <v:shape id="_x0000_i1028" o:spt="75" type="#_x0000_t75" style="height:98.55pt;width:265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  <w:t xml:space="preserve">  （3-22）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由于在微网系统中风光出力和负荷存在不确定性，将其以上下界等比例缩放的盒式不确定U集表示，如下式：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right"/>
        <w:textAlignment w:val="center"/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  <w:object>
          <v:shape id="_x0000_i1029" o:spt="75" type="#_x0000_t75" style="height:18pt;width:14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  <w:t xml:space="preserve">                （3-23）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式中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tbl>
      <w:tblPr>
        <w:tblStyle w:val="5"/>
        <w:tblW w:w="7945" w:type="dxa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696"/>
        <w:gridCol w:w="6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object>
                <v:shape id="_x0000_i1030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风光出力和负荷功率的预测值，本文中代入聚类后得到的的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典型日数据；</w:t>
      </w:r>
    </w:p>
    <w:tbl>
      <w:tblPr>
        <w:tblStyle w:val="5"/>
        <w:tblW w:w="7945" w:type="dxa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696"/>
        <w:gridCol w:w="6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object>
                <v:shape id="_x0000_i1031" o:spt="75" type="#_x0000_t75" style="height:10.9pt;width:10.15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不确定集的缩放比例，即两阶段鲁棒优化模型的不确定度。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（3）约束的抽象形式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将式（3-21）中的约束经合并整理后，产生了如下几类抽象约束模型（为避免表述过于繁琐，不等式约束仅写出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object>
          <v:shape id="_x0000_i1032" o:spt="75" type="#_x0000_t75" style="height:13.95pt;width:2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形式）：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right"/>
        <w:textAlignment w:val="center"/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position w:val="-184"/>
          <w:sz w:val="21"/>
          <w:szCs w:val="21"/>
          <w:lang w:val="en-US" w:eastAsia="zh-CN"/>
        </w:rPr>
        <w:object>
          <v:shape id="_x0000_i1033" o:spt="75" type="#_x0000_t75" style="height:190pt;width:11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  <w:t xml:space="preserve">                  （3-24）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式中：</w:t>
      </w:r>
    </w:p>
    <w:tbl>
      <w:tblPr>
        <w:tblStyle w:val="5"/>
        <w:tblW w:w="7945" w:type="dxa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696"/>
        <w:gridCol w:w="6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①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约束（3-18）的抽象形式；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②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约束（3-4）和（3-5）的抽象形式；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③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约束（3-13）和（3-14）的抽象形式；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④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约束（3-16）的抽象形式；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⑤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约束（3-17）的抽象形式；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⑥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约束（3-19）的抽象形式；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⑦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约束（3-20）的抽象形式；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⑧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约束（2-8）第二式的抽象形式；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⑨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约束（2-8）第三式的抽象形式；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⑩</w: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约束（2-6）的抽象形式。</w:t>
            </w:r>
          </w:p>
        </w:tc>
      </w:tr>
    </w:tbl>
    <w:p>
      <w:pPr>
        <w:pStyle w:val="3"/>
        <w:bidi w:val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3.2.2 求解</w:t>
      </w:r>
      <w:r>
        <w:rPr>
          <w:rFonts w:hint="eastAsia" w:cs="Times New Roman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对于上述两阶段鲁棒模型，本章节采用C&amp;CG算法将之分解为主问题和子问题，便于交替求解。另外，对于求解过程中遇到的一些数学问题，本章节也给出了单独说明。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right"/>
        <w:textAlignment w:val="center"/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position w:val="-80"/>
          <w:sz w:val="21"/>
          <w:szCs w:val="21"/>
          <w:lang w:val="en-US" w:eastAsia="zh-CN"/>
        </w:rPr>
        <w:object>
          <v:shape id="_x0000_i1034" o:spt="75" type="#_x0000_t75" style="height:85.95pt;width:15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  <w:t xml:space="preserve">                   （3-25）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式中：</w:t>
      </w:r>
    </w:p>
    <w:tbl>
      <w:tblPr>
        <w:tblStyle w:val="5"/>
        <w:tblW w:w="7945" w:type="dxa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696"/>
        <w:gridCol w:w="63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position w:val="-6"/>
                <w:sz w:val="24"/>
                <w:szCs w:val="24"/>
                <w:lang w:val="en-US" w:eastAsia="zh-CN"/>
              </w:rPr>
              <w:object>
                <v:shape id="_x0000_i1035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f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</w:p>
        </w:tc>
        <w:tc>
          <w:tcPr>
            <w:tcW w:w="69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——</w:t>
            </w:r>
          </w:p>
        </w:tc>
        <w:tc>
          <w:tcPr>
            <w:tcW w:w="63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00" w:lineRule="auto"/>
              <w:jc w:val="left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主问题目标函数中的微电网运行成本的辅助变量。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right"/>
        <w:textAlignment w:val="center"/>
        <w:rPr>
          <w:rFonts w:hint="default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position w:val="-58"/>
          <w:sz w:val="21"/>
          <w:szCs w:val="21"/>
          <w:lang w:val="en-US" w:eastAsia="zh-CN"/>
        </w:rPr>
        <w:object>
          <v:shape id="_x0000_i1036" o:spt="75" type="#_x0000_t75" style="height:64pt;width:16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  <w:t xml:space="preserve">                 （3-26）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上述子问题中存在非线性项</w:t>
      </w:r>
      <w:r>
        <w:rPr>
          <w:rFonts w:hint="default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7" o:spt="75" type="#_x0000_t75" style="height:19pt;width:42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，需对其进行线性化处理，首先设</w:t>
      </w:r>
      <w:r>
        <w:rPr>
          <w:rFonts w:hint="default" w:ascii="宋体" w:hAnsi="宋体" w:eastAsia="宋体" w:cs="宋体"/>
          <w:position w:val="-12"/>
          <w:sz w:val="24"/>
          <w:szCs w:val="24"/>
          <w:lang w:val="en-US" w:eastAsia="zh-CN"/>
        </w:rPr>
        <w:object>
          <v:shape id="_x0000_i1038" o:spt="75" type="#_x0000_t75" style="height:19pt;width:5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，增加以下约束：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jc w:val="right"/>
        <w:textAlignment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position w:val="-34"/>
          <w:sz w:val="24"/>
          <w:szCs w:val="24"/>
          <w:lang w:val="en-US" w:eastAsia="zh-CN"/>
        </w:rPr>
        <w:object>
          <v:shape id="_x0000_i1039" o:spt="75" type="#_x0000_t75" style="height:40pt;width:11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Times New Roman" w:hAnsi="Times New Roman" w:eastAsia="宋体" w:cs="Times New Roman"/>
          <w:color w:val="auto"/>
          <w:position w:val="-28"/>
          <w:sz w:val="21"/>
          <w:szCs w:val="21"/>
          <w:lang w:val="en-US" w:eastAsia="zh-CN"/>
        </w:rPr>
        <w:t>（3-27）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  <w:t>用 KarushKuhn-Tucker(KKT)条件</w:t>
      </w:r>
      <w:r>
        <w:rPr>
          <w:rFonts w:hint="eastAsia" w:ascii="Times New Roman" w:hAnsi="Times New Roman" w:eastAsia="宋体" w:cs="Times New Roman"/>
          <w:color w:val="A6A6A6" w:themeColor="background1" w:themeShade="A6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eastAsia="宋体" w:cs="Times New Roman"/>
          <w:color w:val="A6A6A6" w:themeColor="background1" w:themeShade="A6"/>
          <w:sz w:val="24"/>
          <w:szCs w:val="24"/>
          <w:lang w:val="en-US" w:eastAsia="zh-CN"/>
        </w:rPr>
        <w:t>max-min</w:t>
      </w:r>
      <w:r>
        <w:rPr>
          <w:rFonts w:hint="eastAsia" w:ascii="Times New Roman" w:hAnsi="Times New Roman" w:eastAsia="宋体" w:cs="Times New Roman"/>
          <w:color w:val="A6A6A6" w:themeColor="background1" w:themeShade="A6"/>
          <w:sz w:val="24"/>
          <w:szCs w:val="24"/>
          <w:lang w:val="en-US" w:eastAsia="zh-CN"/>
        </w:rPr>
        <w:t>双层问题</w:t>
      </w:r>
      <w:r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  <w:t>转换成</w:t>
      </w:r>
      <w:r>
        <w:rPr>
          <w:rFonts w:hint="default" w:ascii="Times New Roman" w:hAnsi="Times New Roman" w:eastAsia="宋体" w:cs="Times New Roman"/>
          <w:color w:val="A6A6A6" w:themeColor="background1" w:themeShade="A6"/>
          <w:sz w:val="24"/>
          <w:szCs w:val="24"/>
          <w:lang w:val="en-US" w:eastAsia="zh-CN"/>
        </w:rPr>
        <w:t>max</w:t>
      </w:r>
      <w:r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  <w:t>单层问题求解。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firstLine="480" w:firstLineChars="200"/>
        <w:textAlignment w:val="center"/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  <w:t>【晏鸣宇，艾小猛，张艺镨，等．考虑机组禁止运行区间的含风电鲁棒机组组合[J]．中国电机工程学报，2018，38(11)：3195-3203．】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A4535"/>
    <w:rsid w:val="23CA4535"/>
    <w:rsid w:val="5705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qFormat/>
    <w:uiPriority w:val="9"/>
    <w:pPr>
      <w:keepNext/>
      <w:widowControl w:val="0"/>
      <w:adjustRightInd w:val="0"/>
      <w:snapToGrid w:val="0"/>
      <w:spacing w:before="100" w:beforeLines="100" w:after="50" w:afterLines="50" w:line="300" w:lineRule="auto"/>
      <w:ind w:firstLine="0" w:firstLineChars="0"/>
      <w:jc w:val="both"/>
      <w:outlineLvl w:val="1"/>
    </w:pPr>
    <w:rPr>
      <w:rFonts w:ascii="Times New Roman" w:hAnsi="Times New Roman" w:eastAsia="宋体" w:cs="Times New Roman"/>
      <w:b/>
      <w:iCs/>
      <w:kern w:val="2"/>
      <w:sz w:val="30"/>
      <w:szCs w:val="28"/>
      <w:lang w:val="en-US" w:eastAsia="zh-CN" w:bidi="ar-SA"/>
    </w:rPr>
  </w:style>
  <w:style w:type="paragraph" w:styleId="3">
    <w:name w:val="heading 3"/>
    <w:next w:val="1"/>
    <w:qFormat/>
    <w:uiPriority w:val="9"/>
    <w:pPr>
      <w:keepNext/>
      <w:widowControl w:val="0"/>
      <w:adjustRightInd w:val="0"/>
      <w:snapToGrid w:val="0"/>
      <w:spacing w:before="50" w:beforeLines="50" w:line="300" w:lineRule="auto"/>
      <w:ind w:firstLine="420" w:firstLineChars="200"/>
      <w:jc w:val="both"/>
      <w:outlineLvl w:val="2"/>
    </w:pPr>
    <w:rPr>
      <w:rFonts w:ascii="Times New Roman" w:hAnsi="Times New Roman" w:eastAsia="宋体" w:cs="Times New Roman"/>
      <w:b/>
      <w:bCs/>
      <w:kern w:val="2"/>
      <w:sz w:val="28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紫妍</cp:lastModifiedBy>
  <cp:revision>1</cp:revision>
  <dcterms:created xsi:type="dcterms:W3CDTF">2021-03-16T13:29:00Z</dcterms:created>
  <dcterms:modified xsi:type="dcterms:W3CDTF">2021-03-16T13:32:23Z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