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  <w:b/>
        </w:rPr>
        <w:t>Teaching an LLM What OS Knobs Mean: How TuxBot Makes Online Tuning Safe</w:t>
      </w:r>
    </w:p>
    <w:p>
      <w:pPr>
        <w:pStyle w:val="WechatSubtitle"/>
        <w:jc w:val="center"/>
      </w:pPr>
      <w:r>
        <w:rPr>
          <w:rFonts w:ascii="Arial" w:hAnsi="Arial" w:eastAsia="Microsoft YaHei"/>
          <w:b w:val="0"/>
        </w:rPr>
        <w:t>Columbia University and IBM Research propose the first semantic-aware framework for online OS tuning — a 153.3% average gain across 13 workloads, at roughly $0.20 per session</w:t>
      </w:r>
    </w:p>
    <w:p>
      <w:pPr>
        <w:pStyle w:val="WechatBody"/>
      </w:pPr>
      <w:r>
        <w:rPr>
          <w:rFonts w:ascii="Arial" w:hAnsi="Arial" w:eastAsia="Microsoft YaHei"/>
        </w:rPr>
        <w:t>A modern Linux kernel exposes more than a thousand tunable parameters — knobs, in the vernacular: scheduler time slices, busy-poll durations, CPU power states, memory and I/O policies. Getting them right by hand is hopeless, so the field has leaned on automatic tuners. For the past decade the dominant recipes have been Bayesian optimization and reinforcement learning: treat each parameter as a number, probe, watch a single scalar metric, and pick the next step.</w:t>
      </w:r>
    </w:p>
    <w:p>
      <w:pPr>
        <w:pStyle w:val="WechatBody"/>
      </w:pPr>
      <w:r>
        <w:rPr>
          <w:rFonts w:ascii="Arial" w:hAnsi="Arial" w:eastAsia="Microsoft YaHei"/>
        </w:rPr>
        <w:t>The trouble is that these tuners have no notion of what a parameter means. To them, disabling busy-poll and lengthening a time slice are just two numbers changing, with no semantic relationship between them. But on a machine serving live traffic those knobs are coupled — scheduler, power, memory, and I/O settings interact — and a configuration that is numerically valid can be semantically nonsensical, pushing the system into a region it cannot easily climb back out of.</w:t>
      </w:r>
    </w:p>
    <w:p>
      <w:pPr>
        <w:pStyle w:val="WechatBody"/>
      </w:pPr>
      <w:r>
        <w:rPr>
          <w:rFonts w:ascii="Arial" w:hAnsi="Arial" w:eastAsia="Microsoft YaHei"/>
        </w:rPr>
        <w:t>This paper from Columbia University and IBM Research introduces TuxBot: the first semantic-aware, LLM-based framework for online operating-system tuning. Instead of treating knobs as isolated numbers, it lets a large language model reason about what those knobs mean together, so it can make live-host adjustments that are effective, safe, and cheap at once.</w:t>
      </w:r>
    </w:p>
    <w:p>
      <w:pPr>
        <w:pStyle w:val="Heading1"/>
      </w:pPr>
      <w:r>
        <w:t>What "no semantics" actually breaks</w:t>
      </w:r>
    </w:p>
    <w:p>
      <w:pPr>
        <w:pStyle w:val="WechatBody"/>
      </w:pPr>
      <w:r>
        <w:rPr>
          <w:rFonts w:ascii="Arial" w:hAnsi="Arial" w:eastAsia="Microsoft YaHei"/>
        </w:rPr>
        <w:t>The paper opens with an uncomfortable observation: traditional tuners don't merely run slowly — they can drive a system into failure while it still looks healthy. Running MLOS (a strong Microsoft autotuner) on Memcached, a latency-sensitive in-memory cache, under a 500,000-QPS load, the authors watched it repeatedly select configurations no human operator would try on a live service: busy-poll values of 600–975, shallow C-states, 50-ms time slices.</w:t>
      </w:r>
    </w:p>
    <w:p>
      <w:pPr>
        <w:pStyle w:val="WechatBody"/>
      </w:pPr>
      <w:r>
        <w:rPr>
          <w:rFonts w:ascii="Arial" w:hAnsi="Arial" w:eastAsia="Microsoft YaHei"/>
        </w:rPr>
        <w:t>What makes these configurations dangerous is their disguise. Throughput looks close to normal, yet tail latency — p99, the 99th-percentile response time — spikes by more than 47×. If you only watch a coarse metric like throughput, you never notice that the system has slipped into a queue-dominated metastable failure, the kind of state it cannot recover from on its own.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1494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4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echatCaption"/>
        <w:jc w:val="center"/>
      </w:pPr>
      <w:r>
        <w:rPr>
          <w:rFonts w:ascii="Arial" w:hAnsi="Arial" w:eastAsia="Microsoft YaHei"/>
          <w:b w:val="0"/>
        </w:rPr>
        <w:t>Figure 1. Two failure modes of MLOS. Left: on the Wikipedia workload, tuning against the true application metric (App) pushes p99 below the default, but swapping in low-level proxies like IPC or Cache Miss makes p99 worse than the default. Right: on TPC-C, as the tuning surface grows from 1 to 32 parameters, p99 rises instead of falling — a larger tuning surface makes it easier to break the system.</w:t>
      </w:r>
    </w:p>
    <w:p>
      <w:pPr>
        <w:pStyle w:val="WechatBody"/>
      </w:pPr>
      <w:r>
        <w:rPr>
          <w:rFonts w:ascii="Arial" w:hAnsi="Arial" w:eastAsia="Microsoft YaHei"/>
        </w:rPr>
        <w:t>The figure names two core difficulties. First, the real application-level metric is often unavailable, leaving only proxies like IPC or cache-miss rate — and optimizing a proxy yields roughly 2× worse p99. Second, more knobs is harder, not easier: growing PostgreSQL's tuning surface from 1 to 32 knobs degrades p99 by 50%. Classic tuners are fragile on both counts.</w:t>
      </w:r>
    </w:p>
    <w:p>
      <w:pPr>
        <w:pStyle w:val="Heading1"/>
      </w:pPr>
      <w:r>
        <w:t>The TuxBot framework</w:t>
      </w:r>
    </w:p>
    <w:p>
      <w:pPr>
        <w:pStyle w:val="WechatBody"/>
      </w:pPr>
      <w:r>
        <w:rPr>
          <w:rFonts w:ascii="Arial" w:hAnsi="Arial" w:eastAsia="Microsoft YaHei"/>
        </w:rPr>
        <w:t>TuxBot's central idea is to translate the tuning problem into a semantic description a language model can read — what the current goal is, which knobs are in play, what the telemetry readings look like, and what the last few steps did — and then let the model propose the next move. The pieces form a closed loop.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1034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3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echatCaption"/>
        <w:jc w:val="center"/>
      </w:pPr>
      <w:r>
        <w:rPr>
          <w:rFonts w:ascii="Arial" w:hAnsi="Arial" w:eastAsia="Microsoft YaHei"/>
          <w:b w:val="0"/>
        </w:rPr>
        <w:t>Figure 2. System overview of TuxBot. System performance tools (PMU, RAPL, and others) and the application feed OS and app metrics into API-Telemetry; a Context Manager fuses the tuning goal, telemetry, and a cross-session Memory into a tuning prompt for the Tuner; the Tuner's proposed knobs pass through a Parameter Validator for type and constraint checks before anything reaches the host.</w:t>
      </w:r>
    </w:p>
    <w:p>
      <w:pPr>
        <w:pStyle w:val="WechatBody"/>
      </w:pPr>
      <w:r>
        <w:rPr>
          <w:rFonts w:ascii="Arial" w:hAnsi="Arial" w:eastAsia="Microsoft YaHei"/>
        </w:rPr>
        <w:t>You can read the diagram by following the numbers: ① the user states a tuning goal; ② telemetry aggregates system and application signals; ③ the memory module supplies prior summaries; ④ the context manager assembles the prompt; ⑤ the tuner proposes candidate knobs; ⑥ the validator checks them before they land. Three design choices carry the weight: cost-aware dual-loop control, an explicit cross-session memory, and a typed, validated actuation interface.</w:t>
      </w:r>
    </w:p>
    <w:p>
      <w:pPr>
        <w:pStyle w:val="WechatBody"/>
      </w:pPr>
      <w:r>
        <w:rPr>
          <w:rFonts w:ascii="Arial" w:hAnsi="Arial" w:eastAsia="Microsoft YaHei"/>
        </w:rPr>
        <w:t>Paper: https://arxiv.org/abs/2605.15026 · Code: https://github.com/Columbia-DAP-Lab/TuxBot</w:t>
      </w:r>
    </w:p>
    <w:p>
      <w:pPr>
        <w:pStyle w:val="Heading1"/>
      </w:pPr>
      <w:r>
        <w:t>Dual-loop control: fast and cheap at the same time</w:t>
      </w:r>
    </w:p>
    <w:p>
      <w:pPr>
        <w:pStyle w:val="WechatBody"/>
      </w:pPr>
      <w:r>
        <w:rPr>
          <w:rFonts w:ascii="Arial" w:hAnsi="Arial" w:eastAsia="Microsoft YaHei"/>
        </w:rPr>
        <w:t>Online tuning carries an inherent tension. You want to be fast — reacting to load jitter on a millisecond-to-second scale — and you want to be smart, thinking hard when a decision is genuinely complex. But making a heavyweight reasoning model deliberate on every single step is both slow and expensive. TuxBot resolves this with a dual-loop design.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21089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8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echatCaption"/>
        <w:jc w:val="center"/>
      </w:pPr>
      <w:r>
        <w:rPr>
          <w:rFonts w:ascii="Arial" w:hAnsi="Arial" w:eastAsia="Microsoft YaHei"/>
          <w:b w:val="0"/>
        </w:rPr>
        <w:t>Figure 3. TuxBot's dual-loop control. A fast Instant loop (blue: I0.0, I0.1, …) continuously makes low-latency, low-cost corrections; a slower Reasoning loop (orange: R0, R1, …) fires only when a decision needs deeper thought and injects its conclusions as reasoning context entries into later Instant decisions. The two loops share context, keeping expensive reasoning off every control step.</w:t>
      </w:r>
    </w:p>
    <w:p>
      <w:pPr>
        <w:pStyle w:val="WechatBody"/>
      </w:pPr>
      <w:r>
        <w:rPr>
          <w:rFonts w:ascii="Arial" w:hAnsi="Arial" w:eastAsia="Microsoft YaHei"/>
        </w:rPr>
        <w:t>The thing to watch is how the two timelines interleave: the Instant loop ticks densely to stay reactive, while the Reasoning loop intervenes sparingly, spending compute only where it matters. The paper measures the Instant loop at a steady 1.0–2.6 s regardless of knob count, while Reasoning latency grows from 8.1 to 15.8 s as parameters multiply — and precisely because that cost is pulled out of every step, the whole system stays both reactive and cheap. A full steady-state tuning session costs about $0.20 in model calls.</w:t>
      </w:r>
    </w:p>
    <w:p>
      <w:pPr>
        <w:pStyle w:val="Heading1"/>
      </w:pPr>
      <w:r>
        <w:t>How well does it work</w:t>
      </w:r>
    </w:p>
    <w:p>
      <w:pPr>
        <w:pStyle w:val="WechatBody"/>
      </w:pPr>
      <w:r>
        <w:rPr>
          <w:rFonts w:ascii="Arial" w:hAnsi="Arial" w:eastAsia="Microsoft YaHei"/>
        </w:rPr>
        <w:t>The authors evaluate TuxBot on 13 workloads across five benchmark suites (including Memcached, PostgreSQL Wikipedia, TPC-C, Silo, Sysbench OLTP-RW, and Xapian), co-tuning up to 41 Linux parameters, and compare against MLOS, Bayesian optimization, DQN, and Q-Learning.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23021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02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echatCaption"/>
        <w:jc w:val="center"/>
      </w:pPr>
      <w:r>
        <w:rPr>
          <w:rFonts w:ascii="Arial" w:hAnsi="Arial" w:eastAsia="Microsoft YaHei"/>
          <w:b w:val="0"/>
        </w:rPr>
        <w:t>Figure 4. Aggregate improvement over default parameters. ST — TuxBot's semantic tuner — stays positive in both the tuning phase (hatched) and the stable phase (solid), while ST-trim, MLOS, Bayes, DQN, and Q-Learning generally fall below zero in the stable phase. Dashed outlines show results with catastrophic runs excluded; even then the baselines barely reach positive territory, whereas TuxBot never fell into catastrophe to begin with.</w:t>
      </w:r>
    </w:p>
    <w:p>
      <w:pPr>
        <w:pStyle w:val="WechatBody"/>
      </w:pPr>
      <w:r>
        <w:rPr>
          <w:rFonts w:ascii="Arial" w:hAnsi="Arial" w:eastAsia="Microsoft YaHei"/>
        </w:rPr>
        <w:t>Overall, TuxBot improves performance by 153.3% on average over the strongest non-LLM baseline, MLOS. More telling is its robustness: restricted to system-level metrics, with no access to direct application metrics, TuxBot still beats baselines that do get application metrics by 93.7 percentage points, while sidestepping the queue-dominated metastable failures that sink the other tuners.</w:t>
      </w:r>
    </w:p>
    <w:p>
      <w:pPr>
        <w:pStyle w:val="WechatBody"/>
      </w:pPr>
      <w:r>
        <w:rPr>
          <w:rFonts w:ascii="Arial" w:hAnsi="Arial" w:eastAsia="Microsoft YaHei"/>
        </w:rPr>
        <w:t>The paper also characterizes process safety through a bad-window rate — the fraction of time during tuning when performance is clearly degraded. Excluding catastrophic runs, TuxBot's P50 bad-window rate is 16.9%, well below MLOS's 28.8% and its own ablation TuxBot-Trim at 29.7%; it is also less variable (11.1% vs. MLOS's 25.1%) and steadier than MLOS on 12 of 13 workloads. In other words, the dual-loop design doesn't just improve the endpoint — it makes the entire online journey smoother.</w:t>
      </w:r>
    </w:p>
    <w:p>
      <w:pPr>
        <w:pStyle w:val="WechatCaption"/>
        <w:jc w:val="center"/>
      </w:pPr>
      <w:r>
        <w:rPr>
          <w:rFonts w:ascii="Arial" w:hAnsi="Arial" w:eastAsia="Microsoft YaHei"/>
          <w:b/>
        </w:rPr>
        <w:t>Table 1. Headline numbers (relative to MLOS / default parameters).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Metric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TuxBot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Baseline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Avg. improvement over MLOS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+153.3%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—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Edge on system-only metrics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+93.7 pts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baselines get app metrics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P50 bad-window rate (no catastrophic)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16.9%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MLOS 28.8%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Process variability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11.1%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MLOS 25.1%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Cost per tuning session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~$0.20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—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Co-tuned knobs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up to 41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—</w:t>
            </w:r>
          </w:p>
        </w:tc>
      </w:tr>
    </w:tbl>
    <w:p>
      <w:pPr>
        <w:pStyle w:val="Heading1"/>
      </w:pPr>
      <w:r>
        <w:t>The more knobs, the more semantics matters</w:t>
      </w:r>
    </w:p>
    <w:p>
      <w:pPr>
        <w:pStyle w:val="WechatBody"/>
      </w:pPr>
      <w:r>
        <w:rPr>
          <w:rFonts w:ascii="Arial" w:hAnsi="Arial" w:eastAsia="Microsoft YaHei"/>
        </w:rPr>
        <w:t>As noted earlier, classic tuners tend to get worse as the parameter count grows. TuxBot sets out to show the opposite: if you genuinely understand how knobs couple, a larger tuning surface should yield larger — not smaller — gains.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1537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53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echatCaption"/>
        <w:jc w:val="center"/>
      </w:pPr>
      <w:r>
        <w:rPr>
          <w:rFonts w:ascii="Arial" w:hAnsi="Arial" w:eastAsia="Microsoft YaHei"/>
          <w:b w:val="0"/>
        </w:rPr>
        <w:t>Figure 5. Aggregate improvement as the co-tuned knob set grows from 1 to 41 parameters. In the stable phase (solid lines), blue ST (TuxBot) sits above ST-Trim and MLOS throughout, peaks above 300% around four parameters, and stays ahead even in the 41-parameter high-dimensional space; MLOS (orange) falls off — and even goes negative — as parameters accumulate.</w:t>
      </w:r>
    </w:p>
    <w:p>
      <w:pPr>
        <w:pStyle w:val="WechatBody"/>
      </w:pPr>
      <w:r>
        <w:rPr>
          <w:rFonts w:ascii="Arial" w:hAnsi="Arial" w:eastAsia="Microsoft YaHei"/>
        </w:rPr>
        <w:t>The figure backs the paper's claim: reasoning about knobs as one coupled semantic system is what lets a tuner cash in on a large tuning surface. Treat them as unrelated numbers and more parameters only make the search harder to control.</w:t>
      </w:r>
    </w:p>
    <w:p>
      <w:pPr>
        <w:pStyle w:val="Heading1"/>
      </w:pPr>
      <w:r>
        <w:t>Takeaway and boundaries</w:t>
      </w:r>
    </w:p>
    <w:p>
      <w:pPr>
        <w:pStyle w:val="WechatBody"/>
      </w:pPr>
      <w:r>
        <w:rPr>
          <w:rFonts w:ascii="Arial" w:hAnsi="Arial" w:eastAsia="Microsoft YaHei"/>
        </w:rPr>
        <w:t>TuxBot's central conclusion is clean: what online OS tuning really lacks is not a stronger numerical search but an understanding of what the parameters mean. Give a language model that semantics, pair it with a typed and validated safety interface, and it can deliver large, safe, low-cost performance gains on live hosts — 153.3% on average across 13 workloads, about $0.20 per session, co-tuning up to 41 parameters.</w:t>
      </w:r>
    </w:p>
    <w:p>
      <w:pPr>
        <w:pStyle w:val="WechatBody"/>
      </w:pPr>
      <w:r>
        <w:rPr>
          <w:rFonts w:ascii="Arial" w:hAnsi="Arial" w:eastAsia="Microsoft YaHei"/>
        </w:rPr>
        <w:t>The approach comes with premises worth stating. It relies on the model already carrying substantial prior knowledge of Linux subsystems; the evaluation centers on caching and OLTP-database workloads; and the dual-loop design introduces a dependence on an external model API and its (admittedly low) call cost. These are the honest boundaries the paper marks — and the natural questions to keep asking as semantic tuning is pushed toward a wider range of systems.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echatBody">
    <w:name w:val="Wechat Body"/>
    <w:pPr>
      <w:spacing w:after="120" w:line="264" w:lineRule="auto"/>
      <w:ind w:firstLine="403"/>
      <w:jc w:val="both"/>
    </w:pPr>
    <w:rPr>
      <w:rFonts w:ascii="Arial" w:hAnsi="Arial" w:eastAsia="Microsoft YaHei"/>
      <w:b w:val="0"/>
      <w:color w:val="000000"/>
      <w:sz w:val="22"/>
    </w:rPr>
  </w:style>
  <w:style w:type="paragraph" w:customStyle="1" w:styleId="WechatCaption">
    <w:name w:val="Wechat Caption"/>
    <w:pPr>
      <w:spacing w:before="40" w:after="200" w:line="264" w:lineRule="auto"/>
    </w:pPr>
    <w:rPr>
      <w:rFonts w:ascii="Arial" w:hAnsi="Arial" w:eastAsia="Microsoft YaHei"/>
      <w:b w:val="0"/>
      <w:color w:val="555555"/>
      <w:sz w:val="19"/>
    </w:rPr>
  </w:style>
  <w:style w:type="paragraph" w:customStyle="1" w:styleId="WechatSubtitle">
    <w:name w:val="Wechat Subtitle"/>
    <w:pPr>
      <w:spacing w:after="200" w:line="264" w:lineRule="auto"/>
    </w:pPr>
    <w:rPr>
      <w:rFonts w:ascii="Arial" w:hAnsi="Arial" w:eastAsia="Microsoft YaHei"/>
      <w:b w:val="0"/>
      <w:color w:val="555555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