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0FA00F">
      <w:pPr>
        <w:pStyle w:val="5"/>
        <w:ind w:firstLine="640"/>
      </w:pPr>
      <w:r>
        <w:rPr>
          <w:rFonts w:hint="eastAsia"/>
        </w:rPr>
        <w:t>“危废哨兵”安全环保协同管控系统</w:t>
      </w:r>
    </w:p>
    <w:p w14:paraId="0F9A0848">
      <w:pPr>
        <w:pStyle w:val="2"/>
        <w:rPr>
          <w:rFonts w:hint="eastAsia"/>
        </w:rPr>
      </w:pPr>
      <w:r>
        <w:rPr>
          <w:rFonts w:hint="eastAsia"/>
        </w:rPr>
        <w:t>产品简介</w:t>
      </w:r>
    </w:p>
    <w:p w14:paraId="70B21059">
      <w:pPr>
        <w:rPr>
          <w:rFonts w:hint="eastAsia"/>
          <w:lang w:eastAsia="zh-CN"/>
        </w:rPr>
      </w:pPr>
      <w:r>
        <w:rPr>
          <w:rFonts w:hint="eastAsia"/>
        </w:rPr>
        <w:t>采用光离子化（PID）传感器原理的可燃气体探测器与有机废气（VOCs）在线检测一体化智能管控设备来实现安全环保的协同管理</w:t>
      </w:r>
      <w:r>
        <w:rPr>
          <w:rFonts w:hint="eastAsia"/>
          <w:lang w:eastAsia="zh-CN"/>
        </w:rPr>
        <w:t>。</w:t>
      </w:r>
    </w:p>
    <w:p w14:paraId="4488B50B">
      <w:pPr>
        <w:rPr>
          <w:rFonts w:hint="eastAsia"/>
        </w:rPr>
      </w:pPr>
      <w:r>
        <w:rPr>
          <w:rFonts w:hint="eastAsia"/>
        </w:rPr>
        <w:t>采用分级预防管控理念，（1.VOCs环保预警）当检测器检测到VOCs浓度超出环保要求（参考GB 37822</w:t>
      </w:r>
      <w:r>
        <w:rPr>
          <w:rFonts w:hint="eastAsia"/>
          <w:lang w:val="en-US" w:eastAsia="zh-CN"/>
        </w:rPr>
        <w:t>的要求</w:t>
      </w:r>
      <w:r>
        <w:rPr>
          <w:rFonts w:hint="eastAsia"/>
        </w:rPr>
        <w:t>，危废仓库门窗或通风口、其他开口（孔）等排放口浓度≤6mg/m3），联动控制应急风机启动，</w:t>
      </w:r>
      <w:r>
        <w:rPr>
          <w:rFonts w:hint="eastAsia"/>
          <w:lang w:val="en-US" w:eastAsia="zh-CN"/>
        </w:rPr>
        <w:t>收集</w:t>
      </w:r>
      <w:r>
        <w:rPr>
          <w:rFonts w:hint="eastAsia"/>
        </w:rPr>
        <w:t>危废仓库内的有机废气并经过配套的处理装置（活性炭吸附为主）处理后合规排放，将浓度控制在环保要求范围内；</w:t>
      </w:r>
    </w:p>
    <w:p w14:paraId="29BAD48D">
      <w:pPr>
        <w:numPr>
          <w:ilvl w:val="0"/>
          <w:numId w:val="2"/>
        </w:numPr>
        <w:rPr>
          <w:rFonts w:hint="eastAsia"/>
        </w:rPr>
      </w:pPr>
      <w:r>
        <w:rPr>
          <w:rFonts w:hint="eastAsia"/>
        </w:rPr>
        <w:t>可燃气体一级报警）当检测器检测到VOCs浓度达到爆炸极限下限的25%时，发出警示</w:t>
      </w:r>
      <w:r>
        <w:rPr>
          <w:rFonts w:hint="eastAsia"/>
          <w:lang w:eastAsia="zh-CN"/>
        </w:rPr>
        <w:t>，</w:t>
      </w:r>
      <w:r>
        <w:rPr>
          <w:rFonts w:hint="eastAsia"/>
        </w:rPr>
        <w:t>启动安全预警措施，包括启动应急风机直接向室外强制排风，</w:t>
      </w:r>
      <w:r>
        <w:rPr>
          <w:rFonts w:hint="eastAsia"/>
          <w:lang w:val="en-US" w:eastAsia="zh-CN"/>
        </w:rPr>
        <w:t>以及</w:t>
      </w:r>
      <w:r>
        <w:rPr>
          <w:rFonts w:hint="eastAsia"/>
        </w:rPr>
        <w:t>启动声光报警提醒企业现场人员前往巡检确认；</w:t>
      </w:r>
    </w:p>
    <w:p w14:paraId="251ED66F">
      <w:pPr>
        <w:keepNext w:val="0"/>
        <w:keepLines w:val="0"/>
        <w:pageBreakBefore w:val="0"/>
        <w:widowControl w:val="0"/>
        <w:numPr>
          <w:ilvl w:val="1"/>
          <w:numId w:val="0"/>
        </w:numPr>
        <w:kinsoku/>
        <w:wordWrap/>
        <w:overflowPunct/>
        <w:topLinePunct w:val="0"/>
        <w:autoSpaceDE/>
        <w:autoSpaceDN/>
        <w:bidi w:val="0"/>
        <w:adjustRightInd/>
        <w:snapToGrid/>
        <w:ind w:leftChars="0" w:firstLine="640" w:firstLineChars="200"/>
        <w:textAlignment w:val="auto"/>
        <w:rPr>
          <w:rFonts w:hint="eastAsia"/>
        </w:rPr>
      </w:pPr>
      <w:r>
        <w:rPr>
          <w:rFonts w:hint="eastAsia"/>
        </w:rPr>
        <w:t>（3.可燃气体二级报警）当检测器检测到VOCs浓度达到爆炸极限下限的50%时，启动安全报警措施，强制启动风机的同时发出报警信号，现场人员采取紧急处理措施。同时，采用危废仓库主要的有机废气成分作为传感器校准气体进行定期校准，进一步提高设备可靠性。全过程数据实时上传管理部门，打造数字化协同监管新模式新场景。</w:t>
      </w:r>
    </w:p>
    <w:p w14:paraId="7C07102C">
      <w:pPr>
        <w:pStyle w:val="2"/>
      </w:pPr>
      <w:r>
        <w:rPr>
          <w:rFonts w:hint="eastAsia"/>
        </w:rPr>
        <w:t>产品组成及参数</w:t>
      </w:r>
    </w:p>
    <w:p w14:paraId="7BE97493">
      <w:pPr>
        <w:ind w:firstLine="560"/>
      </w:pPr>
      <w:r>
        <w:rPr>
          <w:rFonts w:hint="eastAsia"/>
        </w:rPr>
        <w:t>“危废哨兵”安全环保协同管控系统由硬件设备（物联网感知层）和系统平台（态势感知协同平台）组成，为管理部门提供一套数字化安全环保协同监管应用场景。具体包括：</w:t>
      </w:r>
    </w:p>
    <w:p w14:paraId="3BB0716F">
      <w:pPr>
        <w:ind w:firstLine="560"/>
        <w:rPr>
          <w:b/>
          <w:bCs/>
        </w:rPr>
      </w:pPr>
      <w:r>
        <w:rPr>
          <w:rFonts w:hint="eastAsia"/>
          <w:b/>
          <w:bCs/>
          <w:lang w:val="en-US" w:eastAsia="zh-CN"/>
        </w:rPr>
        <w:t>2</w:t>
      </w:r>
      <w:r>
        <w:rPr>
          <w:rFonts w:hint="eastAsia"/>
          <w:b/>
          <w:bCs/>
        </w:rPr>
        <w:t>.1硬件设备（物联网感知层）</w:t>
      </w:r>
    </w:p>
    <w:p w14:paraId="267EEED6">
      <w:pPr>
        <w:ind w:firstLine="560"/>
        <w:rPr>
          <w:szCs w:val="21"/>
        </w:rPr>
      </w:pPr>
      <w:r>
        <w:rPr>
          <w:rFonts w:hint="eastAsia"/>
        </w:rPr>
        <w:t>（1）</w:t>
      </w:r>
      <w:r>
        <w:rPr>
          <w:rFonts w:hint="eastAsia"/>
          <w:szCs w:val="21"/>
        </w:rPr>
        <w:t>可燃气体探测器与V</w:t>
      </w:r>
      <w:r>
        <w:rPr>
          <w:szCs w:val="21"/>
        </w:rPr>
        <w:t>OCs</w:t>
      </w:r>
      <w:r>
        <w:rPr>
          <w:rFonts w:hint="eastAsia"/>
          <w:szCs w:val="21"/>
        </w:rPr>
        <w:t>在线检测传感器</w:t>
      </w:r>
      <w:r>
        <w:rPr>
          <w:rFonts w:hint="eastAsia"/>
          <w:szCs w:val="21"/>
          <w:lang w:eastAsia="zh-CN"/>
        </w:rPr>
        <w:t>。</w:t>
      </w:r>
      <w:r>
        <w:rPr>
          <w:rFonts w:hint="eastAsia"/>
          <w:szCs w:val="21"/>
        </w:rPr>
        <w:t>用于有机废气浓度的实时监测。</w:t>
      </w:r>
    </w:p>
    <w:p w14:paraId="0EB964A2">
      <w:pPr>
        <w:ind w:firstLine="560"/>
        <w:rPr>
          <w:szCs w:val="21"/>
        </w:rPr>
      </w:pPr>
      <w:r>
        <w:rPr>
          <w:rFonts w:hint="eastAsia"/>
          <w:szCs w:val="21"/>
        </w:rPr>
        <w:t>（2）智能管控设备。包括现场分级控制系统，针对不同浓度控制相应</w:t>
      </w:r>
      <w:r>
        <w:rPr>
          <w:rFonts w:hint="eastAsia"/>
          <w:szCs w:val="21"/>
          <w:lang w:val="en-US" w:eastAsia="zh-CN"/>
        </w:rPr>
        <w:t>的</w:t>
      </w:r>
      <w:r>
        <w:rPr>
          <w:rFonts w:hint="eastAsia"/>
          <w:szCs w:val="21"/>
        </w:rPr>
        <w:t>风机、声光报警器等设备。</w:t>
      </w:r>
    </w:p>
    <w:p w14:paraId="4D499F8E">
      <w:pPr>
        <w:ind w:firstLine="560"/>
        <w:rPr>
          <w:szCs w:val="21"/>
        </w:rPr>
      </w:pPr>
      <w:r>
        <w:rPr>
          <w:rFonts w:hint="eastAsia"/>
          <w:szCs w:val="21"/>
        </w:rPr>
        <w:t>（3）有机废气处理装置。</w:t>
      </w:r>
    </w:p>
    <w:p w14:paraId="21CB975F">
      <w:pPr>
        <w:ind w:firstLine="560"/>
        <w:rPr>
          <w:rFonts w:hint="eastAsia"/>
        </w:rPr>
      </w:pPr>
      <w:r>
        <w:rPr>
          <w:rFonts w:hint="eastAsia"/>
          <w:szCs w:val="21"/>
        </w:rPr>
        <w:t>（4）防爆应急风机及风管切换阀。</w:t>
      </w:r>
    </w:p>
    <w:p w14:paraId="014C6411">
      <w:pPr>
        <w:ind w:firstLine="560"/>
        <w:rPr>
          <w:b/>
          <w:bCs/>
        </w:rPr>
      </w:pPr>
      <w:r>
        <w:rPr>
          <w:rFonts w:hint="eastAsia"/>
          <w:b/>
          <w:bCs/>
          <w:lang w:val="en-US" w:eastAsia="zh-CN"/>
        </w:rPr>
        <w:t>2</w:t>
      </w:r>
      <w:r>
        <w:rPr>
          <w:rFonts w:hint="eastAsia"/>
          <w:b/>
          <w:bCs/>
        </w:rPr>
        <w:t>.2系统平台（态势感知协同平台）</w:t>
      </w:r>
    </w:p>
    <w:p w14:paraId="578D7B24">
      <w:pPr>
        <w:ind w:firstLine="560"/>
        <w:rPr>
          <w:rFonts w:hint="eastAsia"/>
        </w:rPr>
      </w:pPr>
      <w:r>
        <w:rPr>
          <w:rFonts w:hint="eastAsia"/>
        </w:rPr>
        <w:t>由实时数据展示、数据智能分析、分级预警系统、态势感知模型、业务处置系统等组成。</w:t>
      </w:r>
    </w:p>
    <w:p w14:paraId="77077620">
      <w:pPr>
        <w:pStyle w:val="2"/>
      </w:pPr>
      <w:r>
        <w:rPr>
          <w:rFonts w:hint="eastAsia"/>
        </w:rPr>
        <w:t>产品功能</w:t>
      </w:r>
    </w:p>
    <w:p w14:paraId="2AB04363">
      <w:pPr>
        <w:rPr>
          <w:rFonts w:hint="eastAsia"/>
        </w:rPr>
      </w:pPr>
      <w:r>
        <w:rPr>
          <w:rFonts w:hint="eastAsia"/>
          <w:b/>
          <w:bCs/>
          <w:lang w:eastAsia="zh-CN"/>
        </w:rPr>
        <w:t>（</w:t>
      </w:r>
      <w:r>
        <w:rPr>
          <w:rFonts w:hint="eastAsia"/>
          <w:b/>
          <w:bCs/>
          <w:lang w:val="en-US" w:eastAsia="zh-CN"/>
        </w:rPr>
        <w:t>一）VOCs</w:t>
      </w:r>
      <w:r>
        <w:rPr>
          <w:rFonts w:hint="eastAsia"/>
          <w:b/>
          <w:bCs/>
        </w:rPr>
        <w:t>实时监测与预警</w:t>
      </w:r>
      <w:r>
        <w:rPr>
          <w:rFonts w:hint="eastAsia"/>
          <w:b/>
          <w:bCs/>
          <w:lang w:eastAsia="zh-CN"/>
        </w:rPr>
        <w:t>。</w:t>
      </w:r>
      <w:r>
        <w:rPr>
          <w:rFonts w:hint="eastAsia"/>
        </w:rPr>
        <w:t>通过光离子化（PID）传感器原理的在线检测器，实时监测危废仓库内的有机废气浓度。当浓度超出环保要求时，系统将联动控制应急风机启动，收集并处理有机废气，确保仓库内的浓度控制在环保要求范围内。</w:t>
      </w:r>
    </w:p>
    <w:p w14:paraId="74225CA2">
      <w:pPr>
        <w:rPr>
          <w:rFonts w:hint="eastAsia"/>
        </w:rPr>
      </w:pPr>
      <w:r>
        <w:rPr>
          <w:rFonts w:hint="eastAsia"/>
          <w:b/>
          <w:bCs/>
          <w:lang w:eastAsia="zh-CN"/>
        </w:rPr>
        <w:t>（</w:t>
      </w:r>
      <w:r>
        <w:rPr>
          <w:rFonts w:hint="eastAsia"/>
          <w:b/>
          <w:bCs/>
          <w:lang w:val="en-US" w:eastAsia="zh-CN"/>
        </w:rPr>
        <w:t>二）</w:t>
      </w:r>
      <w:r>
        <w:rPr>
          <w:rFonts w:hint="eastAsia"/>
          <w:b/>
          <w:bCs/>
        </w:rPr>
        <w:t>分级预防管控</w:t>
      </w:r>
      <w:r>
        <w:rPr>
          <w:rFonts w:hint="eastAsia"/>
          <w:b/>
          <w:bCs/>
          <w:lang w:eastAsia="zh-CN"/>
        </w:rPr>
        <w:t>。</w:t>
      </w:r>
      <w:r>
        <w:rPr>
          <w:rFonts w:hint="eastAsia"/>
        </w:rPr>
        <w:t>当有机废气浓度达到爆炸极限下限的25%时，系统发出警示报警，并启动应急风机直接向室外强制排风，同时启动声光报警提醒现场人员前往巡检确认</w:t>
      </w:r>
      <w:r>
        <w:rPr>
          <w:rFonts w:hint="eastAsia"/>
          <w:lang w:eastAsia="zh-CN"/>
        </w:rPr>
        <w:t>；</w:t>
      </w:r>
      <w:r>
        <w:rPr>
          <w:rFonts w:hint="eastAsia"/>
        </w:rPr>
        <w:t>当有机废气浓度达到爆炸极限下限的50%时，系统启动安全报警措施，强制启动风机，并发出报警信号，提示现场人员采取紧急处理措施。</w:t>
      </w:r>
    </w:p>
    <w:p w14:paraId="7B30E52B">
      <w:pPr>
        <w:rPr>
          <w:rFonts w:hint="eastAsia"/>
        </w:rPr>
      </w:pPr>
      <w:r>
        <w:rPr>
          <w:rFonts w:hint="eastAsia"/>
          <w:b/>
          <w:bCs/>
          <w:lang w:eastAsia="zh-CN"/>
        </w:rPr>
        <w:t>（</w:t>
      </w:r>
      <w:r>
        <w:rPr>
          <w:rFonts w:hint="eastAsia"/>
          <w:b/>
          <w:bCs/>
          <w:lang w:val="en-US" w:eastAsia="zh-CN"/>
        </w:rPr>
        <w:t>三）</w:t>
      </w:r>
      <w:r>
        <w:rPr>
          <w:rFonts w:hint="eastAsia"/>
          <w:b/>
          <w:bCs/>
        </w:rPr>
        <w:t>有机废气处理</w:t>
      </w:r>
      <w:r>
        <w:rPr>
          <w:rFonts w:hint="eastAsia"/>
          <w:b/>
          <w:bCs/>
          <w:lang w:eastAsia="zh-CN"/>
        </w:rPr>
        <w:t>。</w:t>
      </w:r>
      <w:r>
        <w:rPr>
          <w:rFonts w:hint="eastAsia"/>
        </w:rPr>
        <w:t>系统配备有机废气处理装置，如活性炭吸附装置，用于处理收集到的有机废气，确保合规排放。</w:t>
      </w:r>
    </w:p>
    <w:p w14:paraId="01370AE6">
      <w:pPr>
        <w:rPr>
          <w:rFonts w:hint="eastAsia"/>
        </w:rPr>
      </w:pPr>
      <w:r>
        <w:rPr>
          <w:rFonts w:hint="eastAsia"/>
          <w:b/>
          <w:bCs/>
          <w:lang w:eastAsia="zh-CN"/>
        </w:rPr>
        <w:t>（</w:t>
      </w:r>
      <w:r>
        <w:rPr>
          <w:rFonts w:hint="eastAsia"/>
          <w:b/>
          <w:bCs/>
          <w:lang w:val="en-US" w:eastAsia="zh-CN"/>
        </w:rPr>
        <w:t>四）</w:t>
      </w:r>
      <w:r>
        <w:rPr>
          <w:rFonts w:hint="eastAsia"/>
          <w:b/>
          <w:bCs/>
        </w:rPr>
        <w:t>数据上传与监管</w:t>
      </w:r>
      <w:r>
        <w:rPr>
          <w:rFonts w:hint="eastAsia"/>
          <w:b/>
          <w:bCs/>
          <w:lang w:eastAsia="zh-CN"/>
        </w:rPr>
        <w:t>。</w:t>
      </w:r>
      <w:r>
        <w:rPr>
          <w:rFonts w:hint="eastAsia"/>
        </w:rPr>
        <w:t>全过程数据实时上传至管理部门，打造数字化协同监管新模式新场景，提高监管效率和响应速度。</w:t>
      </w:r>
    </w:p>
    <w:p w14:paraId="631B1F29">
      <w:pPr>
        <w:rPr>
          <w:rFonts w:hint="eastAsia"/>
        </w:rPr>
      </w:pPr>
      <w:r>
        <w:rPr>
          <w:rFonts w:hint="eastAsia"/>
          <w:b/>
          <w:bCs/>
          <w:lang w:eastAsia="zh-CN"/>
        </w:rPr>
        <w:t>（</w:t>
      </w:r>
      <w:r>
        <w:rPr>
          <w:rFonts w:hint="eastAsia"/>
          <w:b/>
          <w:bCs/>
          <w:lang w:val="en-US" w:eastAsia="zh-CN"/>
        </w:rPr>
        <w:t>五）</w:t>
      </w:r>
      <w:r>
        <w:rPr>
          <w:rFonts w:hint="eastAsia"/>
          <w:b/>
          <w:bCs/>
        </w:rPr>
        <w:t>设备校准与维护</w:t>
      </w:r>
      <w:r>
        <w:rPr>
          <w:rFonts w:hint="eastAsia"/>
          <w:b/>
          <w:bCs/>
          <w:lang w:eastAsia="zh-CN"/>
        </w:rPr>
        <w:t>。</w:t>
      </w:r>
      <w:r>
        <w:rPr>
          <w:rFonts w:hint="eastAsia"/>
        </w:rPr>
        <w:t>采用危废仓库主要的有机废气成分作为传感器校准气体进行定期校准，提高设备可靠性。</w:t>
      </w:r>
    </w:p>
    <w:p w14:paraId="7A3AEE50">
      <w:pPr>
        <w:pStyle w:val="2"/>
      </w:pPr>
      <w:r>
        <w:rPr>
          <w:rFonts w:hint="eastAsia"/>
        </w:rPr>
        <w:t>产品优势</w:t>
      </w:r>
    </w:p>
    <w:p w14:paraId="0B7A3765">
      <w:pPr>
        <w:keepNext w:val="0"/>
        <w:keepLines w:val="0"/>
        <w:pageBreakBefore w:val="0"/>
        <w:widowControl w:val="0"/>
        <w:kinsoku/>
        <w:wordWrap/>
        <w:overflowPunct/>
        <w:topLinePunct w:val="0"/>
        <w:autoSpaceDE/>
        <w:autoSpaceDN/>
        <w:bidi w:val="0"/>
        <w:adjustRightInd/>
        <w:snapToGrid/>
        <w:ind w:left="0" w:leftChars="0" w:firstLine="643" w:firstLineChars="200"/>
        <w:textAlignment w:val="auto"/>
        <w:rPr>
          <w:rFonts w:hint="default"/>
          <w:lang w:val="en-US" w:eastAsia="zh-CN"/>
        </w:rPr>
      </w:pPr>
      <w:r>
        <w:rPr>
          <w:rFonts w:hint="eastAsia"/>
          <w:b/>
          <w:bCs/>
          <w:lang w:eastAsia="zh-CN"/>
        </w:rPr>
        <w:t>（</w:t>
      </w:r>
      <w:r>
        <w:rPr>
          <w:rFonts w:hint="eastAsia"/>
          <w:b/>
          <w:bCs/>
          <w:lang w:val="en-US" w:eastAsia="zh-CN"/>
        </w:rPr>
        <w:t>一</w:t>
      </w:r>
      <w:r>
        <w:rPr>
          <w:rFonts w:hint="eastAsia"/>
          <w:b/>
          <w:bCs/>
          <w:lang w:eastAsia="zh-CN"/>
        </w:rPr>
        <w:t>）</w:t>
      </w:r>
      <w:r>
        <w:rPr>
          <w:rFonts w:hint="eastAsia"/>
          <w:b/>
          <w:bCs/>
          <w:lang w:val="en-US" w:eastAsia="zh-CN"/>
        </w:rPr>
        <w:t>集成化设计。</w:t>
      </w:r>
      <w:r>
        <w:rPr>
          <w:rFonts w:hint="eastAsia"/>
          <w:lang w:val="en-US" w:eastAsia="zh-CN"/>
        </w:rPr>
        <w:t>系统将可燃气体探测器与VOCs在线检测传感器集成，实现对危废仓库内有机废气的实时监测和预警，减少了设备数量，提高了系统的集成度和操作便利性。</w:t>
      </w:r>
    </w:p>
    <w:p w14:paraId="2708372F">
      <w:pPr>
        <w:keepNext w:val="0"/>
        <w:keepLines w:val="0"/>
        <w:pageBreakBefore w:val="0"/>
        <w:widowControl w:val="0"/>
        <w:kinsoku/>
        <w:wordWrap/>
        <w:overflowPunct/>
        <w:topLinePunct w:val="0"/>
        <w:autoSpaceDE/>
        <w:autoSpaceDN/>
        <w:bidi w:val="0"/>
        <w:adjustRightInd/>
        <w:snapToGrid/>
        <w:ind w:left="0" w:leftChars="0" w:firstLine="643" w:firstLineChars="200"/>
        <w:textAlignment w:val="auto"/>
        <w:rPr>
          <w:rFonts w:hint="default"/>
          <w:lang w:val="en-US" w:eastAsia="zh-CN"/>
        </w:rPr>
      </w:pPr>
      <w:r>
        <w:rPr>
          <w:rFonts w:hint="eastAsia"/>
          <w:b/>
          <w:bCs/>
          <w:lang w:eastAsia="zh-CN"/>
        </w:rPr>
        <w:t>（</w:t>
      </w:r>
      <w:r>
        <w:rPr>
          <w:rFonts w:hint="eastAsia"/>
          <w:b/>
          <w:bCs/>
          <w:lang w:val="en-US" w:eastAsia="zh-CN"/>
        </w:rPr>
        <w:t>二）智能化管理。</w:t>
      </w:r>
      <w:r>
        <w:rPr>
          <w:rFonts w:hint="eastAsia"/>
          <w:lang w:val="en-US" w:eastAsia="zh-CN"/>
        </w:rPr>
        <w:t>通过智能管控设备，系统能够自动响应不同的气体浓度，实现自动化的安全管理，减少了人为操作错误，提高了响应速度和处理效率。</w:t>
      </w:r>
    </w:p>
    <w:p w14:paraId="4F01A4AA">
      <w:pPr>
        <w:keepNext w:val="0"/>
        <w:keepLines w:val="0"/>
        <w:pageBreakBefore w:val="0"/>
        <w:widowControl w:val="0"/>
        <w:kinsoku/>
        <w:wordWrap/>
        <w:overflowPunct/>
        <w:topLinePunct w:val="0"/>
        <w:autoSpaceDE/>
        <w:autoSpaceDN/>
        <w:bidi w:val="0"/>
        <w:adjustRightInd/>
        <w:snapToGrid/>
        <w:ind w:left="0" w:leftChars="0" w:firstLine="643" w:firstLineChars="200"/>
        <w:textAlignment w:val="auto"/>
        <w:rPr>
          <w:rFonts w:hint="default"/>
          <w:lang w:val="en-US" w:eastAsia="zh-CN"/>
        </w:rPr>
      </w:pPr>
      <w:r>
        <w:rPr>
          <w:rFonts w:hint="eastAsia"/>
          <w:b/>
          <w:bCs/>
          <w:lang w:val="en-US" w:eastAsia="zh-CN"/>
        </w:rPr>
        <w:t>（三）环保与安全双重保障。</w:t>
      </w:r>
      <w:r>
        <w:rPr>
          <w:rFonts w:hint="eastAsia"/>
          <w:lang w:val="en-US" w:eastAsia="zh-CN"/>
        </w:rPr>
        <w:t>系统同时满足环保和安全的要求，通过分级预防管控理念，既保证了危废仓库的环保合规性，又确保了仓库的安全运行。</w:t>
      </w:r>
    </w:p>
    <w:p w14:paraId="03C8DF3C">
      <w:pPr>
        <w:pStyle w:val="2"/>
      </w:pPr>
      <w:r>
        <w:rPr>
          <w:rFonts w:hint="eastAsia"/>
        </w:rPr>
        <w:t>应用场景</w:t>
      </w:r>
    </w:p>
    <w:tbl>
      <w:tblPr>
        <w:tblStyle w:val="7"/>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40"/>
        <w:gridCol w:w="2841"/>
        <w:gridCol w:w="2841"/>
      </w:tblGrid>
      <w:tr w14:paraId="4364FB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66" w:type="pct"/>
            <w:vAlign w:val="center"/>
          </w:tcPr>
          <w:p w14:paraId="527B9D60">
            <w:pPr>
              <w:ind w:firstLine="0" w:firstLineChars="0"/>
              <w:jc w:val="center"/>
            </w:pPr>
            <w:r>
              <w:drawing>
                <wp:inline distT="0" distB="0" distL="0" distR="0">
                  <wp:extent cx="1778000" cy="1110615"/>
                  <wp:effectExtent l="0" t="0" r="12700" b="13335"/>
                  <wp:docPr id="1069820119" name="图片 876" descr="C:/Users/admin/Desktop/2022080522245854.jpeg2022080522245854"/>
                  <wp:cNvGraphicFramePr/>
                  <a:graphic xmlns:a="http://schemas.openxmlformats.org/drawingml/2006/main">
                    <a:graphicData uri="http://schemas.openxmlformats.org/drawingml/2006/picture">
                      <pic:pic xmlns:pic="http://schemas.openxmlformats.org/drawingml/2006/picture">
                        <pic:nvPicPr>
                          <pic:cNvPr id="1069820119" name="图片 876" descr="C:/Users/admin/Desktop/2022080522245854.jpeg2022080522245854"/>
                          <pic:cNvPicPr/>
                        </pic:nvPicPr>
                        <pic:blipFill>
                          <a:blip r:embed="rId6"/>
                          <a:srcRect l="4974" r="4974"/>
                          <a:stretch>
                            <a:fillRect/>
                          </a:stretch>
                        </pic:blipFill>
                        <pic:spPr>
                          <a:xfrm>
                            <a:off x="0" y="0"/>
                            <a:ext cx="1778319" cy="1110615"/>
                          </a:xfrm>
                          <a:prstGeom prst="rect">
                            <a:avLst/>
                          </a:prstGeom>
                          <a:noFill/>
                          <a:ln w="9525">
                            <a:noFill/>
                          </a:ln>
                        </pic:spPr>
                      </pic:pic>
                    </a:graphicData>
                  </a:graphic>
                </wp:inline>
              </w:drawing>
            </w:r>
          </w:p>
        </w:tc>
        <w:tc>
          <w:tcPr>
            <w:tcW w:w="1666" w:type="pct"/>
            <w:vAlign w:val="center"/>
          </w:tcPr>
          <w:p w14:paraId="6B514377">
            <w:pPr>
              <w:ind w:firstLine="0" w:firstLineChars="0"/>
              <w:jc w:val="center"/>
            </w:pPr>
            <w:r>
              <w:drawing>
                <wp:inline distT="0" distB="0" distL="0" distR="0">
                  <wp:extent cx="1778000" cy="1119505"/>
                  <wp:effectExtent l="0" t="0" r="12700" b="4445"/>
                  <wp:docPr id="1893640270" name="图片 878" descr="C:/Users/admin/Desktop/161173081990112300_a700x398.jpg161173081990112300_a700x398"/>
                  <wp:cNvGraphicFramePr/>
                  <a:graphic xmlns:a="http://schemas.openxmlformats.org/drawingml/2006/main">
                    <a:graphicData uri="http://schemas.openxmlformats.org/drawingml/2006/picture">
                      <pic:pic xmlns:pic="http://schemas.openxmlformats.org/drawingml/2006/picture">
                        <pic:nvPicPr>
                          <pic:cNvPr id="1893640270" name="图片 878" descr="C:/Users/admin/Desktop/161173081990112300_a700x398.jpg161173081990112300_a700x398"/>
                          <pic:cNvPicPr/>
                        </pic:nvPicPr>
                        <pic:blipFill>
                          <a:blip r:embed="rId7"/>
                          <a:srcRect l="4850" r="4850"/>
                          <a:stretch>
                            <a:fillRect/>
                          </a:stretch>
                        </pic:blipFill>
                        <pic:spPr>
                          <a:xfrm>
                            <a:off x="0" y="0"/>
                            <a:ext cx="1778400" cy="1119505"/>
                          </a:xfrm>
                          <a:prstGeom prst="rect">
                            <a:avLst/>
                          </a:prstGeom>
                          <a:noFill/>
                          <a:ln w="9525">
                            <a:noFill/>
                          </a:ln>
                        </pic:spPr>
                      </pic:pic>
                    </a:graphicData>
                  </a:graphic>
                </wp:inline>
              </w:drawing>
            </w:r>
          </w:p>
        </w:tc>
        <w:tc>
          <w:tcPr>
            <w:tcW w:w="1666" w:type="pct"/>
            <w:vAlign w:val="center"/>
          </w:tcPr>
          <w:p w14:paraId="27961309">
            <w:pPr>
              <w:ind w:firstLine="0" w:firstLineChars="0"/>
              <w:jc w:val="center"/>
            </w:pPr>
            <w:r>
              <w:drawing>
                <wp:inline distT="0" distB="0" distL="0" distR="0">
                  <wp:extent cx="1778000" cy="1169670"/>
                  <wp:effectExtent l="0" t="0" r="12700" b="11430"/>
                  <wp:docPr id="211138129" name="图片 880" descr="C:/Users/admin/Desktop/8d6d8917-3bad-4731-8aa5-bf39a6c39039.jpg8d6d8917-3bad-4731-8aa5-bf39a6c39039"/>
                  <wp:cNvGraphicFramePr/>
                  <a:graphic xmlns:a="http://schemas.openxmlformats.org/drawingml/2006/main">
                    <a:graphicData uri="http://schemas.openxmlformats.org/drawingml/2006/picture">
                      <pic:pic xmlns:pic="http://schemas.openxmlformats.org/drawingml/2006/picture">
                        <pic:nvPicPr>
                          <pic:cNvPr id="211138129" name="图片 880" descr="C:/Users/admin/Desktop/8d6d8917-3bad-4731-8aa5-bf39a6c39039.jpg8d6d8917-3bad-4731-8aa5-bf39a6c39039"/>
                          <pic:cNvPicPr/>
                        </pic:nvPicPr>
                        <pic:blipFill>
                          <a:blip r:embed="rId8"/>
                          <a:srcRect t="661" b="661"/>
                          <a:stretch>
                            <a:fillRect/>
                          </a:stretch>
                        </pic:blipFill>
                        <pic:spPr>
                          <a:xfrm>
                            <a:off x="0" y="0"/>
                            <a:ext cx="1778000" cy="1170000"/>
                          </a:xfrm>
                          <a:prstGeom prst="rect">
                            <a:avLst/>
                          </a:prstGeom>
                          <a:noFill/>
                          <a:ln w="9525">
                            <a:noFill/>
                          </a:ln>
                        </pic:spPr>
                      </pic:pic>
                    </a:graphicData>
                  </a:graphic>
                </wp:inline>
              </w:drawing>
            </w:r>
          </w:p>
        </w:tc>
      </w:tr>
      <w:tr w14:paraId="4F0C02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66" w:type="pct"/>
            <w:vAlign w:val="center"/>
          </w:tcPr>
          <w:p w14:paraId="141E2A18">
            <w:pPr>
              <w:ind w:firstLine="0" w:firstLineChars="0"/>
              <w:jc w:val="center"/>
            </w:pPr>
            <w:r>
              <w:rPr>
                <w:rStyle w:val="9"/>
                <w:rFonts w:ascii="helvetica" w:hAnsi="helvetica" w:eastAsia="helvetica" w:cs="helvetica"/>
                <w:b/>
                <w:bCs/>
                <w:i w:val="0"/>
                <w:iCs w:val="0"/>
                <w:caps w:val="0"/>
                <w:color w:val="060607"/>
                <w:spacing w:val="4"/>
                <w:sz w:val="21"/>
                <w:szCs w:val="21"/>
                <w:shd w:val="clear" w:fill="FFFFFF"/>
              </w:rPr>
              <w:t>化工企业危废仓库</w:t>
            </w:r>
          </w:p>
        </w:tc>
        <w:tc>
          <w:tcPr>
            <w:tcW w:w="1666" w:type="pct"/>
            <w:vAlign w:val="center"/>
          </w:tcPr>
          <w:p w14:paraId="64419D07">
            <w:pPr>
              <w:ind w:firstLine="0" w:firstLineChars="0"/>
              <w:jc w:val="center"/>
            </w:pPr>
            <w:r>
              <w:rPr>
                <w:rStyle w:val="9"/>
                <w:rFonts w:ascii="helvetica" w:hAnsi="helvetica" w:eastAsia="helvetica" w:cs="helvetica"/>
                <w:b/>
                <w:bCs/>
                <w:i w:val="0"/>
                <w:iCs w:val="0"/>
                <w:caps w:val="0"/>
                <w:color w:val="060607"/>
                <w:spacing w:val="4"/>
                <w:sz w:val="21"/>
                <w:szCs w:val="21"/>
                <w:shd w:val="clear" w:fill="FFFFFF"/>
              </w:rPr>
              <w:t>石油和天然气行业</w:t>
            </w:r>
          </w:p>
        </w:tc>
        <w:tc>
          <w:tcPr>
            <w:tcW w:w="1666" w:type="pct"/>
            <w:vAlign w:val="center"/>
          </w:tcPr>
          <w:p w14:paraId="44320C3B">
            <w:pPr>
              <w:ind w:firstLine="0" w:firstLineChars="0"/>
              <w:jc w:val="center"/>
            </w:pPr>
            <w:r>
              <w:rPr>
                <w:rStyle w:val="9"/>
                <w:rFonts w:ascii="helvetica" w:hAnsi="helvetica" w:eastAsia="helvetica" w:cs="helvetica"/>
                <w:b/>
                <w:bCs/>
                <w:i w:val="0"/>
                <w:iCs w:val="0"/>
                <w:caps w:val="0"/>
                <w:color w:val="060607"/>
                <w:spacing w:val="4"/>
                <w:sz w:val="21"/>
                <w:szCs w:val="21"/>
                <w:shd w:val="clear" w:fill="FFFFFF"/>
              </w:rPr>
              <w:t>制药行业</w:t>
            </w:r>
          </w:p>
        </w:tc>
      </w:tr>
      <w:tr w14:paraId="23C929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66" w:type="pct"/>
            <w:vAlign w:val="center"/>
          </w:tcPr>
          <w:p w14:paraId="1AC81ABA">
            <w:pPr>
              <w:ind w:firstLine="0" w:firstLineChars="0"/>
              <w:jc w:val="center"/>
            </w:pPr>
            <w:r>
              <w:drawing>
                <wp:inline distT="0" distB="0" distL="0" distR="0">
                  <wp:extent cx="1778000" cy="1169670"/>
                  <wp:effectExtent l="0" t="0" r="12700" b="11430"/>
                  <wp:docPr id="171426762" name="图片 882" descr="C:/Users/admin/Desktop/4709.jpg_wh860.jpg4709.jpg_wh860"/>
                  <wp:cNvGraphicFramePr/>
                  <a:graphic xmlns:a="http://schemas.openxmlformats.org/drawingml/2006/main">
                    <a:graphicData uri="http://schemas.openxmlformats.org/drawingml/2006/picture">
                      <pic:pic xmlns:pic="http://schemas.openxmlformats.org/drawingml/2006/picture">
                        <pic:nvPicPr>
                          <pic:cNvPr id="171426762" name="图片 882" descr="C:/Users/admin/Desktop/4709.jpg_wh860.jpg4709.jpg_wh860"/>
                          <pic:cNvPicPr/>
                        </pic:nvPicPr>
                        <pic:blipFill>
                          <a:blip r:embed="rId9"/>
                          <a:srcRect t="643" b="643"/>
                          <a:stretch>
                            <a:fillRect/>
                          </a:stretch>
                        </pic:blipFill>
                        <pic:spPr>
                          <a:xfrm>
                            <a:off x="0" y="0"/>
                            <a:ext cx="1778000" cy="1170000"/>
                          </a:xfrm>
                          <a:prstGeom prst="rect">
                            <a:avLst/>
                          </a:prstGeom>
                          <a:noFill/>
                          <a:ln w="9525">
                            <a:noFill/>
                          </a:ln>
                        </pic:spPr>
                      </pic:pic>
                    </a:graphicData>
                  </a:graphic>
                </wp:inline>
              </w:drawing>
            </w:r>
          </w:p>
        </w:tc>
        <w:tc>
          <w:tcPr>
            <w:tcW w:w="1666" w:type="pct"/>
            <w:vAlign w:val="center"/>
          </w:tcPr>
          <w:p w14:paraId="09B61695">
            <w:pPr>
              <w:ind w:firstLine="0" w:firstLineChars="0"/>
              <w:jc w:val="center"/>
            </w:pPr>
            <w:r>
              <w:drawing>
                <wp:inline distT="0" distB="0" distL="0" distR="0">
                  <wp:extent cx="1778000" cy="1169670"/>
                  <wp:effectExtent l="0" t="0" r="12700" b="11430"/>
                  <wp:docPr id="2097675083" name="图片 884" descr="C:/Users/admin/Desktop/wKj0iV_N3qGAT6oDAAIqIWVxnmQ423.jpgwKj0iV_N3qGAT6oDAAIqIWVxnmQ423"/>
                  <wp:cNvGraphicFramePr/>
                  <a:graphic xmlns:a="http://schemas.openxmlformats.org/drawingml/2006/main">
                    <a:graphicData uri="http://schemas.openxmlformats.org/drawingml/2006/picture">
                      <pic:pic xmlns:pic="http://schemas.openxmlformats.org/drawingml/2006/picture">
                        <pic:nvPicPr>
                          <pic:cNvPr id="2097675083" name="图片 884" descr="C:/Users/admin/Desktop/wKj0iV_N3qGAT6oDAAIqIWVxnmQ423.jpgwKj0iV_N3qGAT6oDAAIqIWVxnmQ423"/>
                          <pic:cNvPicPr/>
                        </pic:nvPicPr>
                        <pic:blipFill>
                          <a:blip r:embed="rId10"/>
                          <a:srcRect t="214" b="214"/>
                          <a:stretch>
                            <a:fillRect/>
                          </a:stretch>
                        </pic:blipFill>
                        <pic:spPr>
                          <a:xfrm>
                            <a:off x="0" y="0"/>
                            <a:ext cx="1778000" cy="1170000"/>
                          </a:xfrm>
                          <a:prstGeom prst="rect">
                            <a:avLst/>
                          </a:prstGeom>
                          <a:noFill/>
                          <a:ln w="9525">
                            <a:noFill/>
                          </a:ln>
                        </pic:spPr>
                      </pic:pic>
                    </a:graphicData>
                  </a:graphic>
                </wp:inline>
              </w:drawing>
            </w:r>
          </w:p>
        </w:tc>
        <w:tc>
          <w:tcPr>
            <w:tcW w:w="1666" w:type="pct"/>
            <w:vAlign w:val="center"/>
          </w:tcPr>
          <w:p w14:paraId="298D10C5">
            <w:pPr>
              <w:ind w:firstLine="0" w:firstLineChars="0"/>
              <w:jc w:val="center"/>
            </w:pPr>
            <w:r>
              <w:drawing>
                <wp:inline distT="0" distB="0" distL="0" distR="0">
                  <wp:extent cx="1778000" cy="1169670"/>
                  <wp:effectExtent l="0" t="0" r="12700" b="11430"/>
                  <wp:docPr id="407938534" name="图片 886" descr="C:/Users/admin/Desktop/R-C.jpgR-C"/>
                  <wp:cNvGraphicFramePr/>
                  <a:graphic xmlns:a="http://schemas.openxmlformats.org/drawingml/2006/main">
                    <a:graphicData uri="http://schemas.openxmlformats.org/drawingml/2006/picture">
                      <pic:pic xmlns:pic="http://schemas.openxmlformats.org/drawingml/2006/picture">
                        <pic:nvPicPr>
                          <pic:cNvPr id="407938534" name="图片 886" descr="C:/Users/admin/Desktop/R-C.jpgR-C"/>
                          <pic:cNvPicPr/>
                        </pic:nvPicPr>
                        <pic:blipFill>
                          <a:blip r:embed="rId11"/>
                          <a:srcRect l="12242" r="12242"/>
                          <a:stretch>
                            <a:fillRect/>
                          </a:stretch>
                        </pic:blipFill>
                        <pic:spPr>
                          <a:xfrm>
                            <a:off x="0" y="0"/>
                            <a:ext cx="1778400" cy="1169670"/>
                          </a:xfrm>
                          <a:prstGeom prst="rect">
                            <a:avLst/>
                          </a:prstGeom>
                          <a:noFill/>
                          <a:ln w="9525">
                            <a:noFill/>
                          </a:ln>
                        </pic:spPr>
                      </pic:pic>
                    </a:graphicData>
                  </a:graphic>
                </wp:inline>
              </w:drawing>
            </w:r>
          </w:p>
        </w:tc>
      </w:tr>
      <w:tr w14:paraId="32E9CA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66" w:type="pct"/>
            <w:vAlign w:val="center"/>
          </w:tcPr>
          <w:p w14:paraId="77520447">
            <w:pPr>
              <w:ind w:firstLine="0" w:firstLineChars="0"/>
              <w:jc w:val="center"/>
            </w:pPr>
            <w:r>
              <w:rPr>
                <w:rStyle w:val="9"/>
                <w:rFonts w:ascii="helvetica" w:hAnsi="helvetica" w:eastAsia="helvetica" w:cs="helvetica"/>
                <w:b/>
                <w:bCs/>
                <w:i w:val="0"/>
                <w:iCs w:val="0"/>
                <w:caps w:val="0"/>
                <w:color w:val="060607"/>
                <w:spacing w:val="4"/>
                <w:sz w:val="21"/>
                <w:szCs w:val="21"/>
                <w:shd w:val="clear" w:fill="FFFFFF"/>
              </w:rPr>
              <w:t>电子制造行业</w:t>
            </w:r>
          </w:p>
        </w:tc>
        <w:tc>
          <w:tcPr>
            <w:tcW w:w="1666" w:type="pct"/>
            <w:vAlign w:val="center"/>
          </w:tcPr>
          <w:p w14:paraId="207B1DD8">
            <w:pPr>
              <w:ind w:firstLine="0" w:firstLineChars="0"/>
              <w:jc w:val="center"/>
            </w:pPr>
            <w:r>
              <w:rPr>
                <w:rStyle w:val="9"/>
                <w:rFonts w:ascii="helvetica" w:hAnsi="helvetica" w:eastAsia="helvetica" w:cs="helvetica"/>
                <w:b/>
                <w:bCs/>
                <w:i w:val="0"/>
                <w:iCs w:val="0"/>
                <w:caps w:val="0"/>
                <w:color w:val="060607"/>
                <w:spacing w:val="4"/>
                <w:sz w:val="21"/>
                <w:szCs w:val="21"/>
                <w:shd w:val="clear" w:fill="FFFFFF"/>
              </w:rPr>
              <w:t>涂装和印刷行业</w:t>
            </w:r>
          </w:p>
        </w:tc>
        <w:tc>
          <w:tcPr>
            <w:tcW w:w="1666" w:type="pct"/>
            <w:vAlign w:val="center"/>
          </w:tcPr>
          <w:p w14:paraId="2E34994C">
            <w:pPr>
              <w:ind w:firstLine="0" w:firstLineChars="0"/>
              <w:jc w:val="center"/>
              <w:rPr>
                <w:rFonts w:hint="eastAsia" w:eastAsia="仿宋_GB2312"/>
                <w:lang w:eastAsia="zh-CN"/>
              </w:rPr>
            </w:pPr>
            <w:r>
              <w:rPr>
                <w:rStyle w:val="9"/>
                <w:rFonts w:hint="eastAsia" w:ascii="helvetica" w:hAnsi="helvetica" w:eastAsia="宋体" w:cs="helvetica"/>
                <w:b/>
                <w:bCs/>
                <w:i w:val="0"/>
                <w:iCs w:val="0"/>
                <w:caps w:val="0"/>
                <w:color w:val="060607"/>
                <w:spacing w:val="4"/>
                <w:sz w:val="21"/>
                <w:szCs w:val="21"/>
                <w:shd w:val="clear" w:fill="FFFFFF"/>
                <w:lang w:val="en-US" w:eastAsia="zh-CN"/>
              </w:rPr>
              <w:t>环保行业</w:t>
            </w:r>
          </w:p>
        </w:tc>
      </w:tr>
    </w:tbl>
    <w:p w14:paraId="2E6ACDEC">
      <w:pPr>
        <w:keepNext w:val="0"/>
        <w:keepLines w:val="0"/>
        <w:pageBreakBefore w:val="0"/>
        <w:widowControl w:val="0"/>
        <w:numPr>
          <w:ilvl w:val="0"/>
          <w:numId w:val="3"/>
        </w:numPr>
        <w:kinsoku/>
        <w:wordWrap/>
        <w:overflowPunct/>
        <w:topLinePunct w:val="0"/>
        <w:autoSpaceDE/>
        <w:autoSpaceDN/>
        <w:bidi w:val="0"/>
        <w:adjustRightInd/>
        <w:snapToGrid/>
        <w:ind w:left="0" w:leftChars="0" w:firstLine="643" w:firstLineChars="200"/>
        <w:textAlignment w:val="auto"/>
        <w:rPr>
          <w:rFonts w:hint="eastAsia"/>
          <w:lang w:val="en-US" w:eastAsia="zh-CN"/>
        </w:rPr>
      </w:pPr>
      <w:r>
        <w:rPr>
          <w:rFonts w:hint="eastAsia"/>
          <w:b/>
          <w:bCs/>
          <w:lang w:val="en-US" w:eastAsia="zh-CN"/>
        </w:rPr>
        <w:t>化工企业危废仓库。</w:t>
      </w:r>
      <w:r>
        <w:rPr>
          <w:rFonts w:hint="eastAsia"/>
          <w:lang w:val="en-US" w:eastAsia="zh-CN"/>
        </w:rPr>
        <w:t>化工企业在生产过程中会产</w:t>
      </w:r>
      <w:bookmarkStart w:id="0" w:name="_GoBack"/>
      <w:bookmarkEnd w:id="0"/>
      <w:r>
        <w:rPr>
          <w:rFonts w:hint="eastAsia"/>
          <w:lang w:val="en-US" w:eastAsia="zh-CN"/>
        </w:rPr>
        <w:t>生大量的危险废物，需要对这些废物进行安全存储和处理。“危废哨兵”系统可以实时监测仓库内的VOCs浓度，确保符合环保要求。</w:t>
      </w:r>
    </w:p>
    <w:p w14:paraId="1C224721">
      <w:pPr>
        <w:keepNext w:val="0"/>
        <w:keepLines w:val="0"/>
        <w:pageBreakBefore w:val="0"/>
        <w:widowControl w:val="0"/>
        <w:numPr>
          <w:ilvl w:val="0"/>
          <w:numId w:val="3"/>
        </w:numPr>
        <w:kinsoku/>
        <w:wordWrap/>
        <w:overflowPunct/>
        <w:topLinePunct w:val="0"/>
        <w:autoSpaceDE/>
        <w:autoSpaceDN/>
        <w:bidi w:val="0"/>
        <w:adjustRightInd/>
        <w:snapToGrid/>
        <w:ind w:left="0" w:leftChars="0" w:firstLine="643" w:firstLineChars="200"/>
        <w:textAlignment w:val="auto"/>
        <w:rPr>
          <w:rFonts w:hint="default"/>
          <w:lang w:val="en-US" w:eastAsia="zh-CN"/>
        </w:rPr>
      </w:pPr>
      <w:r>
        <w:rPr>
          <w:rFonts w:hint="eastAsia"/>
          <w:b/>
          <w:bCs/>
          <w:lang w:val="en-US" w:eastAsia="zh-CN"/>
        </w:rPr>
        <w:t>石油和天然气行业。</w:t>
      </w:r>
      <w:r>
        <w:rPr>
          <w:rFonts w:hint="eastAsia"/>
          <w:lang w:val="en-US" w:eastAsia="zh-CN"/>
        </w:rPr>
        <w:t>在石油和天然气的开采、运输和储存过程中，会产生可燃气体和VOCs。该系统可以用于监测和控制这些气体的排放，预防火灾和爆炸事故。</w:t>
      </w:r>
    </w:p>
    <w:p w14:paraId="07CCCD51">
      <w:pPr>
        <w:keepNext w:val="0"/>
        <w:keepLines w:val="0"/>
        <w:pageBreakBefore w:val="0"/>
        <w:widowControl w:val="0"/>
        <w:numPr>
          <w:ilvl w:val="0"/>
          <w:numId w:val="3"/>
        </w:numPr>
        <w:kinsoku/>
        <w:wordWrap/>
        <w:overflowPunct/>
        <w:topLinePunct w:val="0"/>
        <w:autoSpaceDE/>
        <w:autoSpaceDN/>
        <w:bidi w:val="0"/>
        <w:adjustRightInd/>
        <w:snapToGrid/>
        <w:ind w:left="0" w:leftChars="0" w:firstLine="643" w:firstLineChars="200"/>
        <w:textAlignment w:val="auto"/>
        <w:rPr>
          <w:rFonts w:hint="default"/>
          <w:lang w:val="en-US" w:eastAsia="zh-CN"/>
        </w:rPr>
      </w:pPr>
      <w:r>
        <w:rPr>
          <w:rFonts w:hint="eastAsia"/>
          <w:b/>
          <w:bCs/>
          <w:lang w:val="en-US" w:eastAsia="zh-CN"/>
        </w:rPr>
        <w:t>制药行业。</w:t>
      </w:r>
      <w:r>
        <w:rPr>
          <w:rFonts w:hint="eastAsia"/>
          <w:lang w:val="en-US" w:eastAsia="zh-CN"/>
        </w:rPr>
        <w:t>在生产药物过程中会产生多种有害的VOCs，需要严格的环境控制。“危废哨兵”系统有助于监测和控制这些气体，保护环境和员工健康。</w:t>
      </w:r>
    </w:p>
    <w:p w14:paraId="3E53F116">
      <w:pPr>
        <w:keepNext w:val="0"/>
        <w:keepLines w:val="0"/>
        <w:pageBreakBefore w:val="0"/>
        <w:widowControl w:val="0"/>
        <w:numPr>
          <w:ilvl w:val="0"/>
          <w:numId w:val="3"/>
        </w:numPr>
        <w:kinsoku/>
        <w:wordWrap/>
        <w:overflowPunct/>
        <w:topLinePunct w:val="0"/>
        <w:autoSpaceDE/>
        <w:autoSpaceDN/>
        <w:bidi w:val="0"/>
        <w:adjustRightInd/>
        <w:snapToGrid/>
        <w:ind w:left="0" w:leftChars="0" w:firstLine="643" w:firstLineChars="200"/>
        <w:textAlignment w:val="auto"/>
        <w:rPr>
          <w:rFonts w:hint="default"/>
          <w:lang w:val="en-US" w:eastAsia="zh-CN"/>
        </w:rPr>
      </w:pPr>
      <w:r>
        <w:rPr>
          <w:rFonts w:hint="eastAsia"/>
          <w:b/>
          <w:bCs/>
          <w:lang w:val="en-US" w:eastAsia="zh-CN"/>
        </w:rPr>
        <w:t>电子制造行业。</w:t>
      </w:r>
      <w:r>
        <w:rPr>
          <w:rFonts w:hint="eastAsia"/>
          <w:lang w:val="en-US" w:eastAsia="zh-CN"/>
        </w:rPr>
        <w:t>在电子制造过程中，使用的溶剂和清洗剂可能含有VOCs。该系统可以监测这些气体的排放，确保生产环境的安全。</w:t>
      </w:r>
    </w:p>
    <w:p w14:paraId="540D9C69">
      <w:pPr>
        <w:keepNext w:val="0"/>
        <w:keepLines w:val="0"/>
        <w:pageBreakBefore w:val="0"/>
        <w:widowControl w:val="0"/>
        <w:numPr>
          <w:ilvl w:val="0"/>
          <w:numId w:val="3"/>
        </w:numPr>
        <w:kinsoku/>
        <w:wordWrap/>
        <w:overflowPunct/>
        <w:topLinePunct w:val="0"/>
        <w:autoSpaceDE/>
        <w:autoSpaceDN/>
        <w:bidi w:val="0"/>
        <w:adjustRightInd/>
        <w:snapToGrid/>
        <w:ind w:left="0" w:leftChars="0" w:firstLine="643" w:firstLineChars="200"/>
        <w:textAlignment w:val="auto"/>
        <w:rPr>
          <w:rFonts w:hint="default"/>
          <w:lang w:val="en-US" w:eastAsia="zh-CN"/>
        </w:rPr>
      </w:pPr>
      <w:r>
        <w:rPr>
          <w:rFonts w:hint="default"/>
          <w:b/>
          <w:bCs/>
          <w:lang w:val="en-US" w:eastAsia="zh-CN"/>
        </w:rPr>
        <w:t>涂装和印刷行业</w:t>
      </w:r>
      <w:r>
        <w:rPr>
          <w:rFonts w:hint="eastAsia"/>
          <w:b/>
          <w:bCs/>
          <w:lang w:val="en-US" w:eastAsia="zh-CN"/>
        </w:rPr>
        <w:t>。</w:t>
      </w:r>
      <w:r>
        <w:rPr>
          <w:rFonts w:hint="default"/>
          <w:lang w:val="en-US" w:eastAsia="zh-CN"/>
        </w:rPr>
        <w:t>这些行业在生产过程中会使用大量的溶剂和油墨，产生VOCs。“危废哨兵”系统可以监测和控制这些气体的排放，减少对环境的影响。</w:t>
      </w:r>
    </w:p>
    <w:p w14:paraId="6555BC67">
      <w:pPr>
        <w:keepNext w:val="0"/>
        <w:keepLines w:val="0"/>
        <w:pageBreakBefore w:val="0"/>
        <w:widowControl w:val="0"/>
        <w:numPr>
          <w:ilvl w:val="0"/>
          <w:numId w:val="3"/>
        </w:numPr>
        <w:kinsoku/>
        <w:wordWrap/>
        <w:overflowPunct/>
        <w:topLinePunct w:val="0"/>
        <w:autoSpaceDE/>
        <w:autoSpaceDN/>
        <w:bidi w:val="0"/>
        <w:adjustRightInd/>
        <w:snapToGrid/>
        <w:ind w:left="0" w:leftChars="0" w:firstLine="643" w:firstLineChars="200"/>
        <w:textAlignment w:val="auto"/>
        <w:rPr>
          <w:rFonts w:hint="default"/>
          <w:lang w:val="en-US" w:eastAsia="zh-CN"/>
        </w:rPr>
      </w:pPr>
      <w:r>
        <w:rPr>
          <w:rFonts w:hint="eastAsia"/>
          <w:b/>
          <w:bCs/>
          <w:lang w:val="en-US" w:eastAsia="zh-CN"/>
        </w:rPr>
        <w:t>环保行业。</w:t>
      </w:r>
      <w:r>
        <w:rPr>
          <w:rFonts w:hint="eastAsia"/>
          <w:lang w:val="en-US" w:eastAsia="zh-CN"/>
        </w:rPr>
        <w:t>在环境监测站，需要对空气质量进行实时监控。“危废哨兵”系统可以提供实时数据，帮助监测站做出快速响应。</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640"/>
      </w:pPr>
      <w:r>
        <w:separator/>
      </w:r>
    </w:p>
  </w:endnote>
  <w:endnote w:type="continuationSeparator" w:id="1">
    <w:p>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helvetica">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640"/>
      </w:pPr>
      <w:r>
        <w:separator/>
      </w:r>
    </w:p>
  </w:footnote>
  <w:footnote w:type="continuationSeparator" w:id="1">
    <w:p>
      <w:pPr>
        <w:spacing w:line="360" w:lineRule="auto"/>
        <w:ind w:firstLine="64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B371D4"/>
    <w:multiLevelType w:val="singleLevel"/>
    <w:tmpl w:val="C2B371D4"/>
    <w:lvl w:ilvl="0" w:tentative="0">
      <w:start w:val="2"/>
      <w:numFmt w:val="decimal"/>
      <w:lvlText w:val="（%1."/>
      <w:lvlJc w:val="left"/>
      <w:pPr>
        <w:tabs>
          <w:tab w:val="left" w:pos="312"/>
        </w:tabs>
      </w:pPr>
    </w:lvl>
  </w:abstractNum>
  <w:abstractNum w:abstractNumId="1">
    <w:nsid w:val="1D86BEE9"/>
    <w:multiLevelType w:val="singleLevel"/>
    <w:tmpl w:val="1D86BEE9"/>
    <w:lvl w:ilvl="0" w:tentative="0">
      <w:start w:val="1"/>
      <w:numFmt w:val="chineseCounting"/>
      <w:suff w:val="nothing"/>
      <w:lvlText w:val="（%1）"/>
      <w:lvlJc w:val="left"/>
      <w:rPr>
        <w:rFonts w:hint="eastAsia"/>
      </w:rPr>
    </w:lvl>
  </w:abstractNum>
  <w:abstractNum w:abstractNumId="2">
    <w:nsid w:val="758D0135"/>
    <w:multiLevelType w:val="multilevel"/>
    <w:tmpl w:val="758D0135"/>
    <w:lvl w:ilvl="0" w:tentative="0">
      <w:start w:val="1"/>
      <w:numFmt w:val="chineseCountingThousand"/>
      <w:pStyle w:val="2"/>
      <w:suff w:val="space"/>
      <w:lvlText w:val="%1"/>
      <w:lvlJc w:val="left"/>
      <w:pPr>
        <w:ind w:left="0" w:firstLine="0"/>
      </w:pPr>
      <w:rPr>
        <w:rFonts w:hint="default" w:ascii="Times New Roman" w:hAnsi="Times New Roman" w:eastAsia="黑体"/>
        <w:sz w:val="32"/>
      </w:rPr>
    </w:lvl>
    <w:lvl w:ilvl="1" w:tentative="0">
      <w:start w:val="1"/>
      <w:numFmt w:val="decimal"/>
      <w:isLgl/>
      <w:suff w:val="space"/>
      <w:lvlText w:val="%1.%2"/>
      <w:lvlJc w:val="left"/>
      <w:pPr>
        <w:ind w:left="0" w:firstLine="0"/>
      </w:pPr>
      <w:rPr>
        <w:rFonts w:hint="default" w:ascii="Times New Roman" w:hAnsi="Times New Roman" w:eastAsia="黑体"/>
        <w:sz w:val="32"/>
      </w:rPr>
    </w:lvl>
    <w:lvl w:ilvl="2" w:tentative="0">
      <w:start w:val="1"/>
      <w:numFmt w:val="decimal"/>
      <w:isLgl/>
      <w:suff w:val="space"/>
      <w:lvlText w:val="%1.%2.%3"/>
      <w:lvlJc w:val="left"/>
      <w:pPr>
        <w:ind w:left="0" w:firstLine="0"/>
      </w:pPr>
      <w:rPr>
        <w:rFonts w:hint="default" w:ascii="Times New Roman" w:hAnsi="Times New Roman" w:eastAsia="黑体"/>
        <w:sz w:val="32"/>
      </w:rPr>
    </w:lvl>
    <w:lvl w:ilvl="3" w:tentative="0">
      <w:start w:val="1"/>
      <w:numFmt w:val="decimal"/>
      <w:isLgl/>
      <w:suff w:val="space"/>
      <w:lvlText w:val="%1.%2.%3.%4"/>
      <w:lvlJc w:val="left"/>
      <w:pPr>
        <w:ind w:left="0" w:firstLine="0"/>
      </w:pPr>
      <w:rPr>
        <w:rFonts w:hint="default" w:ascii="Times New Roman" w:hAnsi="Times New Roman" w:eastAsia="黑体"/>
        <w:sz w:val="32"/>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U0Njg4NDVjODdlOTZmMDNmZDRmNjA4YzQ2YWI2MTAifQ=="/>
  </w:docVars>
  <w:rsids>
    <w:rsidRoot w:val="3CD62F8C"/>
    <w:rsid w:val="1707088F"/>
    <w:rsid w:val="22E40812"/>
    <w:rsid w:val="3CD62F8C"/>
    <w:rsid w:val="4FC61FF0"/>
    <w:rsid w:val="502D565D"/>
    <w:rsid w:val="5CF54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仿宋_GB2312" w:cstheme="minorBidi"/>
      <w:kern w:val="2"/>
      <w:sz w:val="32"/>
      <w:szCs w:val="22"/>
      <w:lang w:val="en-US" w:eastAsia="zh-CN" w:bidi="ar-SA"/>
    </w:rPr>
  </w:style>
  <w:style w:type="paragraph" w:styleId="2">
    <w:name w:val="heading 1"/>
    <w:next w:val="1"/>
    <w:qFormat/>
    <w:uiPriority w:val="9"/>
    <w:pPr>
      <w:keepNext/>
      <w:keepLines/>
      <w:numPr>
        <w:ilvl w:val="0"/>
        <w:numId w:val="1"/>
      </w:numPr>
      <w:spacing w:line="360" w:lineRule="auto"/>
      <w:outlineLvl w:val="0"/>
    </w:pPr>
    <w:rPr>
      <w:rFonts w:ascii="Times New Roman" w:hAnsi="Times New Roman" w:eastAsia="黑体" w:cstheme="minorBidi"/>
      <w:b/>
      <w:bCs/>
      <w:kern w:val="44"/>
      <w:sz w:val="32"/>
      <w:szCs w:val="44"/>
      <w:lang w:val="en-US" w:eastAsia="zh-CN" w:bidi="ar-SA"/>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unhideWhenUsed/>
    <w:qFormat/>
    <w:uiPriority w:val="99"/>
    <w:pPr>
      <w:tabs>
        <w:tab w:val="center" w:pos="4153"/>
        <w:tab w:val="right" w:pos="8306"/>
      </w:tabs>
      <w:snapToGrid w:val="0"/>
      <w:jc w:val="left"/>
    </w:pPr>
    <w:rPr>
      <w:sz w:val="18"/>
      <w:szCs w:val="18"/>
    </w:rPr>
  </w:style>
  <w:style w:type="paragraph" w:styleId="4">
    <w:name w:val="header"/>
    <w:basedOn w:val="1"/>
    <w:unhideWhenUsed/>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qFormat/>
    <w:uiPriority w:val="10"/>
    <w:pPr>
      <w:ind w:firstLine="0" w:firstLineChars="0"/>
      <w:jc w:val="center"/>
    </w:pPr>
    <w:rPr>
      <w:rFonts w:eastAsia="黑体" w:cstheme="majorBidi"/>
      <w:b/>
      <w:bCs/>
      <w:sz w:val="44"/>
      <w:szCs w:val="32"/>
    </w:rPr>
  </w:style>
  <w:style w:type="table" w:styleId="7">
    <w:name w:val="Table Grid"/>
    <w:basedOn w:val="6"/>
    <w:qFormat/>
    <w:uiPriority w:val="39"/>
    <w:pPr>
      <w:jc w:val="center"/>
    </w:pPr>
    <w:rPr>
      <w:rFonts w:eastAsia="仿宋"/>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1338</Words>
  <Characters>1391</Characters>
  <Lines>0</Lines>
  <Paragraphs>0</Paragraphs>
  <TotalTime>119</TotalTime>
  <ScaleCrop>false</ScaleCrop>
  <LinksUpToDate>false</LinksUpToDate>
  <CharactersWithSpaces>1392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2024-11-11T07:26:00Z</dcterms:created>
  <dc:creator>.</dc:creator>
  <cp:lastModifiedBy>.</cp:lastModifiedBy>
  <dcterms:modified xsi:type="dcterms:W3CDTF">2024-11-13T05:07:20Z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592C26B288004812AC4CFC6867B4453C_11</vt:lpwstr>
  </property>
</Properties>
</file>