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default" w:ascii="Times New Roman" w:hAnsi="Times New Roman" w:eastAsia="仿宋_GB2312" w:cs="Times New Roman"/>
          <w:i w:val="0"/>
          <w:iCs w:val="0"/>
          <w:caps w:val="0"/>
          <w:color w:val="C60002"/>
          <w:spacing w:val="0"/>
          <w:sz w:val="32"/>
          <w:szCs w:val="32"/>
        </w:rPr>
      </w:pPr>
      <w:r>
        <w:rPr>
          <w:rFonts w:hint="default" w:ascii="Times New Roman" w:hAnsi="Times New Roman" w:eastAsia="仿宋_GB2312" w:cs="Times New Roman"/>
          <w:i w:val="0"/>
          <w:iCs w:val="0"/>
          <w:caps w:val="0"/>
          <w:color w:val="C60002"/>
          <w:spacing w:val="0"/>
          <w:sz w:val="32"/>
          <w:szCs w:val="32"/>
          <w:bdr w:val="none" w:color="auto" w:sz="0" w:space="0"/>
        </w:rPr>
        <w:t>国务院关于印发《空气质量持续改善行动计划》的通知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sz w:val="32"/>
          <w:szCs w:val="32"/>
          <w:bdr w:val="none" w:color="auto" w:sz="0" w:space="0"/>
          <w:shd w:val="clear" w:fill="FFFFFF"/>
        </w:rPr>
        <w:t>国发〔2023〕24号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各省、自治区、直辖市人民政府，国务院各部委、各直属机构：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现将《空气质量持续改善行动计划》印发给你们，请认真贯彻执行。</w:t>
      </w: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right"/>
        <w:textAlignment w:val="auto"/>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right"/>
        <w:textAlignment w:val="auto"/>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xml:space="preserve">                国务院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righ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2023年11月30日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center"/>
        <w:textAlignment w:val="auto"/>
        <w:rPr>
          <w:rFonts w:hint="eastAsia" w:ascii="黑体" w:hAnsi="黑体" w:eastAsia="黑体" w:cs="黑体"/>
          <w:i w:val="0"/>
          <w:iCs w:val="0"/>
          <w:caps w:val="0"/>
          <w:color w:val="000000"/>
          <w:spacing w:val="0"/>
          <w:sz w:val="32"/>
          <w:szCs w:val="32"/>
        </w:rPr>
      </w:pPr>
      <w:r>
        <w:rPr>
          <w:rFonts w:hint="eastAsia" w:ascii="黑体" w:hAnsi="黑体" w:eastAsia="黑体" w:cs="黑体"/>
          <w:b/>
          <w:bCs/>
          <w:i w:val="0"/>
          <w:iCs w:val="0"/>
          <w:caps w:val="0"/>
          <w:color w:val="000000"/>
          <w:spacing w:val="0"/>
          <w:kern w:val="0"/>
          <w:sz w:val="32"/>
          <w:szCs w:val="32"/>
          <w:bdr w:val="none" w:color="auto" w:sz="0" w:space="0"/>
          <w:shd w:val="clear" w:fill="FFFFFF"/>
          <w:lang w:val="en-US" w:eastAsia="zh-CN" w:bidi="ar"/>
        </w:rPr>
        <w:t>空气质量持续改善行动计划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为持续深入打好蓝天保卫战，切实保障人民群众身体健康，以空气质量持续改善推动经济高质量发展，制定本行动计划。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一、总体要求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一）指导思想。以习近平新时代中国特色社会主义思想为指导，全面贯彻党的二十大精神，深入贯彻习近平生态文明思想，落实全国生态环境保护大会部署，坚持稳中求进工作总基调，协同推进降碳、减污、扩绿、增长，以改善空气质量为核心，以减少重污染天气和解决人民群众身边的突出大气环境问题为重点，以降低细颗粒物（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浓度为主线，大力推动氮氧化物和挥发性有机物（VOCs）减排；开展区域协同治理，突出精准、科学、依法治污，完善大气环境管理体系，提升污染防治能力；远近结合研究谋划大气污染防治路径，扎实推进产业、能源、交通绿色低碳转型，强化面源污染治理，加强源头防控，加快形成绿色低碳生产生活方式，实现环境效益、经济效益和社会效益多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（二）重点区域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京津冀及周边地区。包含北京市，天津市，河北省石家庄、唐山、秦皇岛、邯郸、邢台、保定、沧州、廊坊、衡水市以及雄安新区和辛集、定州市，山东省济南、淄博、枣庄、东营、潍坊、济宁、泰安、日照、临沂、德州、聊城、滨州、菏泽市，河南省郑州、开封、洛阳、平顶山、安阳、鹤壁、新乡、焦作、濮阳、许昌、漯河、三门峡、商丘、周口市以及济源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长三角地区。包含上海市，江苏省，浙江省杭州、宁波、嘉兴、湖州、绍兴、舟山市，安徽省合肥、芜湖、蚌埠、淮南、马鞍山、淮北、滁州、阜阳、宿州、六安、亳州市。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汾渭平原。包含山西省太原、阳泉、长治、晋城、晋中、运城、临汾、吕梁市，陕西省西安、铜川、宝鸡、咸阳、渭南市以及杨凌农业高新技术产业示范区、韩城市。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（三）目标指标。到2025年，全国地级及以上城市PM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浓度比2020年下降10%，重度及以上污染天数比率控制在1%以内；氮氧化物和VOCs排放总量比2020年分别下降10%以上。京津冀及周边地区、汾渭平原PM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浓度分别下降20%、15%，长三角地区PM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浓度总体达标，北京市控制在32微克/立方米以内。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二、优化产业结构，促进产业产品绿色升级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四）坚决遏制高耗能、高排放、低水平项目盲目上马。新改扩建项目严格落实国家产业规划、产业政策、生态环境分区管控方案、规划环评、项目环评、节能审查、产能置换、重点污染物总量控制、污染物排放区域削减、碳排放达峰目标等相关要求，原则上采用清洁运输方式。涉及产能置换的项目，被置换产能及其配套设施关停后，新建项目方可投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严禁新增钢铁产能。推行钢铁、焦化、烧结一体化布局，大幅减少独立焦化、烧结、球团和热轧企业及工序，淘汰落后煤炭洗选产能；有序引导高炉—转炉长流程炼钢转型为电炉短流程炼钢。到2025年，短流程炼钢产量占比达15%。京津冀及周边地区继续实施“以钢定焦”，炼焦产能与长流程炼钢产能比控制在0.4左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五）加快退出重点行业落后产能。修订《产业结构调整指导目录》，研究将污染物或温室气体排放明显高出行业平均水平、能效和清洁生产水平低的工艺和装备纳入淘汰类和限制类名单。重点区域进一步提高落后产能能耗、环保、质量、安全、技术等要求，逐步退出限制类涉气行业工艺和装备；逐步淘汰步进式烧结机和球团竖炉以及半封闭式硅锰合金、镍铁、高碳铬铁、高碳锰铁电炉。引导重点区域钢铁、焦化、电解铝等产业有序调整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六）全面开展传统产业集群升级改造。中小型传统制造企业集中的城市要制定涉气产业集群发展规划，严格项目审批，严防污染下乡。针对现有产业集群制定专项整治方案，依法淘汰关停一批、搬迁入园一批、就地改造一批、做优做强一批。各地要结合产业集群特点，因地制宜建设集中供热中心、集中喷涂中心、有机溶剂集中回收处置中心、活性炭集中再生中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七）优化含VOCs原辅材料和产品结构。严格控制生产和使用高VOCs含量涂料、油墨、胶粘剂、清洗剂等建设项目，提高低（无）VOCs含量产品比重。实施源头替代工程，加大工业涂装、包装印刷和电子行业低（无）VOCs含量原辅材料替代力度。室外构筑物防护和城市道路交通标志推广使用低（无）VOCs含量涂料。在生产、销售、进口、使用等环节严格执行VOCs含量限值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八）推动绿色环保产业健康发展。加大政策支持力度，在低（无）VOCs含量原辅材料生产和使用、VOCs污染治理、超低排放、环境和大气成分监测等领域支持培育一批龙头企业。多措并举治理环保领域低价低质中标乱象，营造公平竞争环境，推动产业健康有序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三、优化能源结构，加速能源清洁低碳高效发展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（九）大力发展新能源和清洁能源。到2025年，非化石能源消费比重达20%左右，电能占终端能源消费比重达30%左右。持续增加天然气生产供应，新增天然气优先保障居民生活和清洁取暖需求。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严格合理控制煤炭消费总量。在保障能源安全供应的前提下，重点区域继续实施煤炭消费总量控制。到2025年，京津冀及周边地区、长三角地区煤炭消费量较2020年分别下降10%和5%左右，汾渭平原煤炭消费量实现负增长，重点削减非电力用煤。重点区域新改扩建用煤项目，依法实行煤炭等量或减量替代，替代方案不完善的不予审批；不得将使用石油焦、焦炭、兰炭等高污染燃料作为煤炭减量替代措施。完善重点区域煤炭消费减量替代管理办法，煤矸石、原料用煤不纳入煤炭消费总量考核。原则上不再新增自备燃煤机组，支持自备燃煤机组实施清洁能源替代。对支撑电力稳定供应、电网安全运行、清洁能源大规模并网消纳的煤电项目及其用煤量应予以合理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一）积极开展燃煤锅炉关停整合。各地要将燃煤供热锅炉替代项目纳入城镇供热规划。县级及以上城市建成区原则上不再新建35蒸吨/小时及以下燃煤锅炉，重点区域原则上不再新建除集中供暖外的燃煤锅炉。加快热力管网建设，依托电厂、大型工业企业开展远距离供热示范，淘汰管网覆盖范围内的燃煤锅炉和散煤。到2025年，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未达标城市基本淘汰10蒸吨/小时及以下燃煤锅炉；重点区域基本淘汰35蒸吨/小时及以下燃煤锅炉及茶水炉、经营性炉灶、储粮烘干设备、农产品加工等燃煤设施，充分发挥30万千瓦及以上热电联产电厂的供热能力，对其供热半径30公里范围内的燃煤锅炉和落后燃煤小热电机组（含自备电厂）进行关停或整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二）实施工业炉窑清洁能源替代。有序推进以电代煤，积极稳妥推进以气代煤。重点区域不再新增燃料类煤气发生炉，新改扩建加热炉、热处理炉、干燥炉、熔化炉原则上采用清洁低碳能源；安全稳妥推进使用高污染燃料的工业炉窑改用工业余热、电能、天然气等；燃料类煤气发生炉实行清洁能源替代，或因地制宜采取园区（集群）集中供气、分散使用方式；逐步淘汰固定床间歇式煤气发生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三）持续推进北方地区清洁取暖。因地制宜成片推进北方地区清洁取暖，确保群众温暖过冬。加大民用、农用散煤替代力度，重点区域平原地区散煤基本清零，逐步推进山区散煤清洁能源替代。纳入中央财政支持北方地区清洁取暖范围的城市，保质保量完成改造任务，其中“煤改气”要落实气源、以供定改。全面提升建筑能效水平，加快既有农房节能改造。各地依法将整体完成清洁取暖改造的地区划定为高污染燃料禁燃区，防止散煤复烧。对暂未实施清洁取暖的地区，强化商品煤质量监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四、优化交通结构，大力发展绿色运输体系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四）持续优化调整货物运输结构。大宗货物中长距离运输优先采用铁路、水路运输，短距离运输优先采用封闭式皮带廊道或新能源车船。探索将清洁运输作为煤矿、钢铁、火电、有色、焦化、煤化工等行业新改扩建项目审核和监管重点。重点区域内直辖市、省会城市采取公铁联运等“外集内配”物流方式。到2025年，铁路、水路货运量比2020年分别增长10%和12%左右；晋陕蒙新煤炭主产区中长距离运输（运距500公里以上）的煤炭和焦炭中，铁路运输比例力争达到90%；重点区域和粤港澳大湾区沿海主要港口铁矿石、焦炭等清洁运输（含新能源车）比例力争达到80%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加强铁路专用线和联运转运衔接设施建设，最大程度发挥既有线路效能，重要港区在新建集装箱、大宗干散货作业区时，原则上同步规划建设进港铁路；扩大现有作业区铁路运输能力。对重点区域城市铁路场站进行适货化改造。新建及迁建大宗货物年运量150万吨以上的物流园区、工矿企业和储煤基地，原则上接入铁路专用线或管道。强化用地用海、验收投运、运力调配、铁路运价等措施保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五）加快提升机动车清洁化水平。重点区域公共领域新增或更新公交、出租、城市物流配送、轻型环卫等车辆中，新能源汽车比例不低于80%；加快淘汰采用稀薄燃烧技术的燃气货车。推动山西省、内蒙古自治区、陕西省打造清洁运输先行引领区，培育一批清洁运输企业。在火电、钢铁、煤炭、焦化、有色、水泥等行业和物流园区推广新能源中重型货车，发展零排放货运车队。力争到2025年，重点区域高速服务区快充站覆盖率不低于80%，其他地区不低于60%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强化新生产货车监督抽查，实现系族全覆盖。加强重型货车路检路查和入户检查。全面实施汽车排放检验与维护制度和机动车排放召回制度，强化对年检机构的监管执法。鼓励重点区域城市开展燃油蒸发排放控制检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六）强化非道路移动源综合治理。加快推进铁路货场、物流园区、港口、机场、工矿企业内部作业车辆和机械新能源更新改造。推动发展新能源和清洁能源船舶，提高岸电使用率。大力推动老旧铁路机车淘汰，鼓励中心城市铁路站场及煤炭、钢铁、冶金等行业推广新能源铁路装备。到2025年，基本消除非道路移动机械、船舶及重点区域铁路机车“冒黑烟”现象，基本淘汰第一阶段及以下排放标准的非道路移动机械；年旅客吞吐量500万人次以上的机场，桥电使用率达到95%以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七）全面保障成品油质量。加强油品进口、生产、仓储、销售、运输、使用全环节监管，全面清理整顿自建油罐、流动加油车（船）和黑加油站点，坚决打击将非标油品作为发动机燃料销售等行为。提升货车、非道路移动机械、船舶油箱中柴油抽测频次，对发现的线索进行溯源，严厉追究相关生产、销售、运输者主体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五、强化面源污染治理，提升精细化管理水平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八）深化扬尘污染综合治理。鼓励经济发达地区5000平方米及以上建筑工地安装视频监控并接入当地监管平台；重点区域道路、水务等长距离线性工程实行分段施工。将防治扬尘污染费用纳入工程造价。到2025年，装配式建筑占新建建筑面积比例达30%；地级及以上城市建成区道路机械化清扫率达80%左右，县城达70%左右。对城市公共裸地进行排查建档并采取防尘措施。城市大型煤炭、矿石等干散货码头物料堆场基本完成抑尘设施建设和物料输送系统封闭改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十九）推进矿山生态环境综合整治。新建矿山原则上要同步建设铁路专用线或采用其他清洁运输方式。到2025年，京津冀及周边地区原则上不再新建露天矿山（省级矿产资源规划确定的重点开采区或经安全论证不宜采用地下开采方式的除外）。对限期整改仍不达标的矿山，根据安全生产、水土保持、生态环境等要求依法关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加强秸秆综合利用和禁烧。提高秸秆还田标准化、规范化水平。健全秸秆收储运服务体系，提升产业化能力，提高离田效能。全国秸秆综合利用率稳定在86%以上。各地要结合实际对秸秆禁烧范围等作出具体规定，进行精准划分。重点区域禁止露天焚烧秸秆。综合运用卫星遥感、高清视频监控、无人机等手段，提高秸秆焚烧火点监测精准度。完善网格化监管体系，充分发挥基层组织作用，开展秸秆焚烧重点时段专项巡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六、强化多污染物减排，切实降低排放强度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一）强化VOCs全流程、全环节综合治理。鼓励储罐使用低泄漏的呼吸阀、紧急泄压阀，定期开展密封性检测。汽车罐车推广使用密封式快速接头。污水处理场所高浓度有机废气要单独收集处理；含VOCs有机废水储罐、装置区集水井（池）有机废气要密闭收集处理。重点区域石化、化工行业集中的城市和重点工业园区，2024年年底前建立统一的泄漏检测与修复信息管理平台。企业开停工、检维修期间，及时收集处理退料、清洗、吹扫等作业产生的VOCs废气。企业不得将火炬燃烧装置作为日常大气污染处理设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二）推进重点行业污染深度治理。高质量推进钢铁、水泥、焦化等重点行业及燃煤锅炉超低排放改造。到2025年，全国80%以上的钢铁产能完成超低排放改造任务；重点区域全部实现钢铁行业超低排放，基本完成燃煤锅炉超低排放改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确保工业企业全面稳定达标排放。推进玻璃、石灰、矿棉、有色等行业深度治理。全面开展锅炉和工业炉窑简易低效污染治理设施排查，通过清洁能源替代、升级改造、整合退出等方式实施分类处置。推进燃气锅炉低氮燃烧改造。生物质锅炉采用专用锅炉，配套布袋等高效除尘设施，禁止掺烧煤炭、生活垃圾等其他物料。推进整合小型生物质锅炉，积极引导城市建成区内生物质锅炉（含电力）超低排放改造。强化治污设施运行维护，减少非正常工况排放。重点涉气企业逐步取消烟气和含VOCs废气旁路，因安全生产需要无法取消的，安装在线监控系统及备用处置设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三）开展餐饮油烟、恶臭异味专项治理。严格居民楼附近餐饮服务单位布局管理。拟开设餐饮服务单位的建筑应设计建设专用烟道。推动有条件的地区实施治理设施第三方运维管理及在线监控。对群众反映强烈的恶臭异味扰民问题加强排查整治，投诉集中的工业园区、重点企业要安装运行在线监测系统。各地要加强部门联动，因地制宜解决人民群众反映集中的油烟及恶臭异味扰民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四）稳步推进大气氨污染防控。开展京津冀及周边地区大气氨排放控制试点。推广氮肥机械深施和低蛋白日粮技术。研究畜禽养殖场氨气等臭气治理措施，鼓励生猪、鸡等圈舍封闭管理，支持粪污输送、存储及处理设施封闭，加强废气收集和处理。到2025年，京津冀及周边地区大型规模化畜禽养殖场大气氨排放总量比2020年下降5%。加强氮肥、纯碱等行业大气氨排放治理；强化工业源烟气脱硫脱硝氨逃逸防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七、加强机制建设，完善大气环境管理体系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（二十五）实施城市空气质量达标管理。空气质量未达标的直辖市和设区的市编制实施大气环境质量限期达标规划，明确达标路线图及重点任务，并向社会公开。推进PM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和臭氧协同控制。2020年PM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浓度低于40微克/立方米的未达标城市“十四五”期间实现达标；其他未达标城市明确“十四五”空气质量改善阶段目标。已达标城市巩固改善空气质量。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六）完善区域大气污染防治协作机制。国家统筹推进京津冀及周边地区大气污染联防联控工作，继续发挥长三角地区协作机制、汾渭平原协作机制作用。国家加强对成渝地区、长江中游城市群、东北地区、天山北坡城市群等区域大气污染防治协作的指导，将粤港澳大湾区作为空气质量改善先行示范区。各省级政府加强本行政区域内联防联控。鼓励省际交界地区市县积极开展联防联控，推动联合交叉执法。对省界两侧20公里内的涉气重点行业新建项目，以及对下风向空气质量影响大的新建高架源项目，有关省份要开展环评一致性会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七）完善重污染天气应对机制。建立健全省市县三级重污染天气应急预案体系，明确地方各级政府部门责任分工，规范重污染天气预警启动、响应、解除工作流程。优化重污染天气预警启动标准。完善重点行业企业绩效分级指标体系，规范企业绩效分级管理流程，鼓励开展绩效等级提升行动。结合排污许可制度，确保应急减排清单覆盖所有涉气企业。位于同一区域的城市要按照区域预警提示信息，依法依规同步采取应急响应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八、加强能力建设，严格执法监督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八）提升大气环境监测监控能力。完善城市空气质量监测网络，基本实现县城全覆盖，加强数据联网共享。完善沙尘调查监测体系，强化沙源区及沙尘路径区气象、空气质量等监测网络建设。重点区域城市加强机场、港口、铁路货场、物流园区、工业园区、产业集群、公路等大气环境监测。地级及以上城市开展非甲烷总烃监测，重点区域、成渝地区、长江中游城市群和其他VOCs排放量较高的城市开展光化学监测。重点区域和其他PM</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vertAlign w:val="subscript"/>
          <w:lang w:val="en-US" w:eastAsia="zh-CN" w:bidi="ar"/>
        </w:rPr>
        <w:t>2.5</w:t>
      </w: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未达标城市继续开展颗粒物组分监测。加强大气环境监测系列卫星、航空、地基等遥感能力建设。完善空气质量分级预报体系，加强区域预报中心建设。开展亚洲地区沙尘暴监测预报预警服务及技术研发。在沙尘路径区开展沙尘源谱监测分析，聚焦北京市进行沙尘源解析，评估各地沙尘量及固沙滞沙成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地级及以上城市生态环境部门定期更新大气环境重点排污单位名录，确保符合条件的企业全覆盖。推动企业安装工况监控、用电（用能）监控、视频监控等。加强移动源环境监管能力建设，国家和重点区域省份建设重型柴油车和非道路移动机械远程在线监控平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二十九）强化大气环境监管执法。拓展非现场监管手段应用。加强污染源自动监测设备运行监管，确保监测数据质量和稳定传输。提升各级生态环境部门执法监测能力，重点区域市县加快配备红外热成像仪、便携式氢火焰离子检测仪、手持式光离子化检测仪等装备。加强重点领域监督执法，对参与弄虚作假的排污单位和第三方机构、人员依法追究责任，涉嫌犯罪的依法移送司法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加强决策科技支撑。研究低浓度、大风量、中小型VOCs排放污染治理技术，提升VOCs关键功能性吸附催化材料的效果和稳定性。研究分类型工业炉窑清洁能源替代和末端治理路径，研发多污染物系统治理、低温脱硝、氨逃逸精准调控等技术和装备。推进致臭物质识别、恶臭污染评估和溯源技术方法研究。开展沙尘天气过程发生发展机理研究。到2025年，地级及以上城市完成排放清单编制，重点区域城市实现逐年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九、健全法律法规标准体系，完善环境经济政策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（三十一）推动法律法规制修订。研究启动修订大气污染防治法。研究修订清洁生产促进法，明确企业使用低（无）VOCs含量原辅材料的法律责任。研究制定移动源污染防治管理办法。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二）完善环境标准和技术规范体系。启动环境空气质量标准及相关技术规范修订研究工作。研究制定涂层剂、聚氨酯树脂、家用洗涤剂、杀虫气雾剂等VOCs含量限值强制性国家标准，建立低（无）VOCs含量产品标识制度；制定有机废气治理用活性炭技术要求；加快完善重点行业和领域大气污染物排放标准、能耗标准。研究制定下一阶段机动车排放标准，开展新阶段油品质量标准研究。研究制定生物质成型燃料产品质量、铁路内燃机车污染物排放等强制性国家标准。鼓励各地制定更加严格的环境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三）完善价格税费激励约束机制。落实峰谷分时电价政策，推进销售电价改革。强化价格政策与产业和环保政策的协同，综合考虑能耗、环保绩效水平，完善高耗能行业阶梯电价制度。对港口岸基供电实施支持性电价政策，推动降低岸电使用服务费。鼓励各地对新能源城市公共汽电车充电给予积极支持。研究完善清洁取暖“煤改电”及采暖用电销售侧峰谷电价制度；减少城镇燃气输配气层级，合理制定并严格监管输配气价格，建立健全终端销售价格与采购价格联动机制，落实好清洁取暖气价政策。完善铁路运价灵活调整机制，规范铁路货运杂费，研究推行“一口价”收费政策，广泛采用“量价互保”协议运输模式。完善环境保护税征收体系，加快把VOCs纳入征收范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四）积极发挥财政金融引导作用。有序扩大中央财政支持北方地区清洁取暖范围，对减污降碳协同项目予以倾斜。按照市场化方式加大传统产业及集群升级、工业污染治理、铁路专用线建设、新能源铁路装备推广等领域信贷融资支持力度，引导社会资本投入。按要求对银行业金融机构开展绿色金融评价，吸引长期机构投资者投资绿色金融产品。积极支持符合条件的企业、金融机构发行绿色债券，开展绿色债券信用评级，提高绿色债券的信息披露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w:t>
      </w:r>
      <w:r>
        <w:rPr>
          <w:rFonts w:hint="default" w:ascii="Times New Roman" w:hAnsi="Times New Roman" w:eastAsia="仿宋_GB2312" w:cs="Times New Roman"/>
          <w:b/>
          <w:bCs/>
          <w:i w:val="0"/>
          <w:iCs w:val="0"/>
          <w:caps w:val="0"/>
          <w:color w:val="000000"/>
          <w:spacing w:val="0"/>
          <w:kern w:val="0"/>
          <w:sz w:val="32"/>
          <w:szCs w:val="32"/>
          <w:bdr w:val="none" w:color="auto" w:sz="0" w:space="0"/>
          <w:shd w:val="clear" w:fill="FFFFFF"/>
          <w:lang w:val="en-US" w:eastAsia="zh-CN" w:bidi="ar"/>
        </w:rPr>
        <w:t>十、落实各方责任，开展全民行动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五）加强组织领导。坚持和加强党对大气污染防治工作的全面领导。地方各级政府对本行政区域内空气质量负总责，组织制定本地实施方案。生态环境部要加强统筹协调，做好调度评估。国务院各有关部门要协同配合落实任务分工，出台政策时统筹考虑空气质量持续改善需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六）严格监督考核。将空气质量改善目标完成情况作为深入打好污染防治攻坚战成效考核的重要内容。对超额完成目标的地区给予激励；对未完成目标的地区，从资金分配、项目审批、荣誉表彰、责任追究等方面实施惩戒；对问题突出的地区，视情组织开展专项督察。组织对重点区域开展监督帮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七）推进信息公开。加强环境空气质量信息公开力度。将排污单位和第三方治理、运维、检测机构弄虚作假行为纳入信用记录，定期依法向社会公布。重点排污单位及时公布自行监测和污染排放数据、污染治理措施、环保违法处罚及整改等信息。机动车和非道路移动机械生产、进口企业依法公开排放检验、污染控制技术等环保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八）加强宣传引导和国际合作。广泛宣传解读相关政策举措，大力普及大气环境与健康基本理念和知识，提升公民大气环境保护意识与健康素养。加强大气环境管理和防沙治沙国际合作。推广中国大气污染治理技术和经验、防沙治沙实用技术和模式，讲好中国生态环保故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560" w:lineRule="exact"/>
        <w:ind w:left="0" w:right="0" w:firstLine="0"/>
        <w:jc w:val="left"/>
        <w:textAlignment w:val="auto"/>
        <w:rPr>
          <w:rFonts w:hint="default" w:ascii="Times New Roman" w:hAnsi="Times New Roman" w:eastAsia="仿宋_GB2312" w:cs="Times New Roman"/>
          <w:i w:val="0"/>
          <w:iCs w:val="0"/>
          <w:caps w:val="0"/>
          <w:color w:val="000000"/>
          <w:spacing w:val="0"/>
          <w:sz w:val="32"/>
          <w:szCs w:val="32"/>
        </w:rPr>
      </w:pPr>
      <w:r>
        <w:rPr>
          <w:rFonts w:hint="default" w:ascii="Times New Roman" w:hAnsi="Times New Roman" w:eastAsia="仿宋_GB2312" w:cs="Times New Roman"/>
          <w:i w:val="0"/>
          <w:iCs w:val="0"/>
          <w:caps w:val="0"/>
          <w:color w:val="000000"/>
          <w:spacing w:val="0"/>
          <w:kern w:val="0"/>
          <w:sz w:val="32"/>
          <w:szCs w:val="32"/>
          <w:bdr w:val="none" w:color="auto" w:sz="0" w:space="0"/>
          <w:shd w:val="clear" w:fill="FFFFFF"/>
          <w:lang w:val="en-US" w:eastAsia="zh-CN" w:bidi="ar"/>
        </w:rPr>
        <w:t>　　（三十九）实施全民行动。动员社会各界广泛参与大气环境保护。政府带头开展绿色采购，全面使用低（无）VOCs含量产品。完善举报奖励机制，鼓励公众积极提供环境违法行为线索。中央企业带头引导绿色生产，推进治污减排。强化公民环境意识，推动形成简约适度、绿色低碳、文明健康的生活方式，共同改善空气质量。</w:t>
      </w:r>
    </w:p>
    <w:p>
      <w:pPr>
        <w:keepNext w:val="0"/>
        <w:keepLines w:val="0"/>
        <w:pageBreakBefore w:val="0"/>
        <w:kinsoku/>
        <w:wordWrap/>
        <w:overflowPunct/>
        <w:topLinePunct w:val="0"/>
        <w:autoSpaceDE/>
        <w:autoSpaceDN/>
        <w:bidi w:val="0"/>
        <w:adjustRightInd/>
        <w:snapToGrid/>
        <w:spacing w:line="560" w:lineRule="exact"/>
        <w:textAlignment w:val="auto"/>
        <w:rPr>
          <w:rFonts w:hint="default" w:ascii="Times New Roman" w:hAnsi="Times New Roman" w:eastAsia="仿宋_GB2312" w:cs="Times New Roman"/>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2MDdmYjI0NDAwYjUxMTk2YmZjNDA4YWVlNWMyODQifQ=="/>
  </w:docVars>
  <w:rsids>
    <w:rsidRoot w:val="00000000"/>
    <w:rsid w:val="048E5623"/>
    <w:rsid w:val="2D053ED4"/>
    <w:rsid w:val="73CA2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2023-12-11T02:36:51Z</dcterms:created>
  <dc:creator>jyj</dc:creator>
  <cp:lastModifiedBy>左岸之心</cp:lastModifiedBy>
  <dcterms:modified xsi:type="dcterms:W3CDTF">2023-12-11T02:39:54Z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F1A7823FD268444690F5DCF57DBCF3AE_12</vt:lpwstr>
  </property>
</Properties>
</file>