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0"/>
      </w:pPr>
    </w:p>
    <w:p>
      <w:pPr>
        <w:jc w:val="center"/>
      </w:pPr>
      <w:r>
        <w:rPr>
          <w:rFonts w:ascii="Arial" w:cs="Arial" w:eastAsia="Arial" w:hAnsi="Arial"/>
          <w:b/>
          <w:bCs/>
          <w:color w:val="64748B"/>
          <w:sz w:val="26"/>
          <w:szCs w:val="26"/>
        </w:rPr>
        <w:t xml:space="preserve">NEXORA GLOBAL CORPORATION</w:t>
      </w:r>
    </w:p>
    <w:p>
      <w:pPr>
        <w:jc w:val="center"/>
      </w:pPr>
      <w:r>
        <w:rPr>
          <w:rFonts w:ascii="Arial" w:cs="Arial" w:eastAsia="Arial" w:hAnsi="Arial"/>
          <w:color w:val="64748B"/>
          <w:sz w:val="20"/>
          <w:szCs w:val="20"/>
        </w:rPr>
        <w:t xml:space="preserve">Company-Wide</w:t>
      </w:r>
    </w:p>
    <w:p>
      <w:pPr>
        <w:spacing w:after="60" w:before="180"/>
      </w:pPr>
    </w:p>
    <w:p>
      <w:pPr>
        <w:pBdr>
          <w:top w:val="single" w:color="1B2A4A" w:sz="16"/>
          <w:bottom w:val="single" w:color="1B2A4A" w:sz="16"/>
        </w:pBdr>
        <w:spacing w:after="80" w:before="160"/>
        <w:jc w:val="center"/>
      </w:pPr>
      <w:r>
        <w:rPr>
          <w:rFonts w:ascii="Arial" w:cs="Arial" w:eastAsia="Arial" w:hAnsi="Arial"/>
          <w:b/>
          <w:bCs/>
          <w:color w:val="1B2A4A"/>
          <w:sz w:val="48"/>
          <w:szCs w:val="48"/>
        </w:rPr>
        <w:t xml:space="preserve">  Policy Library  </w:t>
      </w:r>
    </w:p>
    <w:p>
      <w:pPr>
        <w:jc w:val="center"/>
      </w:pPr>
      <w:r>
        <w:rPr>
          <w:rFonts w:ascii="Arial" w:cs="Arial" w:eastAsia="Arial" w:hAnsi="Arial"/>
          <w:b/>
          <w:bCs/>
          <w:color w:val="1B2A4A"/>
          <w:sz w:val="28"/>
          <w:szCs w:val="28"/>
        </w:rPr>
        <w:t xml:space="preserve">Nexora Global Corporation — Core Policies 2026</w:t>
      </w:r>
    </w:p>
    <w:p>
      <w:pPr>
        <w:spacing w:after="60" w:before="2200"/>
      </w:pPr>
    </w:p>
    <w:p>
      <w:pPr>
        <w:jc w:val="center"/>
      </w:pPr>
      <w:r>
        <w:rPr>
          <w:rFonts w:ascii="Arial" w:cs="Arial" w:eastAsia="Arial" w:hAnsi="Arial"/>
          <w:color w:val="AAAAAA"/>
          <w:sz w:val="18"/>
          <w:szCs w:val="18"/>
        </w:rPr>
        <w:t xml:space="preserve">Version 1.0   ·   2026   ·   Internal Use Only</w:t>
      </w:r>
    </w:p>
    <w:p>
      <w:r>
        <w:br w:type="page"/>
      </w:r>
    </w:p>
    <w:p>
      <w:pPr>
        <w:pStyle w:val="Heading1"/>
        <w:spacing w:after="100" w:before="400"/>
      </w:pPr>
      <w:r>
        <w:rPr>
          <w:rFonts w:ascii="Arial" w:cs="Arial" w:eastAsia="Arial" w:hAnsi="Arial"/>
          <w:b/>
          <w:bCs/>
          <w:color w:val="1B2A4A"/>
          <w:sz w:val="34"/>
          <w:szCs w:val="34"/>
        </w:rPr>
        <w:t xml:space="preserve">Data Protection &amp; Privacy Policy</w:t>
      </w:r>
    </w:p>
    <w:p>
      <w:pPr>
        <w:pBdr>
          <w:bottom w:val="single" w:color="0D7377" w:sz="10" w:space="1"/>
        </w:pBdr>
        <w:spacing w:after="160" w:before="60"/>
      </w:pPr>
    </w:p>
    <w:p>
      <w:pPr>
        <w:pStyle w:val="Heading2"/>
        <w:spacing w:after="80" w:before="280"/>
      </w:pPr>
      <w:r>
        <w:rPr>
          <w:rFonts w:ascii="Arial" w:cs="Arial" w:eastAsia="Arial" w:hAnsi="Arial"/>
          <w:b/>
          <w:bCs/>
          <w:color w:val="0D7377"/>
          <w:sz w:val="26"/>
          <w:szCs w:val="26"/>
        </w:rPr>
        <w:t xml:space="preserve">Scope</w:t>
      </w:r>
    </w:p>
    <w:p>
      <w:pPr>
        <w:spacing w:after="60" w:before="60"/>
      </w:pPr>
      <w:r>
        <w:rPr>
          <w:rFonts w:ascii="Arial" w:cs="Arial" w:eastAsia="Arial" w:hAnsi="Arial"/>
          <w:color w:val="222222"/>
          <w:sz w:val="22"/>
          <w:szCs w:val="22"/>
        </w:rPr>
        <w:t xml:space="preserve">This policy applies to all Nexora employees, contractors, and third parties who process personal data on behalf of Nexora. It covers data collected from employees, customers, suppliers, and job applicants.</w:t>
      </w:r>
    </w:p>
    <w:p>
      <w:pPr>
        <w:pStyle w:val="Heading2"/>
        <w:spacing w:after="80" w:before="280"/>
      </w:pPr>
      <w:r>
        <w:rPr>
          <w:rFonts w:ascii="Arial" w:cs="Arial" w:eastAsia="Arial" w:hAnsi="Arial"/>
          <w:b/>
          <w:bCs/>
          <w:color w:val="0D7377"/>
          <w:sz w:val="26"/>
          <w:szCs w:val="26"/>
        </w:rPr>
        <w:t xml:space="preserve">Key Principles</w:t>
      </w:r>
    </w:p>
    <w:p>
      <w:pPr>
        <w:pStyle w:val="ListParagraph"/>
        <w:numPr>
          <w:ilvl w:val="0"/>
          <w:numId w:val="2"/>
        </w:numPr>
        <w:spacing w:after="40" w:before="40"/>
      </w:pPr>
      <w:r>
        <w:rPr>
          <w:rFonts w:ascii="Arial" w:cs="Arial" w:eastAsia="Arial" w:hAnsi="Arial"/>
          <w:color w:val="333333"/>
          <w:sz w:val="22"/>
          <w:szCs w:val="22"/>
        </w:rPr>
        <w:t xml:space="preserve">Lawfulness, fairness and transparency — data is only processed with a valid legal basis</w:t>
      </w:r>
    </w:p>
    <w:p>
      <w:pPr>
        <w:pStyle w:val="ListParagraph"/>
        <w:numPr>
          <w:ilvl w:val="0"/>
          <w:numId w:val="2"/>
        </w:numPr>
        <w:spacing w:after="40" w:before="40"/>
      </w:pPr>
      <w:r>
        <w:rPr>
          <w:rFonts w:ascii="Arial" w:cs="Arial" w:eastAsia="Arial" w:hAnsi="Arial"/>
          <w:color w:val="333333"/>
          <w:sz w:val="22"/>
          <w:szCs w:val="22"/>
        </w:rPr>
        <w:t xml:space="preserve">Purpose limitation — data collected for one purpose is not used for another without fresh consent</w:t>
      </w:r>
    </w:p>
    <w:p>
      <w:pPr>
        <w:pStyle w:val="ListParagraph"/>
        <w:numPr>
          <w:ilvl w:val="0"/>
          <w:numId w:val="2"/>
        </w:numPr>
        <w:spacing w:after="40" w:before="40"/>
      </w:pPr>
      <w:r>
        <w:rPr>
          <w:rFonts w:ascii="Arial" w:cs="Arial" w:eastAsia="Arial" w:hAnsi="Arial"/>
          <w:color w:val="333333"/>
          <w:sz w:val="22"/>
          <w:szCs w:val="22"/>
        </w:rPr>
        <w:t xml:space="preserve">Data minimisation — only the minimum necessary data is collected and retained</w:t>
      </w:r>
    </w:p>
    <w:p>
      <w:pPr>
        <w:pStyle w:val="ListParagraph"/>
        <w:numPr>
          <w:ilvl w:val="0"/>
          <w:numId w:val="2"/>
        </w:numPr>
        <w:spacing w:after="40" w:before="40"/>
      </w:pPr>
      <w:r>
        <w:rPr>
          <w:rFonts w:ascii="Arial" w:cs="Arial" w:eastAsia="Arial" w:hAnsi="Arial"/>
          <w:color w:val="333333"/>
          <w:sz w:val="22"/>
          <w:szCs w:val="22"/>
        </w:rPr>
        <w:t xml:space="preserve">Accuracy — data is kept accurate and up to date; errors are corrected promptly</w:t>
      </w:r>
    </w:p>
    <w:p>
      <w:pPr>
        <w:pStyle w:val="ListParagraph"/>
        <w:numPr>
          <w:ilvl w:val="0"/>
          <w:numId w:val="2"/>
        </w:numPr>
        <w:spacing w:after="40" w:before="40"/>
      </w:pPr>
      <w:r>
        <w:rPr>
          <w:rFonts w:ascii="Arial" w:cs="Arial" w:eastAsia="Arial" w:hAnsi="Arial"/>
          <w:color w:val="333333"/>
          <w:sz w:val="22"/>
          <w:szCs w:val="22"/>
        </w:rPr>
        <w:t xml:space="preserve">Storage limitation — data is not kept longer than necessary (see Retention Schedule in Confluence)</w:t>
      </w:r>
    </w:p>
    <w:p>
      <w:pPr>
        <w:pStyle w:val="ListParagraph"/>
        <w:numPr>
          <w:ilvl w:val="0"/>
          <w:numId w:val="2"/>
        </w:numPr>
        <w:spacing w:after="40" w:before="40"/>
      </w:pPr>
      <w:r>
        <w:rPr>
          <w:rFonts w:ascii="Arial" w:cs="Arial" w:eastAsia="Arial" w:hAnsi="Arial"/>
          <w:color w:val="333333"/>
          <w:sz w:val="22"/>
          <w:szCs w:val="22"/>
        </w:rPr>
        <w:t xml:space="preserve">Integrity and confidentiality — data is protected against unauthorised access and accidental loss</w:t>
      </w:r>
    </w:p>
    <w:p>
      <w:pPr>
        <w:spacing w:after="60" w:before="60"/>
      </w:pPr>
    </w:p>
    <w:p>
      <w:pPr>
        <w:pStyle w:val="Heading2"/>
        <w:spacing w:after="80" w:before="280"/>
      </w:pPr>
      <w:r>
        <w:rPr>
          <w:rFonts w:ascii="Arial" w:cs="Arial" w:eastAsia="Arial" w:hAnsi="Arial"/>
          <w:b/>
          <w:bCs/>
          <w:color w:val="0D7377"/>
          <w:sz w:val="26"/>
          <w:szCs w:val="26"/>
        </w:rPr>
        <w:t xml:space="preserve">Employee Obligations</w:t>
      </w:r>
    </w:p>
    <w:p>
      <w:pPr>
        <w:pStyle w:val="ListParagraph"/>
        <w:numPr>
          <w:ilvl w:val="0"/>
          <w:numId w:val="3"/>
        </w:numPr>
        <w:spacing w:after="40" w:before="40"/>
      </w:pPr>
      <w:r>
        <w:rPr>
          <w:rFonts w:ascii="Arial" w:cs="Arial" w:eastAsia="Arial" w:hAnsi="Arial"/>
          <w:color w:val="333333"/>
          <w:sz w:val="22"/>
          <w:szCs w:val="22"/>
        </w:rPr>
        <w:t xml:space="preserve">Complete annual GDPR training in NexoraLearn (mandatory by 31 January each year)</w:t>
      </w:r>
    </w:p>
    <w:p>
      <w:pPr>
        <w:pStyle w:val="ListParagraph"/>
        <w:numPr>
          <w:ilvl w:val="0"/>
          <w:numId w:val="3"/>
        </w:numPr>
        <w:spacing w:after="40" w:before="40"/>
      </w:pPr>
      <w:r>
        <w:rPr>
          <w:rFonts w:ascii="Arial" w:cs="Arial" w:eastAsia="Arial" w:hAnsi="Arial"/>
          <w:color w:val="333333"/>
          <w:sz w:val="22"/>
          <w:szCs w:val="22"/>
        </w:rPr>
        <w:t xml:space="preserve">Report suspected data breaches to the Data Protection Officer within 24 hours</w:t>
      </w:r>
    </w:p>
    <w:p>
      <w:pPr>
        <w:pStyle w:val="ListParagraph"/>
        <w:numPr>
          <w:ilvl w:val="0"/>
          <w:numId w:val="3"/>
        </w:numPr>
        <w:spacing w:after="40" w:before="40"/>
      </w:pPr>
      <w:r>
        <w:rPr>
          <w:rFonts w:ascii="Arial" w:cs="Arial" w:eastAsia="Arial" w:hAnsi="Arial"/>
          <w:color w:val="333333"/>
          <w:sz w:val="22"/>
          <w:szCs w:val="22"/>
        </w:rPr>
        <w:t xml:space="preserve">Never share personal data with unauthorised third parties</w:t>
      </w:r>
    </w:p>
    <w:p>
      <w:pPr>
        <w:pStyle w:val="ListParagraph"/>
        <w:numPr>
          <w:ilvl w:val="0"/>
          <w:numId w:val="3"/>
        </w:numPr>
        <w:spacing w:after="40" w:before="40"/>
      </w:pPr>
      <w:r>
        <w:rPr>
          <w:rFonts w:ascii="Arial" w:cs="Arial" w:eastAsia="Arial" w:hAnsi="Arial"/>
          <w:color w:val="333333"/>
          <w:sz w:val="22"/>
          <w:szCs w:val="22"/>
        </w:rPr>
        <w:t xml:space="preserve">Use only approved tools for processing personal data (see Tool Inventory)</w:t>
      </w:r>
    </w:p>
    <w:p>
      <w:pPr>
        <w:pStyle w:val="ListParagraph"/>
        <w:numPr>
          <w:ilvl w:val="0"/>
          <w:numId w:val="3"/>
        </w:numPr>
        <w:spacing w:after="40" w:before="40"/>
      </w:pPr>
      <w:r>
        <w:rPr>
          <w:rFonts w:ascii="Arial" w:cs="Arial" w:eastAsia="Arial" w:hAnsi="Arial"/>
          <w:color w:val="333333"/>
          <w:sz w:val="22"/>
          <w:szCs w:val="22"/>
        </w:rPr>
        <w:t xml:space="preserve">Apply data minimisation — don't collect or retain more than you need</w:t>
      </w:r>
    </w:p>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A32D2D" w:sz="24"/>
              <w:bottom w:val="none" w:color="FFFFFF" w:sz="0"/>
              <w:right w:val="none" w:color="FFFFFF" w:sz="0"/>
            </w:tcBorders>
            <w:shd w:fill="FFF0F0"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FFF0F0" w:val="clear"/>
            <w:tcMar>
              <w:top w:type="dxa" w:w="120"/>
              <w:left w:type="dxa" w:w="120"/>
              <w:bottom w:type="dxa" w:w="120"/>
              <w:right w:type="dxa" w:w="200"/>
            </w:tcMar>
          </w:tcPr>
          <w:p>
            <w:r>
              <w:rPr>
                <w:rFonts w:ascii="Arial" w:cs="Arial" w:eastAsia="Arial" w:hAnsi="Arial"/>
                <w:b/>
                <w:bCs/>
                <w:color w:val="A32D2D"/>
                <w:sz w:val="20"/>
                <w:szCs w:val="20"/>
              </w:rPr>
              <w:t xml:space="preserve">DATA BREACH REPORTING</w:t>
            </w:r>
          </w:p>
          <w:p>
            <w:pPr>
              <w:spacing w:before="40"/>
            </w:pPr>
            <w:r>
              <w:rPr>
                <w:rFonts w:ascii="Arial" w:cs="Arial" w:eastAsia="Arial" w:hAnsi="Arial"/>
                <w:color w:val="444444"/>
                <w:sz w:val="20"/>
                <w:szCs w:val="20"/>
              </w:rPr>
              <w:t xml:space="preserve">If you discover or suspect a data breach, email dpo@nexoraglobal.com immediately and call the IT Security Hotline on ext. 5001. Do not attempt to investigate or contain the breach yourself.</w:t>
            </w:r>
          </w:p>
        </w:tc>
      </w:tr>
    </w:tbl>
    <w:p>
      <w:r>
        <w:br w:type="page"/>
      </w:r>
    </w:p>
    <w:p>
      <w:pPr>
        <w:pStyle w:val="Heading1"/>
        <w:spacing w:after="100" w:before="400"/>
      </w:pPr>
      <w:r>
        <w:rPr>
          <w:rFonts w:ascii="Arial" w:cs="Arial" w:eastAsia="Arial" w:hAnsi="Arial"/>
          <w:b/>
          <w:bCs/>
          <w:color w:val="1B2A4A"/>
          <w:sz w:val="34"/>
          <w:szCs w:val="34"/>
        </w:rPr>
        <w:t xml:space="preserve">Information Security Policy</w:t>
      </w:r>
    </w:p>
    <w:p>
      <w:pPr>
        <w:pBdr>
          <w:bottom w:val="single" w:color="0D7377" w:sz="10" w:space="1"/>
        </w:pBdr>
        <w:spacing w:after="160" w:before="60"/>
      </w:pPr>
    </w:p>
    <w:p>
      <w:pPr>
        <w:pStyle w:val="Heading2"/>
        <w:spacing w:after="80" w:before="280"/>
      </w:pPr>
      <w:r>
        <w:rPr>
          <w:rFonts w:ascii="Arial" w:cs="Arial" w:eastAsia="Arial" w:hAnsi="Arial"/>
          <w:b/>
          <w:bCs/>
          <w:color w:val="0D7377"/>
          <w:sz w:val="26"/>
          <w:szCs w:val="26"/>
        </w:rPr>
        <w:t xml:space="preserve">Acceptable Use</w:t>
      </w:r>
    </w:p>
    <w:p>
      <w:pPr>
        <w:pStyle w:val="ListParagraph"/>
        <w:numPr>
          <w:ilvl w:val="0"/>
          <w:numId w:val="2"/>
        </w:numPr>
        <w:spacing w:after="40" w:before="40"/>
      </w:pPr>
      <w:r>
        <w:rPr>
          <w:rFonts w:ascii="Arial" w:cs="Arial" w:eastAsia="Arial" w:hAnsi="Arial"/>
          <w:color w:val="333333"/>
          <w:sz w:val="22"/>
          <w:szCs w:val="22"/>
        </w:rPr>
        <w:t xml:space="preserve">Nexora devices are for business use; reasonable personal use is permitted</w:t>
      </w:r>
    </w:p>
    <w:p>
      <w:pPr>
        <w:pStyle w:val="ListParagraph"/>
        <w:numPr>
          <w:ilvl w:val="0"/>
          <w:numId w:val="2"/>
        </w:numPr>
        <w:spacing w:after="40" w:before="40"/>
      </w:pPr>
      <w:r>
        <w:rPr>
          <w:rFonts w:ascii="Arial" w:cs="Arial" w:eastAsia="Arial" w:hAnsi="Arial"/>
          <w:color w:val="333333"/>
          <w:sz w:val="22"/>
          <w:szCs w:val="22"/>
        </w:rPr>
        <w:t xml:space="preserve">Never install unapproved software — use the IT Service Catalogue in ServiceNow</w:t>
      </w:r>
    </w:p>
    <w:p>
      <w:pPr>
        <w:pStyle w:val="ListParagraph"/>
        <w:numPr>
          <w:ilvl w:val="0"/>
          <w:numId w:val="2"/>
        </w:numPr>
        <w:spacing w:after="40" w:before="40"/>
      </w:pPr>
      <w:r>
        <w:rPr>
          <w:rFonts w:ascii="Arial" w:cs="Arial" w:eastAsia="Arial" w:hAnsi="Arial"/>
          <w:color w:val="333333"/>
          <w:sz w:val="22"/>
          <w:szCs w:val="22"/>
        </w:rPr>
        <w:t xml:space="preserve">Lock your screen when leaving your workstation unattended (Windows: Win+L, Mac: Ctrl+Cmd+Q)</w:t>
      </w:r>
    </w:p>
    <w:p>
      <w:pPr>
        <w:pStyle w:val="ListParagraph"/>
        <w:numPr>
          <w:ilvl w:val="0"/>
          <w:numId w:val="2"/>
        </w:numPr>
        <w:spacing w:after="40" w:before="40"/>
      </w:pPr>
      <w:r>
        <w:rPr>
          <w:rFonts w:ascii="Arial" w:cs="Arial" w:eastAsia="Arial" w:hAnsi="Arial"/>
          <w:color w:val="333333"/>
          <w:sz w:val="22"/>
          <w:szCs w:val="22"/>
        </w:rPr>
        <w:t xml:space="preserve">Never share your credentials with anyone, including colleagues or IT support</w:t>
      </w:r>
    </w:p>
    <w:p>
      <w:pPr>
        <w:pStyle w:val="ListParagraph"/>
        <w:numPr>
          <w:ilvl w:val="0"/>
          <w:numId w:val="2"/>
        </w:numPr>
        <w:spacing w:after="40" w:before="40"/>
      </w:pPr>
      <w:r>
        <w:rPr>
          <w:rFonts w:ascii="Arial" w:cs="Arial" w:eastAsia="Arial" w:hAnsi="Arial"/>
          <w:color w:val="333333"/>
          <w:sz w:val="22"/>
          <w:szCs w:val="22"/>
        </w:rPr>
        <w:t xml:space="preserve">Use the Nexora VPN when accessing company systems remotely</w:t>
      </w:r>
    </w:p>
    <w:p>
      <w:pPr>
        <w:spacing w:after="60" w:before="60"/>
      </w:pPr>
    </w:p>
    <w:p>
      <w:pPr>
        <w:pStyle w:val="Heading2"/>
        <w:spacing w:after="80" w:before="280"/>
      </w:pPr>
      <w:r>
        <w:rPr>
          <w:rFonts w:ascii="Arial" w:cs="Arial" w:eastAsia="Arial" w:hAnsi="Arial"/>
          <w:b/>
          <w:bCs/>
          <w:color w:val="0D7377"/>
          <w:sz w:val="26"/>
          <w:szCs w:val="26"/>
        </w:rPr>
        <w:t xml:space="preserve">Password &amp; Access Standards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800"/>
        <w:gridCol w:w="5960"/>
      </w:tblGrid>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Minimum password length</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16 characters</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Complexity</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Upper, lower, number, symbol — no dictionary words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MFA</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Mandatory for all Nexora systems — use Microsoft Authenticator</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Password manager</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1Password (provisioned via IT) — use for all work accounts</w:t>
            </w:r>
          </w:p>
        </w:tc>
      </w:tr>
      <w:tr>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Credential sharing</w:t>
            </w:r>
          </w:p>
        </w:tc>
        <w:tc>
          <w:tcPr>
            <w:tcW w:type="dxa" w:w="59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Never permitted — request shared account access via ServiceNow</w:t>
            </w:r>
          </w:p>
        </w:tc>
      </w:tr>
      <w:tr>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Password rotation</w:t>
            </w:r>
          </w:p>
        </w:tc>
        <w:tc>
          <w:tcPr>
            <w:tcW w:type="dxa" w:w="59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Enforced every 180 days for privileged accounts</w:t>
            </w:r>
          </w:p>
        </w:tc>
      </w:tr>
    </w:tbl>
    <w:p>
      <w:pPr>
        <w:spacing w:after="60" w:before="60"/>
      </w:pPr>
    </w:p>
    <w:p>
      <w:pPr>
        <w:pStyle w:val="Heading2"/>
        <w:spacing w:after="80" w:before="280"/>
      </w:pPr>
      <w:r>
        <w:rPr>
          <w:rFonts w:ascii="Arial" w:cs="Arial" w:eastAsia="Arial" w:hAnsi="Arial"/>
          <w:b/>
          <w:bCs/>
          <w:color w:val="0D7377"/>
          <w:sz w:val="26"/>
          <w:szCs w:val="26"/>
        </w:rPr>
        <w:t xml:space="preserve">Data Classification</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3560"/>
      </w:tblGrid>
      <w:tr>
        <w:tc>
          <w:tcPr>
            <w:tcW w:type="dxa" w:w="18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Classification</w:t>
            </w:r>
          </w:p>
        </w:tc>
        <w:tc>
          <w:tcPr>
            <w:tcW w:type="dxa" w:w="34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Definition</w:t>
            </w:r>
          </w:p>
        </w:tc>
        <w:tc>
          <w:tcPr>
            <w:tcW w:type="dxa" w:w="356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Handling</w:t>
            </w:r>
          </w:p>
        </w:tc>
      </w:tr>
      <w:tr>
        <w:tc>
          <w:tcPr>
            <w:tcW w:type="dxa" w:w="1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Public</w:t>
            </w:r>
          </w:p>
        </w:tc>
        <w:tc>
          <w:tcPr>
            <w:tcW w:type="dxa" w:w="3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Information approved for public release</w:t>
            </w:r>
          </w:p>
        </w:tc>
        <w:tc>
          <w:tcPr>
            <w:tcW w:type="dxa" w:w="3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No restrictions — can be shared externally</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Internal</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General company information not for public release</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Share internally; don't post publicly</w:t>
            </w:r>
          </w:p>
        </w:tc>
      </w:tr>
      <w:tr>
        <w:tc>
          <w:tcPr>
            <w:tcW w:type="dxa" w:w="1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Confidential</w:t>
            </w:r>
          </w:p>
        </w:tc>
        <w:tc>
          <w:tcPr>
            <w:tcW w:type="dxa" w:w="34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Sensitive business, financial, or customer data</w:t>
            </w:r>
          </w:p>
        </w:tc>
        <w:tc>
          <w:tcPr>
            <w:tcW w:type="dxa" w:w="35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Need-to-know; encrypted at rest and in transit</w:t>
            </w:r>
          </w:p>
        </w:tc>
      </w:tr>
      <w:tr>
        <w:tc>
          <w:tcPr>
            <w:tcW w:type="dxa" w:w="1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Restricted</w:t>
            </w:r>
          </w:p>
        </w:tc>
        <w:tc>
          <w:tcPr>
            <w:tcW w:type="dxa" w:w="34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Highest sensitivity — HR data, legal, M&amp;A, credentials</w:t>
            </w:r>
          </w:p>
        </w:tc>
        <w:tc>
          <w:tcPr>
            <w:tcW w:type="dxa" w:w="35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Strict access control; encrypted; logged access</w:t>
            </w:r>
          </w:p>
        </w:tc>
      </w:tr>
    </w:tbl>
    <w:p>
      <w:r>
        <w:br w:type="page"/>
      </w:r>
    </w:p>
    <w:p>
      <w:pPr>
        <w:pStyle w:val="Heading1"/>
        <w:spacing w:after="100" w:before="400"/>
      </w:pPr>
      <w:r>
        <w:rPr>
          <w:rFonts w:ascii="Arial" w:cs="Arial" w:eastAsia="Arial" w:hAnsi="Arial"/>
          <w:b/>
          <w:bCs/>
          <w:color w:val="1B2A4A"/>
          <w:sz w:val="34"/>
          <w:szCs w:val="34"/>
        </w:rPr>
        <w:t xml:space="preserve">Expenses &amp; Travel Policy</w:t>
      </w:r>
    </w:p>
    <w:p>
      <w:pPr>
        <w:pBdr>
          <w:bottom w:val="single" w:color="0D7377" w:sz="10" w:space="1"/>
        </w:pBdr>
        <w:spacing w:after="160" w:before="60"/>
      </w:pPr>
    </w:p>
    <w:p>
      <w:pPr>
        <w:pStyle w:val="Heading2"/>
        <w:spacing w:after="80" w:before="280"/>
      </w:pPr>
      <w:r>
        <w:rPr>
          <w:rFonts w:ascii="Arial" w:cs="Arial" w:eastAsia="Arial" w:hAnsi="Arial"/>
          <w:b/>
          <w:bCs/>
          <w:color w:val="0D7377"/>
          <w:sz w:val="26"/>
          <w:szCs w:val="26"/>
        </w:rPr>
        <w:t xml:space="preserve">General Principles</w:t>
      </w:r>
    </w:p>
    <w:p>
      <w:pPr>
        <w:pStyle w:val="ListParagraph"/>
        <w:numPr>
          <w:ilvl w:val="0"/>
          <w:numId w:val="2"/>
        </w:numPr>
        <w:spacing w:after="40" w:before="40"/>
      </w:pPr>
      <w:r>
        <w:rPr>
          <w:rFonts w:ascii="Arial" w:cs="Arial" w:eastAsia="Arial" w:hAnsi="Arial"/>
          <w:color w:val="333333"/>
          <w:sz w:val="22"/>
          <w:szCs w:val="22"/>
        </w:rPr>
        <w:t xml:space="preserve">All business expenses must be pre-approved by your direct manager</w:t>
      </w:r>
    </w:p>
    <w:p>
      <w:pPr>
        <w:pStyle w:val="ListParagraph"/>
        <w:numPr>
          <w:ilvl w:val="0"/>
          <w:numId w:val="2"/>
        </w:numPr>
        <w:spacing w:after="40" w:before="40"/>
      </w:pPr>
      <w:r>
        <w:rPr>
          <w:rFonts w:ascii="Arial" w:cs="Arial" w:eastAsia="Arial" w:hAnsi="Arial"/>
          <w:color w:val="333333"/>
          <w:sz w:val="22"/>
          <w:szCs w:val="22"/>
        </w:rPr>
        <w:t xml:space="preserve">Receipts are required for all expenses above USD 25</w:t>
      </w:r>
    </w:p>
    <w:p>
      <w:pPr>
        <w:pStyle w:val="ListParagraph"/>
        <w:numPr>
          <w:ilvl w:val="0"/>
          <w:numId w:val="2"/>
        </w:numPr>
        <w:spacing w:after="40" w:before="40"/>
      </w:pPr>
      <w:r>
        <w:rPr>
          <w:rFonts w:ascii="Arial" w:cs="Arial" w:eastAsia="Arial" w:hAnsi="Arial"/>
          <w:color w:val="333333"/>
          <w:sz w:val="22"/>
          <w:szCs w:val="22"/>
        </w:rPr>
        <w:t xml:space="preserve">Expenses must be submitted in Concur within 30 days of the purchase</w:t>
      </w:r>
    </w:p>
    <w:p>
      <w:pPr>
        <w:pStyle w:val="ListParagraph"/>
        <w:numPr>
          <w:ilvl w:val="0"/>
          <w:numId w:val="2"/>
        </w:numPr>
        <w:spacing w:after="40" w:before="40"/>
      </w:pPr>
      <w:r>
        <w:rPr>
          <w:rFonts w:ascii="Arial" w:cs="Arial" w:eastAsia="Arial" w:hAnsi="Arial"/>
          <w:color w:val="333333"/>
          <w:sz w:val="22"/>
          <w:szCs w:val="22"/>
        </w:rPr>
        <w:t xml:space="preserve">Personal credit cards should be used and reimbursed — Nexora corporate cards available for Band 5+</w:t>
      </w:r>
    </w:p>
    <w:p>
      <w:pPr>
        <w:spacing w:after="60" w:before="60"/>
      </w:pPr>
    </w:p>
    <w:p>
      <w:pPr>
        <w:pStyle w:val="Heading2"/>
        <w:spacing w:after="80" w:before="280"/>
      </w:pPr>
      <w:r>
        <w:rPr>
          <w:rFonts w:ascii="Arial" w:cs="Arial" w:eastAsia="Arial" w:hAnsi="Arial"/>
          <w:b/>
          <w:bCs/>
          <w:color w:val="0D7377"/>
          <w:sz w:val="26"/>
          <w:szCs w:val="26"/>
        </w:rPr>
        <w:t xml:space="preserve">Expense Limits by Category</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000"/>
      </w:tblGrid>
      <w:tr>
        <w:tc>
          <w:tcPr>
            <w:tcW w:type="dxa" w:w="20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Category</w:t>
            </w:r>
          </w:p>
        </w:tc>
        <w:tc>
          <w:tcPr>
            <w:tcW w:type="dxa" w:w="28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Limit</w:t>
            </w:r>
          </w:p>
        </w:tc>
        <w:tc>
          <w:tcPr>
            <w:tcW w:type="dxa" w:w="40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Meals (client entertainment)</w:t>
            </w:r>
          </w:p>
        </w:tc>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USD 100 per person</w:t>
            </w:r>
          </w:p>
        </w:tc>
        <w:tc>
          <w:tcPr>
            <w:tcW w:type="dxa" w:w="4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Requires client names in Concur notes</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Meals (team working lunch)</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USD 30 per person</w:t>
            </w:r>
          </w:p>
        </w:tc>
        <w:tc>
          <w:tcPr>
            <w:tcW w:type="dxa" w:w="4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Manager approval; note team members</w:t>
            </w:r>
          </w:p>
        </w:tc>
      </w:tr>
      <w:tr>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Hotels</w:t>
            </w:r>
          </w:p>
        </w:tc>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USD 250/night (Tier 1 cities), USD 175/night (others)</w:t>
            </w:r>
          </w:p>
        </w:tc>
        <w:tc>
          <w:tcPr>
            <w:tcW w:type="dxa" w:w="4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Book via Concur travel portal</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Flights</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Economy class (&lt; 6h), Business (≥ 6h, Band 6+)</w:t>
            </w:r>
          </w:p>
        </w:tc>
        <w:tc>
          <w:tcPr>
            <w:tcW w:type="dxa" w:w="4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Book 14+ days in advance where possible</w:t>
            </w:r>
          </w:p>
        </w:tc>
      </w:tr>
      <w:tr>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Ground transport</w:t>
            </w:r>
          </w:p>
        </w:tc>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Actual cost</w:t>
            </w:r>
          </w:p>
        </w:tc>
        <w:tc>
          <w:tcPr>
            <w:tcW w:type="dxa" w:w="4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Uber/taxi; rental cars require pre-approval</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Home office equipment</w:t>
            </w:r>
          </w:p>
        </w:tc>
        <w:tc>
          <w:tcPr>
            <w:tcW w:type="dxa" w:w="28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USD 500 one-time stipend</w:t>
            </w:r>
          </w:p>
        </w:tc>
        <w:tc>
          <w:tcPr>
            <w:tcW w:type="dxa" w:w="4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Claimed via Workday Expenses, not Concur</w:t>
            </w:r>
          </w:p>
        </w:tc>
      </w:tr>
      <w:tr>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Learning &amp; conferences</w:t>
            </w:r>
          </w:p>
        </w:tc>
        <w:tc>
          <w:tcPr>
            <w:tcW w:type="dxa" w:w="28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USD 2,000/year</w:t>
            </w:r>
          </w:p>
        </w:tc>
        <w:tc>
          <w:tcPr>
            <w:tcW w:type="dxa" w:w="4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Requires manager + HR BP approval in Workday</w:t>
            </w:r>
          </w:p>
        </w:tc>
      </w:tr>
    </w:tbl>
    <w:p>
      <w:pPr>
        <w:spacing w:after="60" w:before="60"/>
      </w:pP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320"/>
        <w:gridCol w:w="8440"/>
      </w:tblGrid>
      <w:tr>
        <w:tc>
          <w:tcPr>
            <w:tcW w:type="dxa" w:w="320"/>
            <w:tcBorders>
              <w:top w:val="none" w:color="FFFFFF" w:sz="0"/>
              <w:left w:val="single" w:color="BA7517" w:sz="24"/>
              <w:bottom w:val="none" w:color="FFFFFF" w:sz="0"/>
              <w:right w:val="none" w:color="FFFFFF" w:sz="0"/>
            </w:tcBorders>
            <w:shd w:fill="FAEEDA" w:val="clear"/>
            <w:tcMar>
              <w:top w:type="dxa" w:w="120"/>
              <w:left w:type="dxa" w:w="160"/>
              <w:bottom w:type="dxa" w:w="120"/>
              <w:right w:type="dxa" w:w="60"/>
            </w:tcMar>
          </w:tcPr>
          <w:p/>
        </w:tc>
        <w:tc>
          <w:tcPr>
            <w:tcW w:type="dxa" w:w="8440"/>
            <w:tcBorders>
              <w:top w:val="none" w:color="FFFFFF" w:sz="0"/>
              <w:left w:val="none" w:color="FFFFFF" w:sz="0"/>
              <w:bottom w:val="none" w:color="FFFFFF" w:sz="0"/>
              <w:right w:val="none" w:color="FFFFFF" w:sz="0"/>
            </w:tcBorders>
            <w:shd w:fill="FAEEDA" w:val="clear"/>
            <w:tcMar>
              <w:top w:type="dxa" w:w="120"/>
              <w:left w:type="dxa" w:w="120"/>
              <w:bottom w:type="dxa" w:w="120"/>
              <w:right w:type="dxa" w:w="200"/>
            </w:tcMar>
          </w:tcPr>
          <w:p>
            <w:r>
              <w:rPr>
                <w:rFonts w:ascii="Arial" w:cs="Arial" w:eastAsia="Arial" w:hAnsi="Arial"/>
                <w:b/>
                <w:bCs/>
                <w:color w:val="BA7517"/>
                <w:sz w:val="20"/>
                <w:szCs w:val="20"/>
              </w:rPr>
              <w:t xml:space="preserve">ANTI-BRIBERY</w:t>
            </w:r>
          </w:p>
          <w:p>
            <w:pPr>
              <w:spacing w:before="40"/>
            </w:pPr>
            <w:r>
              <w:rPr>
                <w:rFonts w:ascii="Arial" w:cs="Arial" w:eastAsia="Arial" w:hAnsi="Arial"/>
                <w:color w:val="444444"/>
                <w:sz w:val="20"/>
                <w:szCs w:val="20"/>
              </w:rPr>
              <w:t xml:space="preserve">Never claim expenses for gifts to clients or officials above USD 50 in value. Any gift above this threshold must be declared in the Ethics Portal in Workday regardless of who pays.</w:t>
            </w:r>
          </w:p>
        </w:tc>
      </w:tr>
    </w:tbl>
    <w:p>
      <w:r>
        <w:br w:type="page"/>
      </w:r>
    </w:p>
    <w:p>
      <w:pPr>
        <w:pStyle w:val="Heading1"/>
        <w:spacing w:after="100" w:before="400"/>
      </w:pPr>
      <w:r>
        <w:rPr>
          <w:rFonts w:ascii="Arial" w:cs="Arial" w:eastAsia="Arial" w:hAnsi="Arial"/>
          <w:b/>
          <w:bCs/>
          <w:color w:val="1B2A4A"/>
          <w:sz w:val="34"/>
          <w:szCs w:val="34"/>
        </w:rPr>
        <w:t xml:space="preserve">Code of Conduct Summary</w:t>
      </w:r>
    </w:p>
    <w:p>
      <w:pPr>
        <w:pBdr>
          <w:bottom w:val="single" w:color="0D7377" w:sz="10" w:space="1"/>
        </w:pBdr>
        <w:spacing w:after="160" w:before="60"/>
      </w:pPr>
    </w:p>
    <w:p>
      <w:pPr>
        <w:spacing w:after="60" w:before="60"/>
      </w:pPr>
      <w:r>
        <w:rPr>
          <w:rFonts w:ascii="Arial" w:cs="Arial" w:eastAsia="Arial" w:hAnsi="Arial"/>
          <w:color w:val="222222"/>
          <w:sz w:val="22"/>
          <w:szCs w:val="22"/>
        </w:rPr>
        <w:t xml:space="preserve">The full Code of Conduct is available in NexoraConnect. All employees must read and attest annually. This section summarises the key obligations.</w:t>
      </w:r>
    </w:p>
    <w:p>
      <w:pPr>
        <w:spacing w:after="60" w:before="60"/>
      </w:pPr>
    </w:p>
    <w:p>
      <w:pPr>
        <w:pStyle w:val="Heading2"/>
        <w:spacing w:after="80" w:before="280"/>
      </w:pPr>
      <w:r>
        <w:rPr>
          <w:rFonts w:ascii="Arial" w:cs="Arial" w:eastAsia="Arial" w:hAnsi="Arial"/>
          <w:b/>
          <w:bCs/>
          <w:color w:val="0D7377"/>
          <w:sz w:val="26"/>
          <w:szCs w:val="26"/>
        </w:rPr>
        <w:t xml:space="preserve">Core Obligations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160"/>
      </w:tblGrid>
      <w:tr>
        <w:tc>
          <w:tcPr>
            <w:tcW w:type="dxa" w:w="20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Principle</w:t>
            </w:r>
          </w:p>
        </w:tc>
        <w:tc>
          <w:tcPr>
            <w:tcW w:type="dxa" w:w="360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What it means</w:t>
            </w:r>
          </w:p>
        </w:tc>
        <w:tc>
          <w:tcPr>
            <w:tcW w:type="dxa" w:w="3160"/>
            <w:tcBorders>
              <w:top w:val="single" w:color="0D7377" w:sz="4"/>
              <w:left w:val="single" w:color="0D7377" w:sz="4"/>
              <w:bottom w:val="single" w:color="0D7377" w:sz="4"/>
              <w:right w:val="single" w:color="0D7377" w:sz="4"/>
            </w:tcBorders>
            <w:shd w:fill="0D7377" w:val="clear"/>
            <w:tcMar>
              <w:top w:type="dxa" w:w="80"/>
              <w:left w:type="dxa" w:w="140"/>
              <w:bottom w:type="dxa" w:w="80"/>
              <w:right w:type="dxa" w:w="140"/>
            </w:tcMar>
          </w:tcPr>
          <w:p>
            <w:r>
              <w:rPr>
                <w:rFonts w:ascii="Arial" w:cs="Arial" w:eastAsia="Arial" w:hAnsi="Arial"/>
                <w:b/>
                <w:bCs/>
                <w:color w:val="FFFFFF"/>
                <w:sz w:val="20"/>
                <w:szCs w:val="20"/>
              </w:rPr>
              <w:t xml:space="preserve">Where to get help</w:t>
            </w:r>
          </w:p>
        </w:tc>
      </w:tr>
      <w:tr>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Integrity</w:t>
            </w:r>
          </w:p>
        </w:tc>
        <w:tc>
          <w:tcPr>
            <w:tcW w:type="dxa" w:w="36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Act honestly in all dealings; never misrepresent facts or conceal information</w:t>
            </w:r>
          </w:p>
        </w:tc>
        <w:tc>
          <w:tcPr>
            <w:tcW w:type="dxa" w:w="3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Your manager or Ethics Hotline</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Respect</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Treat all colleagues, customers and partners with dignity; zero tolerance for harassment</w:t>
            </w:r>
          </w:p>
        </w:tc>
        <w:tc>
          <w:tcPr>
            <w:tcW w:type="dxa" w:w="3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HR Business Partner</w:t>
            </w:r>
          </w:p>
        </w:tc>
      </w:tr>
      <w:tr>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Confidentiality</w:t>
            </w:r>
          </w:p>
        </w:tc>
        <w:tc>
          <w:tcPr>
            <w:tcW w:type="dxa" w:w="36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Protect Nexora's confidential information and that of our clients and partners</w:t>
            </w:r>
          </w:p>
        </w:tc>
        <w:tc>
          <w:tcPr>
            <w:tcW w:type="dxa" w:w="3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Legal &amp; Compliance</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Conflict of Interest</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Disclose any personal interest that may conflict with Nexora's interests</w:t>
            </w:r>
          </w:p>
        </w:tc>
        <w:tc>
          <w:tcPr>
            <w:tcW w:type="dxa" w:w="3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Ethics Portal in Workday</w:t>
            </w:r>
          </w:p>
        </w:tc>
      </w:tr>
      <w:tr>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Anti-Corruption</w:t>
            </w:r>
          </w:p>
        </w:tc>
        <w:tc>
          <w:tcPr>
            <w:tcW w:type="dxa" w:w="36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Never offer or accept bribes, kickbacks or improper gifts</w:t>
            </w:r>
          </w:p>
        </w:tc>
        <w:tc>
          <w:tcPr>
            <w:tcW w:type="dxa" w:w="3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Legal or Ethics Hotline</w:t>
            </w:r>
          </w:p>
        </w:tc>
      </w:tr>
      <w:tr>
        <w:tc>
          <w:tcPr>
            <w:tcW w:type="dxa" w:w="20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b/>
                <w:bCs/>
                <w:color w:val="1B2A4A"/>
                <w:sz w:val="20"/>
                <w:szCs w:val="20"/>
              </w:rPr>
              <w:t xml:space="preserve">Fair Competition</w:t>
            </w:r>
          </w:p>
        </w:tc>
        <w:tc>
          <w:tcPr>
            <w:tcW w:type="dxa" w:w="360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Never discuss pricing, strategy or competitive plans with competitors</w:t>
            </w:r>
          </w:p>
        </w:tc>
        <w:tc>
          <w:tcPr>
            <w:tcW w:type="dxa" w:w="3160"/>
            <w:tcBorders>
              <w:top w:val="single" w:color="DDDDDD" w:sz="4"/>
              <w:left w:val="single" w:color="DDDDDD" w:sz="4"/>
              <w:bottom w:val="single" w:color="DDDDDD" w:sz="4"/>
              <w:right w:val="single" w:color="DDDDDD" w:sz="4"/>
            </w:tcBorders>
            <w:shd w:fill="FFFFFF" w:val="clear"/>
            <w:tcMar>
              <w:top w:type="dxa" w:w="80"/>
              <w:left w:type="dxa" w:w="140"/>
              <w:bottom w:type="dxa" w:w="80"/>
              <w:right w:type="dxa" w:w="140"/>
            </w:tcMar>
          </w:tcPr>
          <w:p>
            <w:r>
              <w:rPr>
                <w:rFonts w:ascii="Arial" w:cs="Arial" w:eastAsia="Arial" w:hAnsi="Arial"/>
                <w:color w:val="333333"/>
                <w:sz w:val="20"/>
                <w:szCs w:val="20"/>
              </w:rPr>
              <w:t xml:space="preserve">Legal &amp; Compliance</w:t>
            </w:r>
          </w:p>
        </w:tc>
      </w:tr>
      <w:tr>
        <w:tc>
          <w:tcPr>
            <w:tcW w:type="dxa" w:w="20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b/>
                <w:bCs/>
                <w:color w:val="1B2A4A"/>
                <w:sz w:val="20"/>
                <w:szCs w:val="20"/>
              </w:rPr>
              <w:t xml:space="preserve">Sustainability</w:t>
            </w:r>
          </w:p>
        </w:tc>
        <w:tc>
          <w:tcPr>
            <w:tcW w:type="dxa" w:w="360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Act in line with Nexora's 2030 Net-Zero commitment in all decisions</w:t>
            </w:r>
          </w:p>
        </w:tc>
        <w:tc>
          <w:tcPr>
            <w:tcW w:type="dxa" w:w="3160"/>
            <w:tcBorders>
              <w:top w:val="single" w:color="DDDDDD" w:sz="4"/>
              <w:left w:val="single" w:color="DDDDDD" w:sz="4"/>
              <w:bottom w:val="single" w:color="DDDDDD" w:sz="4"/>
              <w:right w:val="single" w:color="DDDDDD" w:sz="4"/>
            </w:tcBorders>
            <w:shd w:fill="F4F6FA" w:val="clear"/>
            <w:tcMar>
              <w:top w:type="dxa" w:w="80"/>
              <w:left w:type="dxa" w:w="140"/>
              <w:bottom w:type="dxa" w:w="80"/>
              <w:right w:type="dxa" w:w="140"/>
            </w:tcMar>
          </w:tcPr>
          <w:p>
            <w:r>
              <w:rPr>
                <w:rFonts w:ascii="Arial" w:cs="Arial" w:eastAsia="Arial" w:hAnsi="Arial"/>
                <w:color w:val="333333"/>
                <w:sz w:val="20"/>
                <w:szCs w:val="20"/>
              </w:rPr>
              <w:t xml:space="preserve">Sustainability team</w:t>
            </w:r>
          </w:p>
        </w:tc>
      </w:tr>
    </w:tbl>
    <w:p>
      <w:pPr>
        <w:spacing w:after="60" w:before="80"/>
      </w:pPr>
    </w:p>
    <w:p>
      <w:pPr>
        <w:pStyle w:val="Heading2"/>
        <w:spacing w:after="80" w:before="280"/>
      </w:pPr>
      <w:r>
        <w:rPr>
          <w:rFonts w:ascii="Arial" w:cs="Arial" w:eastAsia="Arial" w:hAnsi="Arial"/>
          <w:b/>
          <w:bCs/>
          <w:color w:val="0D7377"/>
          <w:sz w:val="26"/>
          <w:szCs w:val="26"/>
        </w:rPr>
        <w:t xml:space="preserve">Ethics Hotline</w:t>
      </w:r>
    </w:p>
    <w:p>
      <w:pPr>
        <w:spacing w:after="60" w:before="60"/>
      </w:pPr>
      <w:r>
        <w:rPr>
          <w:rFonts w:ascii="Arial" w:cs="Arial" w:eastAsia="Arial" w:hAnsi="Arial"/>
          <w:color w:val="222222"/>
          <w:sz w:val="22"/>
          <w:szCs w:val="22"/>
        </w:rPr>
        <w:t xml:space="preserve">Reports can be made confidentially 24/7 at ethics.nexoraglobal.com or 1-800-555-0199. Reports can be anonymous. Nexora prohibits retaliation against anyone who raises a genuine concern in good faith.</w:t>
      </w:r>
    </w:p>
    <w:p>
      <w:r>
        <w:br w:type="pag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64748B"/>
        <w:sz w:val="16"/>
        <w:szCs w:val="16"/>
      </w:rPr>
      <w:t xml:space="preserve">Nexora Global Corporation  ·  Confidential — Internal Use Only   	</w:t>
    </w:r>
    <w:fldSimple w:instr="PAGE">
      <w:r>
        <w:rPr>
          <w:rFonts w:ascii="Arial" w:cs="Arial" w:eastAsia="Arial" w:hAnsi="Arial"/>
          <w:color w:val="64748B"/>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8" w:space="1"/>
      </w:pBdr>
      <w:spacing w:after="100"/>
    </w:pPr>
    <w:r>
      <w:rPr>
        <w:rFonts w:ascii="Arial" w:cs="Arial" w:eastAsia="Arial" w:hAnsi="Arial"/>
        <w:b/>
        <w:bCs/>
        <w:color w:val="1B2A4A"/>
        <w:sz w:val="18"/>
        <w:szCs w:val="18"/>
      </w:rPr>
      <w:t xml:space="preserve">NEXORA  |  Policy Library  </w:t>
    </w:r>
    <w:r>
      <w:rPr>
        <w:rFonts w:ascii="Arial" w:cs="Arial" w:eastAsia="Arial" w:hAnsi="Arial"/>
        <w:color w:val="64748B"/>
        <w:sz w:val="18"/>
        <w:szCs w:val="18"/>
      </w:rPr>
      <w:t xml:space="preserve">Core Company Policies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abstractNum w:abstractNumId="3" w15:restartNumberingAfterBreak="0">
    <w:multiLevelType w:val="hybridMultilevel"/>
    <w:lvl w:ilvl="0" w15:tentative="1">
      <w:start w:val="1"/>
      <w:numFmt w:val="decimal"/>
      <w:lvlText w:val="%1."/>
      <w:lvlJc w:val="left"/>
      <w:pPr>
        <w:ind w:left="600" w:hanging="300"/>
      </w:pPr>
    </w:lvl>
  </w:abstractNum>
  <w:abstractNum w:abstractNumId="4" w15:restartNumberingAfterBreak="0">
    <w:multiLevelType w:val="hybridMultilevel"/>
    <w:lvl w:ilvl="0" w15:tentative="1">
      <w:start w:val="1"/>
      <w:numFmt w:val="lowerLetter"/>
      <w:lvlText w:val="%1."/>
      <w:lvlJc w:val="left"/>
      <w:pPr>
        <w:ind w:left="60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400"/>
      <w:outlineLvl w:val="0"/>
    </w:pPr>
    <w:rPr>
      <w:rFonts w:ascii="Arial" w:cs="Arial" w:eastAsia="Arial" w:hAnsi="Arial"/>
      <w:b/>
      <w:bCs/>
      <w:color w:val="1B2A4A"/>
      <w:sz w:val="34"/>
      <w:szCs w:val="34"/>
    </w:rPr>
  </w:style>
  <w:style w:type="paragraph" w:styleId="Heading2">
    <w:name w:val="Heading 2"/>
    <w:basedOn w:val="Normal"/>
    <w:next w:val="Normal"/>
    <w:qFormat/>
    <w:pPr>
      <w:spacing w:after="80" w:before="280"/>
      <w:outlineLvl w:val="1"/>
    </w:pPr>
    <w:rPr>
      <w:rFonts w:ascii="Arial" w:cs="Arial" w:eastAsia="Arial" w:hAnsi="Arial"/>
      <w:b/>
      <w:bCs/>
      <w:color w:val="1B2A4A"/>
      <w:sz w:val="26"/>
      <w:szCs w:val="26"/>
    </w:rPr>
  </w:style>
  <w:style w:type="paragraph" w:styleId="Heading3">
    <w:name w:val="Heading 3"/>
    <w:basedOn w:val="Normal"/>
    <w:next w:val="Normal"/>
    <w:qFormat/>
    <w:pPr>
      <w:spacing w:after="60" w:before="180"/>
      <w:outlineLvl w:val="2"/>
    </w:pPr>
    <w:rPr>
      <w:rFonts w:ascii="Arial" w:cs="Arial" w:eastAsia="Arial" w:hAnsi="Arial"/>
      <w:b/>
      <w:bCs/>
      <w:color w:val="185FA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2026-03-26T23:18:13.152Z</dcterms:created>
  <dcterms:modified xsi:type="dcterms:W3CDTF">2026-03-26T23:18:13.152Z</dcterms:modified>
</cp:coreProperties>
</file>

<file path=docProps/custom.xml><?xml version="1.0" encoding="utf-8"?>
<Properties xmlns="http://schemas.openxmlformats.org/officeDocument/2006/custom-properties" xmlns:vt="http://schemas.openxmlformats.org/officeDocument/2006/docPropsVTypes"/>
</file>