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0"/>
      </w:pPr>
    </w:p>
    <w:p>
      <w:pPr>
        <w:jc w:val="center"/>
      </w:pPr>
      <w:r>
        <w:rPr>
          <w:rFonts w:ascii="Arial" w:cs="Arial" w:eastAsia="Arial" w:hAnsi="Arial"/>
          <w:b/>
          <w:bCs/>
          <w:color w:val="64748B"/>
          <w:sz w:val="26"/>
          <w:szCs w:val="26"/>
        </w:rPr>
        <w:t xml:space="preserve">NEXORA GLOBAL CORPORATION</w:t>
      </w:r>
    </w:p>
    <w:p>
      <w:pPr>
        <w:jc w:val="center"/>
      </w:pPr>
      <w:r>
        <w:rPr>
          <w:rFonts w:ascii="Arial" w:cs="Arial" w:eastAsia="Arial" w:hAnsi="Arial"/>
          <w:color w:val="64748B"/>
          <w:sz w:val="20"/>
          <w:szCs w:val="20"/>
        </w:rPr>
        <w:t xml:space="preserve">Company-Wide</w:t>
      </w:r>
    </w:p>
    <w:p>
      <w:pPr>
        <w:spacing w:after="60" w:before="180"/>
      </w:pPr>
    </w:p>
    <w:p>
      <w:pPr>
        <w:pBdr>
          <w:top w:val="single" w:color="0D7377" w:sz="16"/>
          <w:bottom w:val="single" w:color="0D7377" w:sz="16"/>
        </w:pBdr>
        <w:spacing w:after="80" w:before="160"/>
        <w:jc w:val="center"/>
      </w:pPr>
      <w:r>
        <w:rPr>
          <w:rFonts w:ascii="Arial" w:cs="Arial" w:eastAsia="Arial" w:hAnsi="Arial"/>
          <w:b/>
          <w:bCs/>
          <w:color w:val="1B2A4A"/>
          <w:sz w:val="48"/>
          <w:szCs w:val="48"/>
        </w:rPr>
        <w:t xml:space="preserve">  New Joiner Survey &amp; Feedback Loop  </w:t>
      </w:r>
    </w:p>
    <w:p>
      <w:pPr>
        <w:jc w:val="center"/>
      </w:pPr>
      <w:r>
        <w:rPr>
          <w:rFonts w:ascii="Arial" w:cs="Arial" w:eastAsia="Arial" w:hAnsi="Arial"/>
          <w:b/>
          <w:bCs/>
          <w:color w:val="0D7377"/>
          <w:sz w:val="28"/>
          <w:szCs w:val="28"/>
        </w:rPr>
        <w:t xml:space="preserve">How We Listen and Improve Onboarding</w:t>
      </w:r>
    </w:p>
    <w:p>
      <w:pPr>
        <w:spacing w:after="60" w:before="2200"/>
      </w:pPr>
    </w:p>
    <w:p>
      <w:pPr>
        <w:jc w:val="center"/>
      </w:pPr>
      <w:r>
        <w:rPr>
          <w:rFonts w:ascii="Arial" w:cs="Arial" w:eastAsia="Arial" w:hAnsi="Arial"/>
          <w:color w:val="AAAAAA"/>
          <w:sz w:val="18"/>
          <w:szCs w:val="18"/>
        </w:rPr>
        <w:t xml:space="preserve">Version 1.0   ·   2026   ·   Internal Use Only</w:t>
      </w:r>
    </w:p>
    <w:p>
      <w:r>
        <w:br w:type="page"/>
      </w:r>
    </w:p>
    <w:p>
      <w:pPr>
        <w:pStyle w:val="Heading1"/>
        <w:spacing w:after="100" w:before="400"/>
      </w:pPr>
      <w:r>
        <w:rPr>
          <w:rFonts w:ascii="Arial" w:cs="Arial" w:eastAsia="Arial" w:hAnsi="Arial"/>
          <w:b/>
          <w:bCs/>
          <w:color w:val="1B2A4A"/>
          <w:sz w:val="34"/>
          <w:szCs w:val="34"/>
        </w:rPr>
        <w:t xml:space="preserve">Survey Cadence</w:t>
      </w:r>
    </w:p>
    <w:p>
      <w:pPr>
        <w:pBdr>
          <w:bottom w:val="single" w:color="0D7377" w:sz="10" w:space="1"/>
        </w:pBdr>
        <w:spacing w:after="160" w:before="60"/>
      </w:pPr>
    </w:p>
    <w:p>
      <w:pPr>
        <w:spacing w:after="60" w:before="60"/>
      </w:pPr>
      <w:r>
        <w:rPr>
          <w:rFonts w:ascii="Arial" w:cs="Arial" w:eastAsia="Arial" w:hAnsi="Arial"/>
          <w:color w:val="222222"/>
          <w:sz w:val="22"/>
          <w:szCs w:val="22"/>
        </w:rPr>
        <w:t xml:space="preserve">Nexora runs three surveys during the onboarding journey. All surveys are delivered via Culture Amp and are confidential. Results are reviewed by the People Analytics team, shared with HR leadership, and fed back into the onboarding programme.</w:t>
      </w:r>
    </w:p>
    <w:p>
      <w:pPr>
        <w:spacing w:after="60" w:before="60"/>
      </w:pP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200"/>
        <w:gridCol w:w="1360"/>
      </w:tblGrid>
      <w:tr>
        <w:tc>
          <w:tcPr>
            <w:tcW w:type="dxa" w:w="1800"/>
            <w:tcBorders>
              <w:top w:val="single" w:color="0D7377" w:sz="4"/>
              <w:left w:val="single" w:color="0D7377" w:sz="4"/>
              <w:bottom w:val="single" w:color="0D7377" w:sz="4"/>
              <w:right w:val="single" w:color="0D7377" w:sz="4"/>
            </w:tcBorders>
            <w:shd w:fill="0D7377" w:val="clear"/>
            <w:tcMar>
              <w:top w:type="dxa" w:w="80"/>
              <w:left w:type="dxa" w:w="140"/>
              <w:bottom w:type="dxa" w:w="80"/>
              <w:right w:type="dxa" w:w="140"/>
            </w:tcMar>
          </w:tcPr>
          <w:p>
            <w:r>
              <w:rPr>
                <w:rFonts w:ascii="Arial" w:cs="Arial" w:eastAsia="Arial" w:hAnsi="Arial"/>
                <w:b/>
                <w:bCs/>
                <w:color w:val="FFFFFF"/>
                <w:sz w:val="20"/>
                <w:szCs w:val="20"/>
              </w:rPr>
              <w:t xml:space="preserve">Survey</w:t>
            </w:r>
          </w:p>
        </w:tc>
        <w:tc>
          <w:tcPr>
            <w:tcW w:type="dxa" w:w="2400"/>
            <w:tcBorders>
              <w:top w:val="single" w:color="0D7377" w:sz="4"/>
              <w:left w:val="single" w:color="0D7377" w:sz="4"/>
              <w:bottom w:val="single" w:color="0D7377" w:sz="4"/>
              <w:right w:val="single" w:color="0D7377" w:sz="4"/>
            </w:tcBorders>
            <w:shd w:fill="0D7377" w:val="clear"/>
            <w:tcMar>
              <w:top w:type="dxa" w:w="80"/>
              <w:left w:type="dxa" w:w="140"/>
              <w:bottom w:type="dxa" w:w="80"/>
              <w:right w:type="dxa" w:w="140"/>
            </w:tcMar>
          </w:tcPr>
          <w:p>
            <w:r>
              <w:rPr>
                <w:rFonts w:ascii="Arial" w:cs="Arial" w:eastAsia="Arial" w:hAnsi="Arial"/>
                <w:b/>
                <w:bCs/>
                <w:color w:val="FFFFFF"/>
                <w:sz w:val="20"/>
                <w:szCs w:val="20"/>
              </w:rPr>
              <w:t xml:space="preserve">Timing</w:t>
            </w:r>
          </w:p>
        </w:tc>
        <w:tc>
          <w:tcPr>
            <w:tcW w:type="dxa" w:w="4200"/>
            <w:tcBorders>
              <w:top w:val="single" w:color="0D7377" w:sz="4"/>
              <w:left w:val="single" w:color="0D7377" w:sz="4"/>
              <w:bottom w:val="single" w:color="0D7377" w:sz="4"/>
              <w:right w:val="single" w:color="0D7377" w:sz="4"/>
            </w:tcBorders>
            <w:shd w:fill="0D7377" w:val="clear"/>
            <w:tcMar>
              <w:top w:type="dxa" w:w="80"/>
              <w:left w:type="dxa" w:w="140"/>
              <w:bottom w:type="dxa" w:w="80"/>
              <w:right w:type="dxa" w:w="140"/>
            </w:tcMar>
          </w:tcPr>
          <w:p>
            <w:r>
              <w:rPr>
                <w:rFonts w:ascii="Arial" w:cs="Arial" w:eastAsia="Arial" w:hAnsi="Arial"/>
                <w:b/>
                <w:bCs/>
                <w:color w:val="FFFFFF"/>
                <w:sz w:val="20"/>
                <w:szCs w:val="20"/>
              </w:rPr>
              <w:t xml:space="preserve">Key Questions</w:t>
            </w:r>
          </w:p>
        </w:tc>
        <w:tc>
          <w:tcPr>
            <w:tcW w:type="dxa" w:w="1360"/>
            <w:tcBorders>
              <w:top w:val="single" w:color="0D7377" w:sz="4"/>
              <w:left w:val="single" w:color="0D7377" w:sz="4"/>
              <w:bottom w:val="single" w:color="0D7377" w:sz="4"/>
              <w:right w:val="single" w:color="0D7377" w:sz="4"/>
            </w:tcBorders>
            <w:shd w:fill="0D7377" w:val="clear"/>
            <w:tcMar>
              <w:top w:type="dxa" w:w="80"/>
              <w:left w:type="dxa" w:w="140"/>
              <w:bottom w:type="dxa" w:w="80"/>
              <w:right w:type="dxa" w:w="140"/>
            </w:tcMar>
          </w:tcPr>
          <w:p>
            <w:r>
              <w:rPr>
                <w:rFonts w:ascii="Arial" w:cs="Arial" w:eastAsia="Arial" w:hAnsi="Arial"/>
                <w:b/>
                <w:bCs/>
                <w:color w:val="FFFFFF"/>
                <w:sz w:val="20"/>
                <w:szCs w:val="20"/>
              </w:rPr>
              <w:t xml:space="preserve">Length</w:t>
            </w:r>
          </w:p>
        </w:tc>
      </w:tr>
      <w:tr>
        <w:tc>
          <w:tcPr>
            <w:tcW w:type="dxa" w:w="1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Day 30 Pulse</w:t>
            </w:r>
          </w:p>
        </w:tc>
        <w:tc>
          <w:tcPr>
            <w:tcW w:type="dxa" w:w="2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Day 30 — sent automatically by Workday</w:t>
            </w:r>
          </w:p>
        </w:tc>
        <w:tc>
          <w:tcPr>
            <w:tcW w:type="dxa" w:w="4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How supported do you feel? Is the role matching expectations? What's unclear?</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Day 60 Pulse</w:t>
            </w:r>
          </w:p>
        </w:tc>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Day 60</w:t>
            </w:r>
          </w:p>
        </w:tc>
        <w:tc>
          <w:tcPr>
            <w:tcW w:type="dxa" w:w="4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Are you building the right relationships? Do you understand your goals? What's still hard?</w:t>
            </w:r>
          </w:p>
        </w:tc>
      </w:tr>
      <w:tr>
        <w:tc>
          <w:tcPr>
            <w:tcW w:type="dxa" w:w="1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Day 90 Onboarding Review</w:t>
            </w:r>
          </w:p>
        </w:tc>
        <w:tc>
          <w:tcPr>
            <w:tcW w:type="dxa" w:w="2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Day 90</w:t>
            </w:r>
          </w:p>
        </w:tc>
        <w:tc>
          <w:tcPr>
            <w:tcW w:type="dxa" w:w="4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Comprehensive review of the onboarding experience — what worked, what didn't, NPS for onboarding</w:t>
            </w:r>
          </w:p>
        </w:tc>
      </w:tr>
    </w:tbl>
    <w:p>
      <w:r>
        <w:br w:type="page"/>
      </w:r>
    </w:p>
    <w:p>
      <w:pPr>
        <w:pStyle w:val="Heading1"/>
        <w:spacing w:after="100" w:before="400"/>
      </w:pPr>
      <w:r>
        <w:rPr>
          <w:rFonts w:ascii="Arial" w:cs="Arial" w:eastAsia="Arial" w:hAnsi="Arial"/>
          <w:b/>
          <w:bCs/>
          <w:color w:val="1B2A4A"/>
          <w:sz w:val="34"/>
          <w:szCs w:val="34"/>
        </w:rPr>
        <w:t xml:space="preserve">Day 30 Pulse — Question Bank</w:t>
      </w:r>
    </w:p>
    <w:p>
      <w:pPr>
        <w:pBdr>
          <w:bottom w:val="single" w:color="0D7377" w:sz="10" w:space="1"/>
        </w:pBdr>
        <w:spacing w:after="160" w:before="60"/>
      </w:pPr>
    </w:p>
    <w:p>
      <w:pPr>
        <w:pStyle w:val="Heading2"/>
        <w:spacing w:after="80" w:before="280"/>
      </w:pPr>
      <w:r>
        <w:rPr>
          <w:rFonts w:ascii="Arial" w:cs="Arial" w:eastAsia="Arial" w:hAnsi="Arial"/>
          <w:b/>
          <w:bCs/>
          <w:color w:val="0D7377"/>
          <w:sz w:val="26"/>
          <w:szCs w:val="26"/>
        </w:rPr>
        <w:t xml:space="preserve">Standard Questions (all new joiners)</w:t>
      </w:r>
    </w:p>
    <w:p>
      <w:pPr>
        <w:pStyle w:val="ListParagraph"/>
        <w:numPr>
          <w:ilvl w:val="0"/>
          <w:numId w:val="2"/>
        </w:numPr>
        <w:spacing w:after="40" w:before="40"/>
      </w:pPr>
      <w:r>
        <w:rPr>
          <w:rFonts w:ascii="Arial" w:cs="Arial" w:eastAsia="Arial" w:hAnsi="Arial"/>
          <w:color w:val="333333"/>
          <w:sz w:val="22"/>
          <w:szCs w:val="22"/>
        </w:rPr>
        <w:t xml:space="preserve">On a scale of 1–10, how supported have you felt in your first 30 days?</w:t>
      </w:r>
    </w:p>
    <w:p>
      <w:pPr>
        <w:pStyle w:val="ListParagraph"/>
        <w:numPr>
          <w:ilvl w:val="0"/>
          <w:numId w:val="2"/>
        </w:numPr>
        <w:spacing w:after="40" w:before="40"/>
      </w:pPr>
      <w:r>
        <w:rPr>
          <w:rFonts w:ascii="Arial" w:cs="Arial" w:eastAsia="Arial" w:hAnsi="Arial"/>
          <w:color w:val="333333"/>
          <w:sz w:val="22"/>
          <w:szCs w:val="22"/>
        </w:rPr>
        <w:t xml:space="preserve">My role is matching what was described in the hiring process. (Strongly Agree → Strongly Disagree)</w:t>
      </w:r>
    </w:p>
    <w:p>
      <w:pPr>
        <w:pStyle w:val="ListParagraph"/>
        <w:numPr>
          <w:ilvl w:val="0"/>
          <w:numId w:val="2"/>
        </w:numPr>
        <w:spacing w:after="40" w:before="40"/>
      </w:pPr>
      <w:r>
        <w:rPr>
          <w:rFonts w:ascii="Arial" w:cs="Arial" w:eastAsia="Arial" w:hAnsi="Arial"/>
          <w:color w:val="333333"/>
          <w:sz w:val="22"/>
          <w:szCs w:val="22"/>
        </w:rPr>
        <w:t xml:space="preserve">I feel welcome and included by my team. (Strongly Agree → Strongly Disagree)</w:t>
      </w:r>
    </w:p>
    <w:p>
      <w:pPr>
        <w:pStyle w:val="ListParagraph"/>
        <w:numPr>
          <w:ilvl w:val="0"/>
          <w:numId w:val="2"/>
        </w:numPr>
        <w:spacing w:after="40" w:before="40"/>
      </w:pPr>
      <w:r>
        <w:rPr>
          <w:rFonts w:ascii="Arial" w:cs="Arial" w:eastAsia="Arial" w:hAnsi="Arial"/>
          <w:color w:val="333333"/>
          <w:sz w:val="22"/>
          <w:szCs w:val="22"/>
        </w:rPr>
        <w:t xml:space="preserve">I have the tools and access I need to do my job. (Yes / Partially / No)</w:t>
      </w:r>
    </w:p>
    <w:p>
      <w:pPr>
        <w:pStyle w:val="ListParagraph"/>
        <w:numPr>
          <w:ilvl w:val="0"/>
          <w:numId w:val="2"/>
        </w:numPr>
        <w:spacing w:after="40" w:before="40"/>
      </w:pPr>
      <w:r>
        <w:rPr>
          <w:rFonts w:ascii="Arial" w:cs="Arial" w:eastAsia="Arial" w:hAnsi="Arial"/>
          <w:color w:val="333333"/>
          <w:sz w:val="22"/>
          <w:szCs w:val="22"/>
        </w:rPr>
        <w:t xml:space="preserve">I understand what is expected of me in my first 90 days. (Yes / Somewhat / No)</w:t>
      </w:r>
    </w:p>
    <w:p>
      <w:pPr>
        <w:pStyle w:val="ListParagraph"/>
        <w:numPr>
          <w:ilvl w:val="0"/>
          <w:numId w:val="2"/>
        </w:numPr>
        <w:spacing w:after="40" w:before="40"/>
      </w:pPr>
      <w:r>
        <w:rPr>
          <w:rFonts w:ascii="Arial" w:cs="Arial" w:eastAsia="Arial" w:hAnsi="Arial"/>
          <w:color w:val="333333"/>
          <w:sz w:val="22"/>
          <w:szCs w:val="22"/>
        </w:rPr>
        <w:t xml:space="preserve">What one thing would have made your first 30 days better? (Open text)</w:t>
      </w:r>
    </w:p>
    <w:p>
      <w:pPr>
        <w:spacing w:after="60" w:before="60"/>
      </w:pPr>
    </w:p>
    <w:p>
      <w:pPr>
        <w:pStyle w:val="Heading2"/>
        <w:spacing w:after="80" w:before="280"/>
      </w:pPr>
      <w:r>
        <w:rPr>
          <w:rFonts w:ascii="Arial" w:cs="Arial" w:eastAsia="Arial" w:hAnsi="Arial"/>
          <w:b/>
          <w:bCs/>
          <w:color w:val="0D7377"/>
          <w:sz w:val="26"/>
          <w:szCs w:val="26"/>
        </w:rPr>
        <w:t xml:space="preserve">IT Department-Specific Questions</w:t>
      </w:r>
    </w:p>
    <w:p>
      <w:pPr>
        <w:pStyle w:val="ListParagraph"/>
        <w:numPr>
          <w:ilvl w:val="0"/>
          <w:numId w:val="2"/>
        </w:numPr>
        <w:spacing w:after="40" w:before="40"/>
      </w:pPr>
      <w:r>
        <w:rPr>
          <w:rFonts w:ascii="Arial" w:cs="Arial" w:eastAsia="Arial" w:hAnsi="Arial"/>
          <w:color w:val="333333"/>
          <w:sz w:val="22"/>
          <w:szCs w:val="22"/>
        </w:rPr>
        <w:t xml:space="preserve">My system and tool access was provisioned on time. (Yes / Partially / No — with comment)</w:t>
      </w:r>
    </w:p>
    <w:p>
      <w:pPr>
        <w:pStyle w:val="ListParagraph"/>
        <w:numPr>
          <w:ilvl w:val="0"/>
          <w:numId w:val="2"/>
        </w:numPr>
        <w:spacing w:after="40" w:before="40"/>
      </w:pPr>
      <w:r>
        <w:rPr>
          <w:rFonts w:ascii="Arial" w:cs="Arial" w:eastAsia="Arial" w:hAnsi="Arial"/>
          <w:color w:val="333333"/>
          <w:sz w:val="22"/>
          <w:szCs w:val="22"/>
        </w:rPr>
        <w:t xml:space="preserve">The technical onboarding (architecture overview, Terraform, Datadog) was at the right level for me. (Too basic / About right / Too advanced)</w:t>
      </w:r>
    </w:p>
    <w:p>
      <w:pPr>
        <w:pStyle w:val="ListParagraph"/>
        <w:numPr>
          <w:ilvl w:val="0"/>
          <w:numId w:val="2"/>
        </w:numPr>
        <w:spacing w:after="40" w:before="40"/>
      </w:pPr>
      <w:r>
        <w:rPr>
          <w:rFonts w:ascii="Arial" w:cs="Arial" w:eastAsia="Arial" w:hAnsi="Arial"/>
          <w:color w:val="333333"/>
          <w:sz w:val="22"/>
          <w:szCs w:val="22"/>
        </w:rPr>
        <w:t xml:space="preserve">I understand the on-call process and feel prepared for when I join the rotation. (Yes / Somewhat / No)</w:t>
      </w:r>
    </w:p>
    <w:p>
      <w:r>
        <w:br w:type="page"/>
      </w:r>
    </w:p>
    <w:p>
      <w:pPr>
        <w:pStyle w:val="Heading1"/>
        <w:spacing w:after="100" w:before="400"/>
      </w:pPr>
      <w:r>
        <w:rPr>
          <w:rFonts w:ascii="Arial" w:cs="Arial" w:eastAsia="Arial" w:hAnsi="Arial"/>
          <w:b/>
          <w:bCs/>
          <w:color w:val="1B2A4A"/>
          <w:sz w:val="34"/>
          <w:szCs w:val="34"/>
        </w:rPr>
        <w:t xml:space="preserve">Day 90 Onboarding NPS</w:t>
      </w:r>
    </w:p>
    <w:p>
      <w:pPr>
        <w:pBdr>
          <w:bottom w:val="single" w:color="0D7377" w:sz="10" w:space="1"/>
        </w:pBdr>
        <w:spacing w:after="160" w:before="60"/>
      </w:pPr>
    </w:p>
    <w:p>
      <w:pPr>
        <w:pStyle w:val="Heading2"/>
        <w:spacing w:after="80" w:before="280"/>
      </w:pPr>
      <w:r>
        <w:rPr>
          <w:rFonts w:ascii="Arial" w:cs="Arial" w:eastAsia="Arial" w:hAnsi="Arial"/>
          <w:b/>
          <w:bCs/>
          <w:color w:val="0D7377"/>
          <w:sz w:val="26"/>
          <w:szCs w:val="26"/>
        </w:rPr>
        <w:t xml:space="preserve">Net Promoter Score Question</w:t>
      </w:r>
    </w:p>
    <w:p>
      <w:pPr>
        <w:spacing w:after="60" w:before="60"/>
      </w:pPr>
      <w:r>
        <w:rPr>
          <w:rFonts w:ascii="Arial" w:cs="Arial" w:eastAsia="Arial" w:hAnsi="Arial"/>
          <w:color w:val="222222"/>
          <w:sz w:val="22"/>
          <w:szCs w:val="22"/>
        </w:rPr>
        <w:t xml:space="preserve">On a scale of 0–10, how likely are you to recommend Nexora's onboarding experience to a friend starting here?</w:t>
      </w:r>
    </w:p>
    <w:p>
      <w:pPr>
        <w:spacing w:after="60" w:before="4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Promoters (9–10)</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Excellent onboarding experience — quotes used in employer brand content (with permission)</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Passives (7–8)</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Generally positive — follow-up to understand specific improvements</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Detractors (0–6)</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Poor experience — HR BP does a 1:1 follow-up call within 5 business days</w:t>
            </w:r>
          </w:p>
        </w:tc>
      </w:tr>
    </w:tbl>
    <w:p>
      <w:pPr>
        <w:spacing w:after="60" w:before="80"/>
      </w:pPr>
    </w:p>
    <w:p>
      <w:pPr>
        <w:pStyle w:val="Heading2"/>
        <w:spacing w:after="80" w:before="280"/>
      </w:pPr>
      <w:r>
        <w:rPr>
          <w:rFonts w:ascii="Arial" w:cs="Arial" w:eastAsia="Arial" w:hAnsi="Arial"/>
          <w:b/>
          <w:bCs/>
          <w:color w:val="0D7377"/>
          <w:sz w:val="26"/>
          <w:szCs w:val="26"/>
        </w:rPr>
        <w:t xml:space="preserve">The Feedback Loop</w:t>
      </w:r>
    </w:p>
    <w:p>
      <w:pPr>
        <w:pStyle w:val="ListParagraph"/>
        <w:numPr>
          <w:ilvl w:val="0"/>
          <w:numId w:val="2"/>
        </w:numPr>
        <w:spacing w:after="40" w:before="40"/>
      </w:pPr>
      <w:r>
        <w:rPr>
          <w:rFonts w:ascii="Arial" w:cs="Arial" w:eastAsia="Arial" w:hAnsi="Arial"/>
          <w:color w:val="333333"/>
          <w:sz w:val="22"/>
          <w:szCs w:val="22"/>
        </w:rPr>
        <w:t xml:space="preserve">Culture Amp aggregates results weekly</w:t>
      </w:r>
    </w:p>
    <w:p>
      <w:pPr>
        <w:pStyle w:val="ListParagraph"/>
        <w:numPr>
          <w:ilvl w:val="0"/>
          <w:numId w:val="2"/>
        </w:numPr>
        <w:spacing w:after="40" w:before="40"/>
      </w:pPr>
      <w:r>
        <w:rPr>
          <w:rFonts w:ascii="Arial" w:cs="Arial" w:eastAsia="Arial" w:hAnsi="Arial"/>
          <w:color w:val="333333"/>
          <w:sz w:val="22"/>
          <w:szCs w:val="22"/>
        </w:rPr>
        <w:t xml:space="preserve">People Analytics team produces monthly onboarding dashboard (shared in HR Leadership review)</w:t>
      </w:r>
    </w:p>
    <w:p>
      <w:pPr>
        <w:pStyle w:val="ListParagraph"/>
        <w:numPr>
          <w:ilvl w:val="0"/>
          <w:numId w:val="2"/>
        </w:numPr>
        <w:spacing w:after="40" w:before="40"/>
      </w:pPr>
      <w:r>
        <w:rPr>
          <w:rFonts w:ascii="Arial" w:cs="Arial" w:eastAsia="Arial" w:hAnsi="Arial"/>
          <w:color w:val="333333"/>
          <w:sz w:val="22"/>
          <w:szCs w:val="22"/>
        </w:rPr>
        <w:t xml:space="preserve">Themes from open-text responses reviewed by HR Ops and Dept Onboarding Leads quarterly</w:t>
      </w:r>
    </w:p>
    <w:p>
      <w:pPr>
        <w:pStyle w:val="ListParagraph"/>
        <w:numPr>
          <w:ilvl w:val="0"/>
          <w:numId w:val="2"/>
        </w:numPr>
        <w:spacing w:after="40" w:before="40"/>
      </w:pPr>
      <w:r>
        <w:rPr>
          <w:rFonts w:ascii="Arial" w:cs="Arial" w:eastAsia="Arial" w:hAnsi="Arial"/>
          <w:color w:val="333333"/>
          <w:sz w:val="22"/>
          <w:szCs w:val="22"/>
        </w:rPr>
        <w:t xml:space="preserve">Significant issues (e.g. repeated tool access failures, specific team concerns) escalated within 48h</w:t>
      </w:r>
    </w:p>
    <w:p>
      <w:pPr>
        <w:pStyle w:val="ListParagraph"/>
        <w:numPr>
          <w:ilvl w:val="0"/>
          <w:numId w:val="2"/>
        </w:numPr>
        <w:spacing w:after="40" w:before="40"/>
      </w:pPr>
      <w:r>
        <w:rPr>
          <w:rFonts w:ascii="Arial" w:cs="Arial" w:eastAsia="Arial" w:hAnsi="Arial"/>
          <w:color w:val="333333"/>
          <w:sz w:val="22"/>
          <w:szCs w:val="22"/>
        </w:rPr>
        <w:t xml:space="preserve">Handbook and process updates made within 4 weeks of a validated issue being identified</w:t>
      </w:r>
    </w:p>
    <w:p>
      <w:pPr>
        <w:pStyle w:val="ListParagraph"/>
        <w:numPr>
          <w:ilvl w:val="0"/>
          <w:numId w:val="2"/>
        </w:numPr>
        <w:spacing w:after="40" w:before="40"/>
      </w:pPr>
      <w:r>
        <w:rPr>
          <w:rFonts w:ascii="Arial" w:cs="Arial" w:eastAsia="Arial" w:hAnsi="Arial"/>
          <w:color w:val="333333"/>
          <w:sz w:val="22"/>
          <w:szCs w:val="22"/>
        </w:rPr>
        <w:t xml:space="preserve">Quarterly changelog entry added to the Onboarding System Changelog document</w:t>
      </w:r>
    </w:p>
    <w:p>
      <w:r>
        <w:br w:type="pag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80"/>
    </w:pPr>
    <w:r>
      <w:rPr>
        <w:rFonts w:ascii="Arial" w:cs="Arial" w:eastAsia="Arial" w:hAnsi="Arial"/>
        <w:color w:val="64748B"/>
        <w:sz w:val="16"/>
        <w:szCs w:val="16"/>
      </w:rPr>
      <w:t xml:space="preserve">Nexora Global Corporation  ·  Confidential — Internal Use Only   	</w:t>
    </w:r>
    <w:fldSimple w:instr="PAGE">
      <w:r>
        <w:rPr>
          <w:rFonts w:ascii="Arial" w:cs="Arial" w:eastAsia="Arial" w:hAnsi="Arial"/>
          <w:color w:val="64748B"/>
          <w:sz w:val="16"/>
          <w:szCs w:val="16"/>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8" w:space="1"/>
      </w:pBdr>
      <w:spacing w:after="100"/>
    </w:pPr>
    <w:r>
      <w:rPr>
        <w:rFonts w:ascii="Arial" w:cs="Arial" w:eastAsia="Arial" w:hAnsi="Arial"/>
        <w:b/>
        <w:bCs/>
        <w:color w:val="1B2A4A"/>
        <w:sz w:val="18"/>
        <w:szCs w:val="18"/>
      </w:rPr>
      <w:t xml:space="preserve">NEXORA  |  New Joiner Survey &amp; Feedback Loop  </w:t>
    </w:r>
    <w:r>
      <w:rPr>
        <w:rFonts w:ascii="Arial" w:cs="Arial" w:eastAsia="Arial" w:hAnsi="Arial"/>
        <w:color w:val="64748B"/>
        <w:sz w:val="18"/>
        <w:szCs w:val="18"/>
      </w:rPr>
      <w:t xml:space="preserve">How We Listen and Improve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abstractNum w:abstractNumId="4" w15:restartNumberingAfterBreak="0">
    <w:multiLevelType w:val="hybridMultilevel"/>
    <w:lvl w:ilvl="0" w15:tentative="1">
      <w:start w:val="1"/>
      <w:numFmt w:val="lowerLetter"/>
      <w:lvlText w:val="%1."/>
      <w:lvlJc w:val="left"/>
      <w:pPr>
        <w:ind w:left="600" w:hanging="3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400"/>
      <w:outlineLvl w:val="0"/>
    </w:pPr>
    <w:rPr>
      <w:rFonts w:ascii="Arial" w:cs="Arial" w:eastAsia="Arial" w:hAnsi="Arial"/>
      <w:b/>
      <w:bCs/>
      <w:color w:val="1B2A4A"/>
      <w:sz w:val="34"/>
      <w:szCs w:val="34"/>
    </w:rPr>
  </w:style>
  <w:style w:type="paragraph" w:styleId="Heading2">
    <w:name w:val="Heading 2"/>
    <w:basedOn w:val="Normal"/>
    <w:next w:val="Normal"/>
    <w:qFormat/>
    <w:pPr>
      <w:spacing w:after="80" w:before="280"/>
      <w:outlineLvl w:val="1"/>
    </w:pPr>
    <w:rPr>
      <w:rFonts w:ascii="Arial" w:cs="Arial" w:eastAsia="Arial" w:hAnsi="Arial"/>
      <w:b/>
      <w:bCs/>
      <w:color w:val="0D7377"/>
      <w:sz w:val="26"/>
      <w:szCs w:val="26"/>
    </w:rPr>
  </w:style>
  <w:style w:type="paragraph" w:styleId="Heading3">
    <w:name w:val="Heading 3"/>
    <w:basedOn w:val="Normal"/>
    <w:next w:val="Normal"/>
    <w:qFormat/>
    <w:pPr>
      <w:spacing w:after="60" w:before="180"/>
      <w:outlineLvl w:val="2"/>
    </w:pPr>
    <w:rPr>
      <w:rFonts w:ascii="Arial" w:cs="Arial" w:eastAsia="Arial" w:hAnsi="Arial"/>
      <w:b/>
      <w:bCs/>
      <w:color w:val="185FA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2026-03-26T23:18:13.659Z</dcterms:created>
  <dcterms:modified xsi:type="dcterms:W3CDTF">2026-03-26T23:18:13.659Z</dcterms:modified>
</cp:coreProperties>
</file>

<file path=docProps/custom.xml><?xml version="1.0" encoding="utf-8"?>
<Properties xmlns="http://schemas.openxmlformats.org/officeDocument/2006/custom-properties" xmlns:vt="http://schemas.openxmlformats.org/officeDocument/2006/docPropsVTypes"/>
</file>