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Commercial Excellence &amp; Quality (CEQ)</w:t>
      </w:r>
    </w:p>
    <w:p>
      <w:pPr>
        <w:spacing w:after="60" w:before="180"/>
      </w:pPr>
    </w:p>
    <w:p>
      <w:pPr>
        <w:pBdr>
          <w:top w:val="single" w:color="D85A30" w:sz="16"/>
          <w:bottom w:val="single" w:color="D85A30" w:sz="16"/>
        </w:pBdr>
        <w:spacing w:after="80" w:before="160"/>
        <w:jc w:val="center"/>
      </w:pPr>
      <w:r>
        <w:rPr>
          <w:rFonts w:ascii="Arial" w:cs="Arial" w:eastAsia="Arial" w:hAnsi="Arial"/>
          <w:b/>
          <w:bCs/>
          <w:color w:val="712B13"/>
          <w:sz w:val="48"/>
          <w:szCs w:val="48"/>
        </w:rPr>
        <w:t xml:space="preserve">  Customer Experience &amp; NPS Team  </w:t>
      </w:r>
    </w:p>
    <w:p>
      <w:pPr>
        <w:jc w:val="center"/>
      </w:pPr>
      <w:r>
        <w:rPr>
          <w:rFonts w:ascii="Arial" w:cs="Arial" w:eastAsia="Arial" w:hAnsi="Arial"/>
          <w:b/>
          <w:bCs/>
          <w:color w:val="D85A30"/>
          <w:sz w:val="28"/>
          <w:szCs w:val="28"/>
        </w:rPr>
        <w:t xml:space="preserve">Onboarding Handbook</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712B13"/>
          <w:sz w:val="34"/>
          <w:szCs w:val="34"/>
        </w:rPr>
        <w:t xml:space="preserve">Table of Contents</w:t>
      </w:r>
    </w:p>
    <w:p>
      <w:pPr>
        <w:pBdr>
          <w:bottom w:val="single" w:color="D85A30" w:sz="10" w:space="1"/>
        </w:pBdr>
        <w:spacing w:after="160" w:before="60"/>
      </w:pPr>
    </w:p>
    <w:p>
      <w:pPr>
        <w:spacing w:after="60" w:before="60"/>
      </w:pPr>
    </w:p>
    <w:p>
      <w:pPr>
        <w:tabs>
          <w:tab w:val="right" w:pos="8760"/>
        </w:tabs>
        <w:spacing w:after="60" w:before="60"/>
      </w:pPr>
      <w:r>
        <w:rPr>
          <w:rFonts w:ascii="Arial" w:cs="Arial" w:eastAsia="Arial" w:hAnsi="Arial"/>
          <w:color w:val="1B2A4A"/>
          <w:sz w:val="22"/>
          <w:szCs w:val="22"/>
        </w:rPr>
        <w:t xml:space="preserve">1. Welcome to the CX &amp; NPS Team</w:t>
      </w:r>
      <w:r>
        <w:rPr>
          <w:rFonts w:ascii="Arial" w:cs="Arial" w:eastAsia="Arial" w:hAnsi="Arial"/>
          <w:color w:val="64748B"/>
          <w:sz w:val="22"/>
          <w:szCs w:val="22"/>
        </w:rPr>
        <w:t xml:space="preserve">	3</w:t>
      </w:r>
    </w:p>
    <w:p>
      <w:pPr>
        <w:tabs>
          <w:tab w:val="right" w:pos="8760"/>
        </w:tabs>
        <w:spacing w:after="60" w:before="60"/>
      </w:pPr>
      <w:r>
        <w:rPr>
          <w:rFonts w:ascii="Arial" w:cs="Arial" w:eastAsia="Arial" w:hAnsi="Arial"/>
          <w:color w:val="1B2A4A"/>
          <w:sz w:val="22"/>
          <w:szCs w:val="22"/>
        </w:rPr>
        <w:t xml:space="preserve">2. Department Structure — Three Pillars</w:t>
      </w:r>
      <w:r>
        <w:rPr>
          <w:rFonts w:ascii="Arial" w:cs="Arial" w:eastAsia="Arial" w:hAnsi="Arial"/>
          <w:color w:val="64748B"/>
          <w:sz w:val="22"/>
          <w:szCs w:val="22"/>
        </w:rPr>
        <w:t xml:space="preserve">	4</w:t>
      </w:r>
    </w:p>
    <w:p>
      <w:pPr>
        <w:tabs>
          <w:tab w:val="right" w:pos="8760"/>
        </w:tabs>
        <w:spacing w:after="60" w:before="60"/>
      </w:pPr>
      <w:r>
        <w:rPr>
          <w:rFonts w:ascii="Arial" w:cs="Arial" w:eastAsia="Arial" w:hAnsi="Arial"/>
          <w:color w:val="1B2A4A"/>
          <w:sz w:val="22"/>
          <w:szCs w:val="22"/>
        </w:rPr>
        <w:t xml:space="preserve">3. The CX &amp; NPS Role — What You Do</w:t>
      </w:r>
      <w:r>
        <w:rPr>
          <w:rFonts w:ascii="Arial" w:cs="Arial" w:eastAsia="Arial" w:hAnsi="Arial"/>
          <w:color w:val="64748B"/>
          <w:sz w:val="22"/>
          <w:szCs w:val="22"/>
        </w:rPr>
        <w:t xml:space="preserve">	5</w:t>
      </w:r>
    </w:p>
    <w:p>
      <w:pPr>
        <w:tabs>
          <w:tab w:val="right" w:pos="8760"/>
        </w:tabs>
        <w:spacing w:after="60" w:before="60"/>
      </w:pPr>
      <w:r>
        <w:rPr>
          <w:rFonts w:ascii="Arial" w:cs="Arial" w:eastAsia="Arial" w:hAnsi="Arial"/>
          <w:color w:val="1B2A4A"/>
          <w:sz w:val="22"/>
          <w:szCs w:val="22"/>
        </w:rPr>
        <w:t xml:space="preserve">4. How We Work — Sprint Cadence</w:t>
      </w:r>
      <w:r>
        <w:rPr>
          <w:rFonts w:ascii="Arial" w:cs="Arial" w:eastAsia="Arial" w:hAnsi="Arial"/>
          <w:color w:val="64748B"/>
          <w:sz w:val="22"/>
          <w:szCs w:val="22"/>
        </w:rPr>
        <w:t xml:space="preserve">	7</w:t>
      </w:r>
    </w:p>
    <w:p>
      <w:pPr>
        <w:tabs>
          <w:tab w:val="right" w:pos="8760"/>
        </w:tabs>
        <w:spacing w:after="60" w:before="60"/>
      </w:pPr>
      <w:r>
        <w:rPr>
          <w:rFonts w:ascii="Arial" w:cs="Arial" w:eastAsia="Arial" w:hAnsi="Arial"/>
          <w:color w:val="1B2A4A"/>
          <w:sz w:val="22"/>
          <w:szCs w:val="22"/>
        </w:rPr>
        <w:t xml:space="preserve">5. CX Measurement &amp; NPS Programme Flow</w:t>
      </w:r>
      <w:r>
        <w:rPr>
          <w:rFonts w:ascii="Arial" w:cs="Arial" w:eastAsia="Arial" w:hAnsi="Arial"/>
          <w:color w:val="64748B"/>
          <w:sz w:val="22"/>
          <w:szCs w:val="22"/>
        </w:rPr>
        <w:t xml:space="preserve">	9</w:t>
      </w:r>
    </w:p>
    <w:p>
      <w:pPr>
        <w:tabs>
          <w:tab w:val="right" w:pos="8760"/>
        </w:tabs>
        <w:spacing w:after="60" w:before="60"/>
      </w:pPr>
      <w:r>
        <w:rPr>
          <w:rFonts w:ascii="Arial" w:cs="Arial" w:eastAsia="Arial" w:hAnsi="Arial"/>
          <w:color w:val="1B2A4A"/>
          <w:sz w:val="22"/>
          <w:szCs w:val="22"/>
        </w:rPr>
        <w:t xml:space="preserve">6. Meetings &amp; Ceremonies</w:t>
      </w:r>
      <w:r>
        <w:rPr>
          <w:rFonts w:ascii="Arial" w:cs="Arial" w:eastAsia="Arial" w:hAnsi="Arial"/>
          <w:color w:val="64748B"/>
          <w:sz w:val="22"/>
          <w:szCs w:val="22"/>
        </w:rPr>
        <w:t xml:space="preserve">	11</w:t>
      </w:r>
    </w:p>
    <w:p>
      <w:pPr>
        <w:tabs>
          <w:tab w:val="right" w:pos="8760"/>
        </w:tabs>
        <w:spacing w:after="60" w:before="60"/>
      </w:pPr>
      <w:r>
        <w:rPr>
          <w:rFonts w:ascii="Arial" w:cs="Arial" w:eastAsia="Arial" w:hAnsi="Arial"/>
          <w:color w:val="1B2A4A"/>
          <w:sz w:val="22"/>
          <w:szCs w:val="22"/>
        </w:rPr>
        <w:t xml:space="preserve">7. Data Standards &amp; Governance</w:t>
      </w:r>
      <w:r>
        <w:rPr>
          <w:rFonts w:ascii="Arial" w:cs="Arial" w:eastAsia="Arial" w:hAnsi="Arial"/>
          <w:color w:val="64748B"/>
          <w:sz w:val="22"/>
          <w:szCs w:val="22"/>
        </w:rPr>
        <w:t xml:space="preserve">	12</w:t>
      </w:r>
    </w:p>
    <w:p>
      <w:pPr>
        <w:tabs>
          <w:tab w:val="right" w:pos="8760"/>
        </w:tabs>
        <w:spacing w:after="60" w:before="60"/>
      </w:pPr>
      <w:r>
        <w:rPr>
          <w:rFonts w:ascii="Arial" w:cs="Arial" w:eastAsia="Arial" w:hAnsi="Arial"/>
          <w:color w:val="1B2A4A"/>
          <w:sz w:val="22"/>
          <w:szCs w:val="22"/>
        </w:rPr>
        <w:t xml:space="preserve">8. Definition of Ready &amp; Done</w:t>
      </w:r>
      <w:r>
        <w:rPr>
          <w:rFonts w:ascii="Arial" w:cs="Arial" w:eastAsia="Arial" w:hAnsi="Arial"/>
          <w:color w:val="64748B"/>
          <w:sz w:val="22"/>
          <w:szCs w:val="22"/>
        </w:rPr>
        <w:t xml:space="preserve">	13</w:t>
      </w:r>
    </w:p>
    <w:p>
      <w:pPr>
        <w:tabs>
          <w:tab w:val="right" w:pos="8760"/>
        </w:tabs>
        <w:spacing w:after="60" w:before="60"/>
      </w:pPr>
      <w:r>
        <w:rPr>
          <w:rFonts w:ascii="Arial" w:cs="Arial" w:eastAsia="Arial" w:hAnsi="Arial"/>
          <w:color w:val="1B2A4A"/>
          <w:sz w:val="22"/>
          <w:szCs w:val="22"/>
        </w:rPr>
        <w:t xml:space="preserve">9. Communication Norms</w:t>
      </w:r>
      <w:r>
        <w:rPr>
          <w:rFonts w:ascii="Arial" w:cs="Arial" w:eastAsia="Arial" w:hAnsi="Arial"/>
          <w:color w:val="64748B"/>
          <w:sz w:val="22"/>
          <w:szCs w:val="22"/>
        </w:rPr>
        <w:t xml:space="preserve">	14</w:t>
      </w:r>
    </w:p>
    <w:p>
      <w:pPr>
        <w:tabs>
          <w:tab w:val="right" w:pos="8760"/>
        </w:tabs>
        <w:spacing w:after="60" w:before="60"/>
      </w:pPr>
      <w:r>
        <w:rPr>
          <w:rFonts w:ascii="Arial" w:cs="Arial" w:eastAsia="Arial" w:hAnsi="Arial"/>
          <w:color w:val="1B2A4A"/>
          <w:sz w:val="22"/>
          <w:szCs w:val="22"/>
        </w:rPr>
        <w:t xml:space="preserve">10. Tools Access &amp; Setup Guide</w:t>
      </w:r>
      <w:r>
        <w:rPr>
          <w:rFonts w:ascii="Arial" w:cs="Arial" w:eastAsia="Arial" w:hAnsi="Arial"/>
          <w:color w:val="64748B"/>
          <w:sz w:val="22"/>
          <w:szCs w:val="22"/>
        </w:rPr>
        <w:t xml:space="preserve">	15</w:t>
      </w:r>
    </w:p>
    <w:p>
      <w:pPr>
        <w:tabs>
          <w:tab w:val="right" w:pos="8760"/>
        </w:tabs>
        <w:spacing w:after="60" w:before="60"/>
      </w:pPr>
      <w:r>
        <w:rPr>
          <w:rFonts w:ascii="Arial" w:cs="Arial" w:eastAsia="Arial" w:hAnsi="Arial"/>
          <w:color w:val="1B2A4A"/>
          <w:sz w:val="22"/>
          <w:szCs w:val="22"/>
        </w:rPr>
        <w:t xml:space="preserve">11. Your First 30 Days</w:t>
      </w:r>
      <w:r>
        <w:rPr>
          <w:rFonts w:ascii="Arial" w:cs="Arial" w:eastAsia="Arial" w:hAnsi="Arial"/>
          <w:color w:val="64748B"/>
          <w:sz w:val="22"/>
          <w:szCs w:val="22"/>
        </w:rPr>
        <w:t xml:space="preserve">	18</w:t>
      </w:r>
    </w:p>
    <w:p>
      <w:pPr>
        <w:tabs>
          <w:tab w:val="right" w:pos="8760"/>
        </w:tabs>
        <w:spacing w:after="60" w:before="60"/>
      </w:pPr>
      <w:r>
        <w:rPr>
          <w:rFonts w:ascii="Arial" w:cs="Arial" w:eastAsia="Arial" w:hAnsi="Arial"/>
          <w:color w:val="1B2A4A"/>
          <w:sz w:val="22"/>
          <w:szCs w:val="22"/>
        </w:rPr>
        <w:t xml:space="preserve">12. Key Contacts</w:t>
      </w:r>
      <w:r>
        <w:rPr>
          <w:rFonts w:ascii="Arial" w:cs="Arial" w:eastAsia="Arial" w:hAnsi="Arial"/>
          <w:color w:val="64748B"/>
          <w:sz w:val="22"/>
          <w:szCs w:val="22"/>
        </w:rPr>
        <w:t xml:space="preserve">	19</w:t>
      </w:r>
    </w:p>
    <w:p>
      <w:r>
        <w:br w:type="page"/>
      </w:r>
    </w:p>
    <w:p>
      <w:pPr>
        <w:pStyle w:val="Heading1"/>
        <w:spacing w:after="100" w:before="400"/>
      </w:pPr>
      <w:r>
        <w:rPr>
          <w:rFonts w:ascii="Arial" w:cs="Arial" w:eastAsia="Arial" w:hAnsi="Arial"/>
          <w:b/>
          <w:bCs/>
          <w:color w:val="712B13"/>
          <w:sz w:val="34"/>
          <w:szCs w:val="34"/>
        </w:rPr>
        <w:t xml:space="preserve">1. Welcome to the CX &amp; NPS Team</w:t>
      </w:r>
    </w:p>
    <w:p>
      <w:pPr>
        <w:pBdr>
          <w:bottom w:val="single" w:color="D85A30" w:sz="10" w:space="1"/>
        </w:pBdr>
        <w:spacing w:after="160" w:before="60"/>
      </w:pPr>
    </w:p>
    <w:p>
      <w:pPr>
        <w:spacing w:after="60" w:before="60"/>
      </w:pPr>
      <w:r>
        <w:rPr>
          <w:rFonts w:ascii="Arial" w:cs="Arial" w:eastAsia="Arial" w:hAnsi="Arial"/>
          <w:color w:val="222222"/>
          <w:sz w:val="22"/>
          <w:szCs w:val="22"/>
        </w:rPr>
        <w:t xml:space="preserve">Welcome! You've joined the Customer Experience &amp; NPS Team — the insight engine of Nexora's Commercial Excellence &amp; Quality Department. We own the measurement, understanding, and improvement of how customers experience Nexora — across every touchpoint, from first sale to long-term partnership.</w:t>
      </w:r>
    </w:p>
    <w:p>
      <w:pPr>
        <w:spacing w:after="60" w:before="40"/>
      </w:pPr>
    </w:p>
    <w:p>
      <w:pPr>
        <w:spacing w:after="60" w:before="60"/>
      </w:pPr>
      <w:r>
        <w:rPr>
          <w:rFonts w:ascii="Arial" w:cs="Arial" w:eastAsia="Arial" w:hAnsi="Arial"/>
          <w:color w:val="222222"/>
          <w:sz w:val="22"/>
          <w:szCs w:val="22"/>
        </w:rPr>
        <w:t xml:space="preserve">Our work is not just about scores. It's about understanding the story behind the numbers and turning that story into action that improves real customer outcomes.</w:t>
      </w:r>
    </w:p>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D85A30"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D85A30"/>
                <w:sz w:val="20"/>
                <w:szCs w:val="20"/>
              </w:rPr>
              <w:t xml:space="preserve">OUR MISSION</w:t>
            </w:r>
          </w:p>
          <w:p>
            <w:pPr>
              <w:spacing w:before="40"/>
            </w:pPr>
            <w:r>
              <w:rPr>
                <w:rFonts w:ascii="Arial" w:cs="Arial" w:eastAsia="Arial" w:hAnsi="Arial"/>
                <w:color w:val="444444"/>
                <w:sz w:val="20"/>
                <w:szCs w:val="20"/>
              </w:rPr>
              <w:t xml:space="preserve">To give Nexora's leadership and commercial teams a clear, honest, and actionable picture of customer experience — so every decision that affects customers is made with the customer's voice in the room.</w:t>
            </w:r>
          </w:p>
        </w:tc>
      </w:tr>
    </w:tbl>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Team name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Customer Experience &amp; NPS Team, CEQ Department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Our products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NPS programme, CX dashboards, journey maps, VoC reports, CX impact analyses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Primary consumers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CEO, CCO, Sales VPs, Customer Success, Product teams, Marketing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Your manager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CX Team Lead — see Workday]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Handbook version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v1.0, January 2026</w:t>
            </w:r>
          </w:p>
        </w:tc>
      </w:tr>
    </w:tbl>
    <w:p>
      <w:r>
        <w:br w:type="page"/>
      </w:r>
    </w:p>
    <w:p>
      <w:pPr>
        <w:pStyle w:val="Heading1"/>
        <w:spacing w:after="100" w:before="400"/>
      </w:pPr>
      <w:r>
        <w:rPr>
          <w:rFonts w:ascii="Arial" w:cs="Arial" w:eastAsia="Arial" w:hAnsi="Arial"/>
          <w:b/>
          <w:bCs/>
          <w:color w:val="712B13"/>
          <w:sz w:val="34"/>
          <w:szCs w:val="34"/>
        </w:rPr>
        <w:t xml:space="preserve">2. Department Structure — Three Pillars</w:t>
      </w:r>
    </w:p>
    <w:p>
      <w:pPr>
        <w:pBdr>
          <w:bottom w:val="single" w:color="D85A30" w:sz="10" w:space="1"/>
        </w:pBdr>
        <w:spacing w:after="160" w:before="60"/>
      </w:pPr>
    </w:p>
    <w:p>
      <w:pPr>
        <w:pStyle w:val="Heading2"/>
        <w:spacing w:after="80" w:before="280"/>
      </w:pPr>
      <w:r>
        <w:rPr>
          <w:rFonts w:ascii="Arial" w:cs="Arial" w:eastAsia="Arial" w:hAnsi="Arial"/>
          <w:b/>
          <w:bCs/>
          <w:color w:val="D85A30"/>
          <w:sz w:val="26"/>
          <w:szCs w:val="26"/>
        </w:rPr>
        <w:t xml:space="preserve">Commercial Excellence &amp; Quality Department</w:t>
      </w:r>
    </w:p>
    <w:p>
      <w:pPr>
        <w:spacing w:after="60" w:before="60"/>
      </w:pPr>
      <w:r>
        <w:rPr>
          <w:rFonts w:ascii="Arial" w:cs="Arial" w:eastAsia="Arial" w:hAnsi="Arial"/>
          <w:color w:val="222222"/>
          <w:sz w:val="22"/>
          <w:szCs w:val="22"/>
        </w:rPr>
        <w:t xml:space="preserve">The CEQ Department drives Nexora's commercial performance and quality standards globally. It operates across three functions: Sales Excellence (methodology, training, and revenue analytics), Customer Experience &amp; NPS (our team — measurement and insight), and Quality Assurance (product/service quality standards and compliance).</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560"/>
      </w:tblGrid>
      <w:tr>
        <w:tc>
          <w:tcPr>
            <w:tcW w:type="dxa" w:w="2200"/>
            <w:tcBorders>
              <w:top w:val="single" w:color="D85A30" w:sz="4"/>
              <w:left w:val="single" w:color="D85A30" w:sz="4"/>
              <w:bottom w:val="single" w:color="D85A30" w:sz="4"/>
              <w:right w:val="single" w:color="D85A30" w:sz="4"/>
            </w:tcBorders>
            <w:shd w:fill="D85A30"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3000"/>
            <w:tcBorders>
              <w:top w:val="single" w:color="D85A30" w:sz="4"/>
              <w:left w:val="single" w:color="D85A30" w:sz="4"/>
              <w:bottom w:val="single" w:color="D85A30" w:sz="4"/>
              <w:right w:val="single" w:color="D85A30" w:sz="4"/>
            </w:tcBorders>
            <w:shd w:fill="D85A30" w:val="clear"/>
            <w:tcMar>
              <w:top w:type="dxa" w:w="80"/>
              <w:left w:type="dxa" w:w="140"/>
              <w:bottom w:type="dxa" w:w="80"/>
              <w:right w:type="dxa" w:w="140"/>
            </w:tcMar>
          </w:tcPr>
          <w:p>
            <w:r>
              <w:rPr>
                <w:rFonts w:ascii="Arial" w:cs="Arial" w:eastAsia="Arial" w:hAnsi="Arial"/>
                <w:b/>
                <w:bCs/>
                <w:color w:val="FFFFFF"/>
                <w:sz w:val="20"/>
                <w:szCs w:val="20"/>
              </w:rPr>
              <w:t xml:space="preserve">Made up of</w:t>
            </w:r>
          </w:p>
        </w:tc>
        <w:tc>
          <w:tcPr>
            <w:tcW w:type="dxa" w:w="3560"/>
            <w:tcBorders>
              <w:top w:val="single" w:color="D85A30" w:sz="4"/>
              <w:left w:val="single" w:color="D85A30" w:sz="4"/>
              <w:bottom w:val="single" w:color="D85A30" w:sz="4"/>
              <w:right w:val="single" w:color="D85A30" w:sz="4"/>
            </w:tcBorders>
            <w:shd w:fill="D85A30" w:val="clear"/>
            <w:tcMar>
              <w:top w:type="dxa" w:w="80"/>
              <w:left w:type="dxa" w:w="140"/>
              <w:bottom w:type="dxa" w:w="80"/>
              <w:right w:type="dxa" w:w="140"/>
            </w:tcMar>
          </w:tcPr>
          <w:p>
            <w:r>
              <w:rPr>
                <w:rFonts w:ascii="Arial" w:cs="Arial" w:eastAsia="Arial" w:hAnsi="Arial"/>
                <w:b/>
                <w:bCs/>
                <w:color w:val="FFFFFF"/>
                <w:sz w:val="20"/>
                <w:szCs w:val="20"/>
              </w:rPr>
              <w:t xml:space="preserve">Focuses on</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Sales Excellence</w:t>
            </w:r>
          </w:p>
        </w:tc>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Sales Methodology Specialists, Revenue Analytics</w:t>
            </w:r>
          </w:p>
        </w:tc>
        <w:tc>
          <w:tcPr>
            <w:tcW w:type="dxa" w:w="3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Sales process design, rep effectiveness, pipeline quality, win/loss analysis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CX &amp; NPS Team (YOU)</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CX Analysts, NPS Programme Managers, Journey Mapping Specialists</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NPS programme, CSAT, CES, journey mapping, VoC, CX impact quantification</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Quality Assurance</w:t>
            </w:r>
          </w:p>
        </w:tc>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QA Analysts, Process Standards Leads</w:t>
            </w:r>
          </w:p>
        </w:tc>
        <w:tc>
          <w:tcPr>
            <w:tcW w:type="dxa" w:w="3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 quality standards, compliance audits, process improvement, ISO certification</w:t>
            </w:r>
          </w:p>
        </w:tc>
      </w:tr>
    </w:tbl>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D85A30"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D85A30"/>
                <w:sz w:val="20"/>
                <w:szCs w:val="20"/>
              </w:rPr>
              <w:t xml:space="preserve">YOUR POSITION</w:t>
            </w:r>
          </w:p>
          <w:p>
            <w:pPr>
              <w:spacing w:before="40"/>
            </w:pPr>
            <w:r>
              <w:rPr>
                <w:rFonts w:ascii="Arial" w:cs="Arial" w:eastAsia="Arial" w:hAnsi="Arial"/>
                <w:color w:val="444444"/>
                <w:sz w:val="20"/>
                <w:szCs w:val="20"/>
              </w:rPr>
              <w:t xml:space="preserve">The CX &amp; NPS team is the connective tissue between the customer and every team at Nexora. You gather signals, translate them into insight, and ensure those insights reach the people with the power to act on them.</w:t>
            </w:r>
          </w:p>
        </w:tc>
      </w:tr>
    </w:tbl>
    <w:p>
      <w:r>
        <w:br w:type="page"/>
      </w:r>
    </w:p>
    <w:p>
      <w:pPr>
        <w:pStyle w:val="Heading1"/>
        <w:spacing w:after="100" w:before="400"/>
      </w:pPr>
      <w:r>
        <w:rPr>
          <w:rFonts w:ascii="Arial" w:cs="Arial" w:eastAsia="Arial" w:hAnsi="Arial"/>
          <w:b/>
          <w:bCs/>
          <w:color w:val="712B13"/>
          <w:sz w:val="34"/>
          <w:szCs w:val="34"/>
        </w:rPr>
        <w:t xml:space="preserve">3. The CX &amp; NPS Role — What You Do</w:t>
      </w:r>
    </w:p>
    <w:p>
      <w:pPr>
        <w:pBdr>
          <w:bottom w:val="single" w:color="D85A30" w:sz="10" w:space="1"/>
        </w:pBdr>
        <w:spacing w:after="160" w:before="60"/>
      </w:pPr>
    </w:p>
    <w:p>
      <w:pPr>
        <w:pStyle w:val="Heading2"/>
        <w:spacing w:after="80" w:before="280"/>
      </w:pPr>
      <w:r>
        <w:rPr>
          <w:rFonts w:ascii="Arial" w:cs="Arial" w:eastAsia="Arial" w:hAnsi="Arial"/>
          <w:b/>
          <w:bCs/>
          <w:color w:val="D85A30"/>
          <w:sz w:val="26"/>
          <w:szCs w:val="26"/>
        </w:rPr>
        <w:t xml:space="preserve">Three Specialist Roles</w:t>
      </w:r>
    </w:p>
    <w:p>
      <w:pPr>
        <w:pStyle w:val="Heading3"/>
        <w:spacing w:after="60" w:before="180"/>
      </w:pPr>
      <w:r>
        <w:rPr>
          <w:rFonts w:ascii="Arial" w:cs="Arial" w:eastAsia="Arial" w:hAnsi="Arial"/>
          <w:b/>
          <w:bCs/>
          <w:color w:val="185FA5"/>
          <w:sz w:val="22"/>
          <w:szCs w:val="22"/>
        </w:rPr>
        <w:t xml:space="preserve">CX Analysts</w:t>
      </w:r>
    </w:p>
    <w:p>
      <w:pPr>
        <w:spacing w:after="60" w:before="60"/>
      </w:pPr>
      <w:r>
        <w:rPr>
          <w:rFonts w:ascii="Arial" w:cs="Arial" w:eastAsia="Arial" w:hAnsi="Arial"/>
          <w:color w:val="222222"/>
          <w:sz w:val="22"/>
          <w:szCs w:val="22"/>
        </w:rPr>
        <w:t xml:space="preserve">You own the data pipelines that feed CX metrics — NPS, CSAT, Customer Effort Score (CES), and bespoke survey programmes. You build and maintain dashboards, design surveys, run statistical analyses, and produce the regular insight reports consumed by the business. You are fluent in the numbers and comfortable challenging data quality issues at source.</w:t>
      </w:r>
    </w:p>
    <w:p>
      <w:pPr>
        <w:pStyle w:val="Heading3"/>
        <w:spacing w:after="60" w:before="180"/>
      </w:pPr>
      <w:r>
        <w:rPr>
          <w:rFonts w:ascii="Arial" w:cs="Arial" w:eastAsia="Arial" w:hAnsi="Arial"/>
          <w:b/>
          <w:bCs/>
          <w:color w:val="185FA5"/>
          <w:sz w:val="22"/>
          <w:szCs w:val="22"/>
        </w:rPr>
        <w:t xml:space="preserve">NPS Programme Managers</w:t>
      </w:r>
    </w:p>
    <w:p>
      <w:pPr>
        <w:spacing w:after="60" w:before="60"/>
      </w:pPr>
      <w:r>
        <w:rPr>
          <w:rFonts w:ascii="Arial" w:cs="Arial" w:eastAsia="Arial" w:hAnsi="Arial"/>
          <w:color w:val="222222"/>
          <w:sz w:val="22"/>
          <w:szCs w:val="22"/>
        </w:rPr>
        <w:t xml:space="preserve">You own the end-to-end NPS programme — survey design, distribution strategy, response rate optimisation, closed-loop follow-up, and programme governance. You partner with Customer Success, Sales, and Product to ensure NPS insights are acted on, not just reported. You track Nexora's NPS performance against industry benchmarks and set targets with the CCO.</w:t>
      </w:r>
    </w:p>
    <w:p>
      <w:pPr>
        <w:pStyle w:val="Heading3"/>
        <w:spacing w:after="60" w:before="180"/>
      </w:pPr>
      <w:r>
        <w:rPr>
          <w:rFonts w:ascii="Arial" w:cs="Arial" w:eastAsia="Arial" w:hAnsi="Arial"/>
          <w:b/>
          <w:bCs/>
          <w:color w:val="185FA5"/>
          <w:sz w:val="22"/>
          <w:szCs w:val="22"/>
        </w:rPr>
        <w:t xml:space="preserve">Journey Mapping Specialists</w:t>
      </w:r>
    </w:p>
    <w:p>
      <w:pPr>
        <w:spacing w:after="60" w:before="60"/>
      </w:pPr>
      <w:r>
        <w:rPr>
          <w:rFonts w:ascii="Arial" w:cs="Arial" w:eastAsia="Arial" w:hAnsi="Arial"/>
          <w:color w:val="222222"/>
          <w:sz w:val="22"/>
          <w:szCs w:val="22"/>
        </w:rPr>
        <w:t xml:space="preserve">You run qualitative and quantitative research to build and maintain Nexora's customer journey maps. You conduct customer interviews, synthesise survey data into journey narratives, identify moments of truth and pain points, and work with Product and CS to design journey improvements. Your outputs are used in strategic planning, product roadmap decisions, and sales training.</w:t>
      </w:r>
    </w:p>
    <w:p>
      <w:pPr>
        <w:spacing w:after="60" w:before="80"/>
      </w:pPr>
    </w:p>
    <w:p>
      <w:pPr>
        <w:pStyle w:val="Heading2"/>
        <w:spacing w:after="80" w:before="280"/>
      </w:pPr>
      <w:r>
        <w:rPr>
          <w:rFonts w:ascii="Arial" w:cs="Arial" w:eastAsia="Arial" w:hAnsi="Arial"/>
          <w:b/>
          <w:bCs/>
          <w:color w:val="D85A30"/>
          <w:sz w:val="26"/>
          <w:szCs w:val="26"/>
        </w:rPr>
        <w:t xml:space="preserve">What the CX &amp; NPS Team Does NOT Own</w:t>
      </w:r>
    </w:p>
    <w:p>
      <w:pPr>
        <w:pStyle w:val="ListParagraph"/>
        <w:numPr>
          <w:ilvl w:val="0"/>
          <w:numId w:val="2"/>
        </w:numPr>
        <w:spacing w:after="40" w:before="40"/>
      </w:pPr>
      <w:r>
        <w:rPr>
          <w:rFonts w:ascii="Arial" w:cs="Arial" w:eastAsia="Arial" w:hAnsi="Arial"/>
          <w:color w:val="333333"/>
          <w:sz w:val="22"/>
          <w:szCs w:val="22"/>
        </w:rPr>
        <w:t xml:space="preserve">Customer relationship management (that's Customer Success)</w:t>
      </w:r>
    </w:p>
    <w:p>
      <w:pPr>
        <w:pStyle w:val="ListParagraph"/>
        <w:numPr>
          <w:ilvl w:val="0"/>
          <w:numId w:val="2"/>
        </w:numPr>
        <w:spacing w:after="40" w:before="40"/>
      </w:pPr>
      <w:r>
        <w:rPr>
          <w:rFonts w:ascii="Arial" w:cs="Arial" w:eastAsia="Arial" w:hAnsi="Arial"/>
          <w:color w:val="333333"/>
          <w:sz w:val="22"/>
          <w:szCs w:val="22"/>
        </w:rPr>
        <w:t xml:space="preserve">Sales strategy or quota setting (that's Sales Excellence and Sales Leadership)</w:t>
      </w:r>
    </w:p>
    <w:p>
      <w:pPr>
        <w:pStyle w:val="ListParagraph"/>
        <w:numPr>
          <w:ilvl w:val="0"/>
          <w:numId w:val="2"/>
        </w:numPr>
        <w:spacing w:after="40" w:before="40"/>
      </w:pPr>
      <w:r>
        <w:rPr>
          <w:rFonts w:ascii="Arial" w:cs="Arial" w:eastAsia="Arial" w:hAnsi="Arial"/>
          <w:color w:val="333333"/>
          <w:sz w:val="22"/>
          <w:szCs w:val="22"/>
        </w:rPr>
        <w:t xml:space="preserve">Product roadmap decisions (that's Product — you provide the CX evidence base)</w:t>
      </w:r>
    </w:p>
    <w:p>
      <w:pPr>
        <w:pStyle w:val="ListParagraph"/>
        <w:numPr>
          <w:ilvl w:val="0"/>
          <w:numId w:val="2"/>
        </w:numPr>
        <w:spacing w:after="40" w:before="40"/>
      </w:pPr>
      <w:r>
        <w:rPr>
          <w:rFonts w:ascii="Arial" w:cs="Arial" w:eastAsia="Arial" w:hAnsi="Arial"/>
          <w:color w:val="333333"/>
          <w:sz w:val="22"/>
          <w:szCs w:val="22"/>
        </w:rPr>
        <w:t xml:space="preserve">Quality standards and audits (that's the QA team)</w:t>
      </w:r>
    </w:p>
    <w:p>
      <w:pPr>
        <w:spacing w:after="60" w:before="80"/>
      </w:pPr>
    </w:p>
    <w:p>
      <w:pPr>
        <w:pStyle w:val="Heading2"/>
        <w:spacing w:after="80" w:before="280"/>
      </w:pPr>
      <w:r>
        <w:rPr>
          <w:rFonts w:ascii="Arial" w:cs="Arial" w:eastAsia="Arial" w:hAnsi="Arial"/>
          <w:b/>
          <w:bCs/>
          <w:color w:val="D85A30"/>
          <w:sz w:val="26"/>
          <w:szCs w:val="26"/>
        </w:rPr>
        <w:t xml:space="preserve">Key Skills Across the Team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CX analytics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Survey design, statistical analysis, NPS/CSAT/CES methodology, regression, cohort analysis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Data tools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Qualtrics, Medallia, Power BI, SQL, Python (pandas) — varies by role</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Storytelling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Translating complex CX data into clear narrative for non-analytical executives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Research methods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Customer interviews, usability testing, diary studies, focus groups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Journey mapping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 design tools, Miro, customer empathy and journey frameworks (JTBD, double diamond)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Programme management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Coordinating multi-stakeholder NPS closed-loop processes across 47 offices</w:t>
            </w:r>
          </w:p>
        </w:tc>
      </w:tr>
    </w:tbl>
    <w:p>
      <w:r>
        <w:br w:type="page"/>
      </w:r>
    </w:p>
    <w:p>
      <w:pPr>
        <w:pStyle w:val="Heading1"/>
        <w:spacing w:after="100" w:before="400"/>
      </w:pPr>
      <w:r>
        <w:rPr>
          <w:rFonts w:ascii="Arial" w:cs="Arial" w:eastAsia="Arial" w:hAnsi="Arial"/>
          <w:b/>
          <w:bCs/>
          <w:color w:val="712B13"/>
          <w:sz w:val="34"/>
          <w:szCs w:val="34"/>
        </w:rPr>
        <w:t xml:space="preserve">4. How We Work — Sprint Cadence</w:t>
      </w:r>
    </w:p>
    <w:p>
      <w:pPr>
        <w:pBdr>
          <w:bottom w:val="single" w:color="D85A30" w:sz="10" w:space="1"/>
        </w:pBdr>
        <w:spacing w:after="160" w:before="60"/>
      </w:pPr>
    </w:p>
    <w:p>
      <w:pPr>
        <w:spacing w:after="60" w:before="60"/>
      </w:pPr>
      <w:r>
        <w:rPr>
          <w:rFonts w:ascii="Arial" w:cs="Arial" w:eastAsia="Arial" w:hAnsi="Arial"/>
          <w:color w:val="222222"/>
          <w:sz w:val="22"/>
          <w:szCs w:val="22"/>
        </w:rPr>
        <w:t xml:space="preserve">The CX &amp; NPS team operates in 2-week sprints. Our backlog blends recurring programme operations (monthly NPS report, quarterly journey review) with project work (new survey deployment, dashboard build, ad hoc insight request).</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length</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2 weeks (Monday–Friday)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planning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Monday Week 1, 1.5h — prioritise backlog; flag programme deadlines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Every morning, 15 min — blockers, survey response rates, data issues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Insight Refinement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Wednesday Week 1, 90 min — groom new insight requests; scope and estimate</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review</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Friday Week 2, 45 min — present completed dashboards and reports to CCO and stakeholders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Retrospective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Friday Week 2, 45 min — improve team processes</w:t>
            </w:r>
          </w:p>
        </w:tc>
      </w:tr>
    </w:tbl>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D85A30"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D85A30"/>
                <w:sz w:val="20"/>
                <w:szCs w:val="20"/>
              </w:rPr>
              <w:t xml:space="preserve">PROGRAMME OPERATIONS VS PROJECT WORK</w:t>
            </w:r>
          </w:p>
          <w:p>
            <w:pPr>
              <w:spacing w:before="40"/>
            </w:pPr>
            <w:r>
              <w:rPr>
                <w:rFonts w:ascii="Arial" w:cs="Arial" w:eastAsia="Arial" w:hAnsi="Arial"/>
                <w:color w:val="444444"/>
                <w:sz w:val="20"/>
                <w:szCs w:val="20"/>
              </w:rPr>
              <w:t xml:space="preserve">About 40% of our sprint capacity is consumed by recurring programme operations (NPS survey send, data quality checks, monthly reporting). The remaining 60% is available for project work and ad hoc requests. When estimating sprint capacity, always account for the recurring 40% first.</w:t>
            </w:r>
          </w:p>
        </w:tc>
      </w:tr>
    </w:tbl>
    <w:p>
      <w:r>
        <w:br w:type="page"/>
      </w:r>
    </w:p>
    <w:p>
      <w:pPr>
        <w:pStyle w:val="Heading1"/>
        <w:spacing w:after="100" w:before="400"/>
      </w:pPr>
      <w:r>
        <w:rPr>
          <w:rFonts w:ascii="Arial" w:cs="Arial" w:eastAsia="Arial" w:hAnsi="Arial"/>
          <w:b/>
          <w:bCs/>
          <w:color w:val="712B13"/>
          <w:sz w:val="34"/>
          <w:szCs w:val="34"/>
        </w:rPr>
        <w:t xml:space="preserve">5. CX Measurement &amp; NPS Programme Flow</w:t>
      </w:r>
    </w:p>
    <w:p>
      <w:pPr>
        <w:pBdr>
          <w:bottom w:val="single" w:color="D85A30" w:sz="10" w:space="1"/>
        </w:pBdr>
        <w:spacing w:after="160" w:before="60"/>
      </w:pPr>
    </w:p>
    <w:p>
      <w:pPr>
        <w:pStyle w:val="Heading2"/>
        <w:spacing w:after="80" w:before="280"/>
      </w:pPr>
      <w:r>
        <w:rPr>
          <w:rFonts w:ascii="Arial" w:cs="Arial" w:eastAsia="Arial" w:hAnsi="Arial"/>
          <w:b/>
          <w:bCs/>
          <w:color w:val="D85A30"/>
          <w:sz w:val="26"/>
          <w:szCs w:val="26"/>
        </w:rPr>
        <w:t xml:space="preserve">How NPS Works at Nexora</w:t>
      </w:r>
    </w:p>
    <w:p>
      <w:pPr>
        <w:spacing w:after="60" w:before="60"/>
      </w:pPr>
      <w:r>
        <w:rPr>
          <w:rFonts w:ascii="Arial" w:cs="Arial" w:eastAsia="Arial" w:hAnsi="Arial"/>
          <w:color w:val="222222"/>
          <w:sz w:val="22"/>
          <w:szCs w:val="22"/>
        </w:rPr>
        <w:t xml:space="preserve">Nexora runs a Relationship NPS programme (r-NPS) quarterly across all customer accounts, and a Transactional NPS programme (t-NPS) triggered by key customer events (contract renewal, onboarding completion, support case closure).</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360"/>
      </w:tblGrid>
      <w:tr>
        <w:tc>
          <w:tcPr>
            <w:tcW w:type="dxa" w:w="2200"/>
            <w:tcBorders>
              <w:top w:val="single" w:color="D85A30" w:sz="4"/>
              <w:left w:val="single" w:color="D85A30" w:sz="4"/>
              <w:bottom w:val="single" w:color="D85A30" w:sz="4"/>
              <w:right w:val="single" w:color="D85A30" w:sz="4"/>
            </w:tcBorders>
            <w:shd w:fill="D85A30"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200"/>
            <w:tcBorders>
              <w:top w:val="single" w:color="D85A30" w:sz="4"/>
              <w:left w:val="single" w:color="D85A30" w:sz="4"/>
              <w:bottom w:val="single" w:color="D85A30" w:sz="4"/>
              <w:right w:val="single" w:color="D85A30" w:sz="4"/>
            </w:tcBorders>
            <w:shd w:fill="D85A30"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4360"/>
            <w:tcBorders>
              <w:top w:val="single" w:color="D85A30" w:sz="4"/>
              <w:left w:val="single" w:color="D85A30" w:sz="4"/>
              <w:bottom w:val="single" w:color="D85A30" w:sz="4"/>
              <w:right w:val="single" w:color="D85A30" w:sz="4"/>
            </w:tcBorders>
            <w:shd w:fill="D85A30"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1. Survey design &amp; approval</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NPS Programme Manager + CCO</w:t>
            </w:r>
          </w:p>
        </w:tc>
        <w:tc>
          <w:tcPr>
            <w:tcW w:type="dxa" w:w="4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Survey instrument reviewed and approved. Question set, scale, and open-text prompts confirmed. Exclusion list updated.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 Distribution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NPS Programme Manager + CS Ops</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Survey distributed via Qualtrics to eligible contacts. Distribution managed to avoid survey fatigue (max 1 survey per contact per quarter).</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3. Response monitoring</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CX Analyst</w:t>
            </w:r>
          </w:p>
        </w:tc>
        <w:tc>
          <w:tcPr>
            <w:tcW w:type="dxa" w:w="4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Response rates monitored daily. Reminder sent at Day 7 to non-responders. Survey closes at Day 14.</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4. Data processing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CX Analyst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Responses cleaned, categorised (Promoter/Passive/Detractor), and loaded into Snowflake. Verbatim comments tagged by theme using NLP classification.</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5. Closed-loop follow-up</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NPS Programme Manager + CS team</w:t>
            </w:r>
          </w:p>
        </w:tc>
        <w:tc>
          <w:tcPr>
            <w:tcW w:type="dxa" w:w="4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Detractors contacted within 48 hours by their CSM. Promoters flagged for reference and advocacy programmes.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6. Insight report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CX Analyst + NPS Programme Manager</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Monthly/quarterly NPS report produced in Power BI and narrative deck. Distributed to CCO, Sales VPs, CS leadership, and Product VP.</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7. Action planning</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NPS Programme Manager + stakeholders</w:t>
            </w:r>
          </w:p>
        </w:tc>
        <w:tc>
          <w:tcPr>
            <w:tcW w:type="dxa" w:w="4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Top themes converted to action items. Owners assigned. Progress tracked in Jira and reviewed at next NPS Business Review.</w:t>
            </w:r>
          </w:p>
        </w:tc>
      </w:tr>
    </w:tbl>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D85A30"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D85A30"/>
                <w:sz w:val="20"/>
                <w:szCs w:val="20"/>
              </w:rPr>
              <w:t xml:space="preserve">CLOSED-LOOP IS NON-NEGOTIABLE</w:t>
            </w:r>
          </w:p>
          <w:p>
            <w:pPr>
              <w:spacing w:before="40"/>
            </w:pPr>
            <w:r>
              <w:rPr>
                <w:rFonts w:ascii="Arial" w:cs="Arial" w:eastAsia="Arial" w:hAnsi="Arial"/>
                <w:color w:val="444444"/>
                <w:sz w:val="20"/>
                <w:szCs w:val="20"/>
              </w:rPr>
              <w:t xml:space="preserve">A Detractor who is not contacted within 48 hours is a churn risk. The NPS Programme Manager is responsible for ensuring the CSM receives the alert and confirms contact. If a CSM does not respond within 24 hours of the alert, escalate to the CS Team Lead.</w:t>
            </w:r>
          </w:p>
        </w:tc>
      </w:tr>
    </w:tbl>
    <w:p>
      <w:r>
        <w:br w:type="page"/>
      </w:r>
    </w:p>
    <w:p>
      <w:pPr>
        <w:pStyle w:val="Heading1"/>
        <w:spacing w:after="100" w:before="400"/>
      </w:pPr>
      <w:r>
        <w:rPr>
          <w:rFonts w:ascii="Arial" w:cs="Arial" w:eastAsia="Arial" w:hAnsi="Arial"/>
          <w:b/>
          <w:bCs/>
          <w:color w:val="712B13"/>
          <w:sz w:val="34"/>
          <w:szCs w:val="34"/>
        </w:rPr>
        <w:t xml:space="preserve">6. Meetings &amp; Ceremonies</w:t>
      </w:r>
    </w:p>
    <w:p>
      <w:pPr>
        <w:pBdr>
          <w:bottom w:val="single" w:color="D85A30"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D85A30" w:sz="4"/>
              <w:left w:val="single" w:color="D85A30" w:sz="4"/>
              <w:bottom w:val="single" w:color="D85A30" w:sz="4"/>
              <w:right w:val="single" w:color="D85A30" w:sz="4"/>
            </w:tcBorders>
            <w:shd w:fill="D85A30" w:val="clear"/>
            <w:tcMar>
              <w:top w:type="dxa" w:w="80"/>
              <w:left w:type="dxa" w:w="140"/>
              <w:bottom w:type="dxa" w:w="80"/>
              <w:right w:type="dxa" w:w="140"/>
            </w:tcMar>
          </w:tcPr>
          <w:p>
            <w:r>
              <w:rPr>
                <w:rFonts w:ascii="Arial" w:cs="Arial" w:eastAsia="Arial" w:hAnsi="Arial"/>
                <w:b/>
                <w:bCs/>
                <w:color w:val="FFFFFF"/>
                <w:sz w:val="20"/>
                <w:szCs w:val="20"/>
              </w:rPr>
              <w:t xml:space="preserve">Meeting</w:t>
            </w:r>
          </w:p>
        </w:tc>
        <w:tc>
          <w:tcPr>
            <w:tcW w:type="dxa" w:w="2200"/>
            <w:tcBorders>
              <w:top w:val="single" w:color="D85A30" w:sz="4"/>
              <w:left w:val="single" w:color="D85A30" w:sz="4"/>
              <w:bottom w:val="single" w:color="D85A30" w:sz="4"/>
              <w:right w:val="single" w:color="D85A30" w:sz="4"/>
            </w:tcBorders>
            <w:shd w:fill="D85A30" w:val="clear"/>
            <w:tcMar>
              <w:top w:type="dxa" w:w="80"/>
              <w:left w:type="dxa" w:w="140"/>
              <w:bottom w:type="dxa" w:w="80"/>
              <w:right w:type="dxa" w:w="140"/>
            </w:tcMar>
          </w:tcPr>
          <w:p>
            <w:r>
              <w:rPr>
                <w:rFonts w:ascii="Arial" w:cs="Arial" w:eastAsia="Arial" w:hAnsi="Arial"/>
                <w:b/>
                <w:bCs/>
                <w:color w:val="FFFFFF"/>
                <w:sz w:val="20"/>
                <w:szCs w:val="20"/>
              </w:rPr>
              <w:t xml:space="preserve">Frequency / Duration</w:t>
            </w:r>
          </w:p>
        </w:tc>
        <w:tc>
          <w:tcPr>
            <w:tcW w:type="dxa" w:w="4160"/>
            <w:tcBorders>
              <w:top w:val="single" w:color="D85A30" w:sz="4"/>
              <w:left w:val="single" w:color="D85A30" w:sz="4"/>
              <w:bottom w:val="single" w:color="D85A30" w:sz="4"/>
              <w:right w:val="single" w:color="D85A30" w:sz="4"/>
            </w:tcBorders>
            <w:shd w:fill="D85A30" w:val="clear"/>
            <w:tcMar>
              <w:top w:type="dxa" w:w="80"/>
              <w:left w:type="dxa" w:w="140"/>
              <w:bottom w:type="dxa" w:w="80"/>
              <w:right w:type="dxa" w:w="140"/>
            </w:tcMar>
          </w:tcPr>
          <w:p>
            <w:r>
              <w:rPr>
                <w:rFonts w:ascii="Arial" w:cs="Arial" w:eastAsia="Arial" w:hAnsi="Arial"/>
                <w:b/>
                <w:bCs/>
                <w:color w:val="FFFFFF"/>
                <w:sz w:val="20"/>
                <w:szCs w:val="20"/>
              </w:rPr>
              <w:t xml:space="preserve">Your role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Planning</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Monday,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commit to sprint backlog; flag programme deadlines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 15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share progress, survey response rates, data blockers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Insight Refinement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Wednesday,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Lead or contribute; scope new insight requests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Present completed dashboards and reports to CCO and stakeholders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Retrospective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Participate; raise process improvements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NPS Business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Monthly, 90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CX team presents NPS performance, trends, top themes, and action plan to CCO and Sales VP</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CX Leadership Forum</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Quarterly, 120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Present journey maps and CX impact analyses to ExCo; strategic recommendations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Closed-Loop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Weekly, 30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Review Detractor contact status; flag any at-risk accounts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CEQ All-Hands</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Monthly, 60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department-wide updates and cross-pillar learnings</w:t>
            </w:r>
          </w:p>
        </w:tc>
      </w:tr>
    </w:tbl>
    <w:p>
      <w:r>
        <w:br w:type="page"/>
      </w:r>
    </w:p>
    <w:p>
      <w:pPr>
        <w:pStyle w:val="Heading1"/>
        <w:spacing w:after="100" w:before="400"/>
      </w:pPr>
      <w:r>
        <w:rPr>
          <w:rFonts w:ascii="Arial" w:cs="Arial" w:eastAsia="Arial" w:hAnsi="Arial"/>
          <w:b/>
          <w:bCs/>
          <w:color w:val="712B13"/>
          <w:sz w:val="34"/>
          <w:szCs w:val="34"/>
        </w:rPr>
        <w:t xml:space="preserve">7. Data Standards &amp; Governance</w:t>
      </w:r>
    </w:p>
    <w:p>
      <w:pPr>
        <w:pBdr>
          <w:bottom w:val="single" w:color="D85A30" w:sz="10" w:space="1"/>
        </w:pBdr>
        <w:spacing w:after="160" w:before="60"/>
      </w:pPr>
    </w:p>
    <w:p>
      <w:pPr>
        <w:pStyle w:val="Heading2"/>
        <w:spacing w:after="80" w:before="280"/>
      </w:pPr>
      <w:r>
        <w:rPr>
          <w:rFonts w:ascii="Arial" w:cs="Arial" w:eastAsia="Arial" w:hAnsi="Arial"/>
          <w:b/>
          <w:bCs/>
          <w:color w:val="D85A30"/>
          <w:sz w:val="26"/>
          <w:szCs w:val="26"/>
        </w:rPr>
        <w:t xml:space="preserve">Survey Data Standards</w:t>
      </w:r>
    </w:p>
    <w:p>
      <w:pPr>
        <w:pStyle w:val="ListParagraph"/>
        <w:numPr>
          <w:ilvl w:val="0"/>
          <w:numId w:val="2"/>
        </w:numPr>
        <w:spacing w:after="40" w:before="40"/>
      </w:pPr>
      <w:r>
        <w:rPr>
          <w:rFonts w:ascii="Arial" w:cs="Arial" w:eastAsia="Arial" w:hAnsi="Arial"/>
          <w:color w:val="333333"/>
          <w:sz w:val="22"/>
          <w:szCs w:val="22"/>
        </w:rPr>
        <w:t xml:space="preserve">All survey instruments must be approved by the CX Team Lead and Legal (for GDPR compliance) before deployment</w:t>
      </w:r>
    </w:p>
    <w:p>
      <w:pPr>
        <w:pStyle w:val="ListParagraph"/>
        <w:numPr>
          <w:ilvl w:val="0"/>
          <w:numId w:val="2"/>
        </w:numPr>
        <w:spacing w:after="40" w:before="40"/>
      </w:pPr>
      <w:r>
        <w:rPr>
          <w:rFonts w:ascii="Arial" w:cs="Arial" w:eastAsia="Arial" w:hAnsi="Arial"/>
          <w:color w:val="333333"/>
          <w:sz w:val="22"/>
          <w:szCs w:val="22"/>
        </w:rPr>
        <w:t xml:space="preserve">Minimum response threshold: do not report segment-level NPS for groups with fewer than 10 responses</w:t>
      </w:r>
    </w:p>
    <w:p>
      <w:pPr>
        <w:pStyle w:val="ListParagraph"/>
        <w:numPr>
          <w:ilvl w:val="0"/>
          <w:numId w:val="2"/>
        </w:numPr>
        <w:spacing w:after="40" w:before="40"/>
      </w:pPr>
      <w:r>
        <w:rPr>
          <w:rFonts w:ascii="Arial" w:cs="Arial" w:eastAsia="Arial" w:hAnsi="Arial"/>
          <w:color w:val="333333"/>
          <w:sz w:val="22"/>
          <w:szCs w:val="22"/>
        </w:rPr>
        <w:t xml:space="preserve">Survey responses are stored in Qualtrics (raw) and Snowflake (processed) — never in personal drives or spreadsheets</w:t>
      </w:r>
    </w:p>
    <w:p>
      <w:pPr>
        <w:pStyle w:val="ListParagraph"/>
        <w:numPr>
          <w:ilvl w:val="0"/>
          <w:numId w:val="2"/>
        </w:numPr>
        <w:spacing w:after="40" w:before="40"/>
      </w:pPr>
      <w:r>
        <w:rPr>
          <w:rFonts w:ascii="Arial" w:cs="Arial" w:eastAsia="Arial" w:hAnsi="Arial"/>
          <w:color w:val="333333"/>
          <w:sz w:val="22"/>
          <w:szCs w:val="22"/>
        </w:rPr>
        <w:t xml:space="preserve">Customer contact data used for survey distribution is sourced from Salesforce only — never from external lists</w:t>
      </w:r>
    </w:p>
    <w:p>
      <w:pPr>
        <w:spacing w:after="60" w:before="60"/>
      </w:pPr>
    </w:p>
    <w:p>
      <w:pPr>
        <w:pStyle w:val="Heading2"/>
        <w:spacing w:after="80" w:before="280"/>
      </w:pPr>
      <w:r>
        <w:rPr>
          <w:rFonts w:ascii="Arial" w:cs="Arial" w:eastAsia="Arial" w:hAnsi="Arial"/>
          <w:b/>
          <w:bCs/>
          <w:color w:val="D85A30"/>
          <w:sz w:val="26"/>
          <w:szCs w:val="26"/>
        </w:rPr>
        <w:t xml:space="preserve">Verbatim Data Handling</w:t>
      </w:r>
    </w:p>
    <w:p>
      <w:pPr>
        <w:pStyle w:val="ListParagraph"/>
        <w:numPr>
          <w:ilvl w:val="0"/>
          <w:numId w:val="2"/>
        </w:numPr>
        <w:spacing w:after="40" w:before="40"/>
      </w:pPr>
      <w:r>
        <w:rPr>
          <w:rFonts w:ascii="Arial" w:cs="Arial" w:eastAsia="Arial" w:hAnsi="Arial"/>
          <w:color w:val="333333"/>
          <w:sz w:val="22"/>
          <w:szCs w:val="22"/>
        </w:rPr>
        <w:t xml:space="preserve">Customer verbatim comments are confidential — share at account level only with the relevant CSM and Account Executive</w:t>
      </w:r>
    </w:p>
    <w:p>
      <w:pPr>
        <w:pStyle w:val="ListParagraph"/>
        <w:numPr>
          <w:ilvl w:val="0"/>
          <w:numId w:val="2"/>
        </w:numPr>
        <w:spacing w:after="40" w:before="40"/>
      </w:pPr>
      <w:r>
        <w:rPr>
          <w:rFonts w:ascii="Arial" w:cs="Arial" w:eastAsia="Arial" w:hAnsi="Arial"/>
          <w:color w:val="333333"/>
          <w:sz w:val="22"/>
          <w:szCs w:val="22"/>
        </w:rPr>
        <w:t xml:space="preserve">Verbatim data must be anonymised before use in company-wide presentations or external reports</w:t>
      </w:r>
    </w:p>
    <w:p>
      <w:pPr>
        <w:pStyle w:val="ListParagraph"/>
        <w:numPr>
          <w:ilvl w:val="0"/>
          <w:numId w:val="2"/>
        </w:numPr>
        <w:spacing w:after="40" w:before="40"/>
      </w:pPr>
      <w:r>
        <w:rPr>
          <w:rFonts w:ascii="Arial" w:cs="Arial" w:eastAsia="Arial" w:hAnsi="Arial"/>
          <w:color w:val="333333"/>
          <w:sz w:val="22"/>
          <w:szCs w:val="22"/>
        </w:rPr>
        <w:t xml:space="preserve">NLP theme tagging is done programmatically — manual re-categorisation must be logged and justified</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D85A30"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D85A30"/>
                <w:sz w:val="20"/>
                <w:szCs w:val="20"/>
              </w:rPr>
              <w:t xml:space="preserve">GDPR &amp; CUSTOMER DATA</w:t>
            </w:r>
          </w:p>
          <w:p>
            <w:pPr>
              <w:spacing w:before="40"/>
            </w:pPr>
            <w:r>
              <w:rPr>
                <w:rFonts w:ascii="Arial" w:cs="Arial" w:eastAsia="Arial" w:hAnsi="Arial"/>
                <w:color w:val="444444"/>
                <w:sz w:val="20"/>
                <w:szCs w:val="20"/>
              </w:rPr>
              <w:t xml:space="preserve">Nexora customers have the right to opt out of NPS surveys at any time. Opt-out requests must be processed within 48 hours and recorded in Qualtrics and Salesforce. Any suspected breach involving customer survey data must be reported to the DPO at dpo@nexoraglobal.com within 24 hours.</w:t>
            </w:r>
          </w:p>
        </w:tc>
      </w:tr>
    </w:tbl>
    <w:p>
      <w:r>
        <w:br w:type="page"/>
      </w:r>
    </w:p>
    <w:p>
      <w:pPr>
        <w:pStyle w:val="Heading1"/>
        <w:spacing w:after="100" w:before="400"/>
      </w:pPr>
      <w:r>
        <w:rPr>
          <w:rFonts w:ascii="Arial" w:cs="Arial" w:eastAsia="Arial" w:hAnsi="Arial"/>
          <w:b/>
          <w:bCs/>
          <w:color w:val="712B13"/>
          <w:sz w:val="34"/>
          <w:szCs w:val="34"/>
        </w:rPr>
        <w:t xml:space="preserve">8. Definition of Ready &amp; Done</w:t>
      </w:r>
    </w:p>
    <w:p>
      <w:pPr>
        <w:pBdr>
          <w:bottom w:val="single" w:color="D85A30" w:sz="10" w:space="1"/>
        </w:pBdr>
        <w:spacing w:after="160" w:before="60"/>
      </w:pPr>
    </w:p>
    <w:p>
      <w:pPr>
        <w:pStyle w:val="Heading2"/>
        <w:spacing w:after="80" w:before="280"/>
      </w:pPr>
      <w:r>
        <w:rPr>
          <w:rFonts w:ascii="Arial" w:cs="Arial" w:eastAsia="Arial" w:hAnsi="Arial"/>
          <w:b/>
          <w:bCs/>
          <w:color w:val="D85A30"/>
          <w:sz w:val="26"/>
          <w:szCs w:val="26"/>
        </w:rPr>
        <w:t xml:space="preserve">An insight request is Ready when:</w:t>
      </w:r>
    </w:p>
    <w:p>
      <w:pPr>
        <w:pStyle w:val="ListParagraph"/>
        <w:numPr>
          <w:ilvl w:val="0"/>
          <w:numId w:val="3"/>
        </w:numPr>
        <w:spacing w:after="40" w:before="40"/>
      </w:pPr>
      <w:r>
        <w:rPr>
          <w:rFonts w:ascii="Arial" w:cs="Arial" w:eastAsia="Arial" w:hAnsi="Arial"/>
          <w:color w:val="333333"/>
          <w:sz w:val="22"/>
          <w:szCs w:val="22"/>
        </w:rPr>
        <w:t xml:space="preserve">The business question is stated in plain language</w:t>
      </w:r>
    </w:p>
    <w:p>
      <w:pPr>
        <w:pStyle w:val="ListParagraph"/>
        <w:numPr>
          <w:ilvl w:val="0"/>
          <w:numId w:val="3"/>
        </w:numPr>
        <w:spacing w:after="40" w:before="40"/>
      </w:pPr>
      <w:r>
        <w:rPr>
          <w:rFonts w:ascii="Arial" w:cs="Arial" w:eastAsia="Arial" w:hAnsi="Arial"/>
          <w:color w:val="333333"/>
          <w:sz w:val="22"/>
          <w:szCs w:val="22"/>
        </w:rPr>
        <w:t xml:space="preserve">The data source and access are confirmed</w:t>
      </w:r>
    </w:p>
    <w:p>
      <w:pPr>
        <w:pStyle w:val="ListParagraph"/>
        <w:numPr>
          <w:ilvl w:val="0"/>
          <w:numId w:val="3"/>
        </w:numPr>
        <w:spacing w:after="40" w:before="40"/>
      </w:pPr>
      <w:r>
        <w:rPr>
          <w:rFonts w:ascii="Arial" w:cs="Arial" w:eastAsia="Arial" w:hAnsi="Arial"/>
          <w:color w:val="333333"/>
          <w:sz w:val="22"/>
          <w:szCs w:val="22"/>
        </w:rPr>
        <w:t xml:space="preserve">The output format and audience are agreed (dashboard, slide deck, narrative report)</w:t>
      </w:r>
    </w:p>
    <w:p>
      <w:pPr>
        <w:pStyle w:val="ListParagraph"/>
        <w:numPr>
          <w:ilvl w:val="0"/>
          <w:numId w:val="3"/>
        </w:numPr>
        <w:spacing w:after="40" w:before="40"/>
      </w:pPr>
      <w:r>
        <w:rPr>
          <w:rFonts w:ascii="Arial" w:cs="Arial" w:eastAsia="Arial" w:hAnsi="Arial"/>
          <w:color w:val="333333"/>
          <w:sz w:val="22"/>
          <w:szCs w:val="22"/>
        </w:rPr>
        <w:t xml:space="preserve">Any GDPR or data minimisation considerations have been assessed</w:t>
      </w:r>
    </w:p>
    <w:p>
      <w:pPr>
        <w:pStyle w:val="ListParagraph"/>
        <w:numPr>
          <w:ilvl w:val="0"/>
          <w:numId w:val="3"/>
        </w:numPr>
        <w:spacing w:after="40" w:before="40"/>
      </w:pPr>
      <w:r>
        <w:rPr>
          <w:rFonts w:ascii="Arial" w:cs="Arial" w:eastAsia="Arial" w:hAnsi="Arial"/>
          <w:color w:val="333333"/>
          <w:sz w:val="22"/>
          <w:szCs w:val="22"/>
        </w:rPr>
        <w:t xml:space="preserve">Timeline is agreed with the requesting stakeholder</w:t>
      </w:r>
    </w:p>
    <w:p>
      <w:pPr>
        <w:pStyle w:val="ListParagraph"/>
        <w:numPr>
          <w:ilvl w:val="0"/>
          <w:numId w:val="3"/>
        </w:numPr>
        <w:spacing w:after="40" w:before="40"/>
      </w:pPr>
      <w:r>
        <w:rPr>
          <w:rFonts w:ascii="Arial" w:cs="Arial" w:eastAsia="Arial" w:hAnsi="Arial"/>
          <w:color w:val="333333"/>
          <w:sz w:val="22"/>
          <w:szCs w:val="22"/>
        </w:rPr>
        <w:t xml:space="preserve">Complexity and effort are estimated in the sprint</w:t>
      </w:r>
    </w:p>
    <w:p>
      <w:pPr>
        <w:spacing w:after="60" w:before="80"/>
      </w:pPr>
    </w:p>
    <w:p>
      <w:pPr>
        <w:pStyle w:val="Heading2"/>
        <w:spacing w:after="80" w:before="280"/>
      </w:pPr>
      <w:r>
        <w:rPr>
          <w:rFonts w:ascii="Arial" w:cs="Arial" w:eastAsia="Arial" w:hAnsi="Arial"/>
          <w:b/>
          <w:bCs/>
          <w:color w:val="D85A30"/>
          <w:sz w:val="26"/>
          <w:szCs w:val="26"/>
        </w:rPr>
        <w:t xml:space="preserve">Insight work is Done when:</w:t>
      </w:r>
    </w:p>
    <w:p>
      <w:pPr>
        <w:pStyle w:val="ListParagraph"/>
        <w:numPr>
          <w:ilvl w:val="0"/>
          <w:numId w:val="3"/>
        </w:numPr>
        <w:spacing w:after="40" w:before="40"/>
      </w:pPr>
      <w:r>
        <w:rPr>
          <w:rFonts w:ascii="Arial" w:cs="Arial" w:eastAsia="Arial" w:hAnsi="Arial"/>
          <w:color w:val="333333"/>
          <w:sz w:val="22"/>
          <w:szCs w:val="22"/>
        </w:rPr>
        <w:t xml:space="preserve">The analysis answers the original business question</w:t>
      </w:r>
    </w:p>
    <w:p>
      <w:pPr>
        <w:pStyle w:val="ListParagraph"/>
        <w:numPr>
          <w:ilvl w:val="0"/>
          <w:numId w:val="3"/>
        </w:numPr>
        <w:spacing w:after="40" w:before="40"/>
      </w:pPr>
      <w:r>
        <w:rPr>
          <w:rFonts w:ascii="Arial" w:cs="Arial" w:eastAsia="Arial" w:hAnsi="Arial"/>
          <w:color w:val="333333"/>
          <w:sz w:val="22"/>
          <w:szCs w:val="22"/>
        </w:rPr>
        <w:t xml:space="preserve">Output has been peer-reviewed by a team member for accuracy and methodology</w:t>
      </w:r>
    </w:p>
    <w:p>
      <w:pPr>
        <w:pStyle w:val="ListParagraph"/>
        <w:numPr>
          <w:ilvl w:val="0"/>
          <w:numId w:val="3"/>
        </w:numPr>
        <w:spacing w:after="40" w:before="40"/>
      </w:pPr>
      <w:r>
        <w:rPr>
          <w:rFonts w:ascii="Arial" w:cs="Arial" w:eastAsia="Arial" w:hAnsi="Arial"/>
          <w:color w:val="333333"/>
          <w:sz w:val="22"/>
          <w:szCs w:val="22"/>
        </w:rPr>
        <w:t xml:space="preserve">Privacy/anonymisation check completed (no &lt; n=10 segment reporting)</w:t>
      </w:r>
    </w:p>
    <w:p>
      <w:pPr>
        <w:pStyle w:val="ListParagraph"/>
        <w:numPr>
          <w:ilvl w:val="0"/>
          <w:numId w:val="3"/>
        </w:numPr>
        <w:spacing w:after="40" w:before="40"/>
      </w:pPr>
      <w:r>
        <w:rPr>
          <w:rFonts w:ascii="Arial" w:cs="Arial" w:eastAsia="Arial" w:hAnsi="Arial"/>
          <w:color w:val="333333"/>
          <w:sz w:val="22"/>
          <w:szCs w:val="22"/>
        </w:rPr>
        <w:t xml:space="preserve">Output has been shared with and acknowledged by the requesting stakeholder</w:t>
      </w:r>
    </w:p>
    <w:p>
      <w:pPr>
        <w:pStyle w:val="ListParagraph"/>
        <w:numPr>
          <w:ilvl w:val="0"/>
          <w:numId w:val="3"/>
        </w:numPr>
        <w:spacing w:after="40" w:before="40"/>
      </w:pPr>
      <w:r>
        <w:rPr>
          <w:rFonts w:ascii="Arial" w:cs="Arial" w:eastAsia="Arial" w:hAnsi="Arial"/>
          <w:color w:val="333333"/>
          <w:sz w:val="22"/>
          <w:szCs w:val="22"/>
        </w:rPr>
        <w:t xml:space="preserve">Methodology and data sources documented in Confluence</w:t>
      </w:r>
    </w:p>
    <w:p>
      <w:pPr>
        <w:pStyle w:val="ListParagraph"/>
        <w:numPr>
          <w:ilvl w:val="0"/>
          <w:numId w:val="3"/>
        </w:numPr>
        <w:spacing w:after="40" w:before="40"/>
      </w:pPr>
      <w:r>
        <w:rPr>
          <w:rFonts w:ascii="Arial" w:cs="Arial" w:eastAsia="Arial" w:hAnsi="Arial"/>
          <w:color w:val="333333"/>
          <w:sz w:val="22"/>
          <w:szCs w:val="22"/>
        </w:rPr>
        <w:t xml:space="preserve">Jira ticket updated to 'Done'</w:t>
      </w:r>
    </w:p>
    <w:p>
      <w:r>
        <w:br w:type="page"/>
      </w:r>
    </w:p>
    <w:p>
      <w:pPr>
        <w:pStyle w:val="Heading1"/>
        <w:spacing w:after="100" w:before="400"/>
      </w:pPr>
      <w:r>
        <w:rPr>
          <w:rFonts w:ascii="Arial" w:cs="Arial" w:eastAsia="Arial" w:hAnsi="Arial"/>
          <w:b/>
          <w:bCs/>
          <w:color w:val="712B13"/>
          <w:sz w:val="34"/>
          <w:szCs w:val="34"/>
        </w:rPr>
        <w:t xml:space="preserve">9. Communication Norms</w:t>
      </w:r>
    </w:p>
    <w:p>
      <w:pPr>
        <w:pBdr>
          <w:bottom w:val="single" w:color="D85A30"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#cx-nps-team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Internal team channel — daily coordination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#cx-insights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Shared with CCO, Sales VPs, CS leadership — completed insight report distribution</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#ceq-department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Department-wide channel — all three pillars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#customer-success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Join and observe — CS team is a key consumer of NPS insights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Email</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Formal reports to executives, external survey communications, Legal/compliance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Confluence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documentation, methodology notes, sprint notes, journey maps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Jira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All work items, sprint board, insight request backlog</w:t>
            </w:r>
          </w:p>
        </w:tc>
      </w:tr>
    </w:tbl>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Detractor closed-loop alert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CSM must confirm contact within 24 hours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NPS report (monthly)</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Published by 5th business day of the following month</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Ad hoc insight requests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First response within 1 business day; scoping call within 3 days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Executive data requests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Same business day acknowledgement; timeline confirmed within 24 hours</w:t>
            </w:r>
          </w:p>
        </w:tc>
      </w:tr>
    </w:tbl>
    <w:p>
      <w:r>
        <w:br w:type="page"/>
      </w:r>
    </w:p>
    <w:p>
      <w:pPr>
        <w:pStyle w:val="Heading1"/>
        <w:spacing w:after="100" w:before="400"/>
      </w:pPr>
      <w:r>
        <w:rPr>
          <w:rFonts w:ascii="Arial" w:cs="Arial" w:eastAsia="Arial" w:hAnsi="Arial"/>
          <w:b/>
          <w:bCs/>
          <w:color w:val="712B13"/>
          <w:sz w:val="34"/>
          <w:szCs w:val="34"/>
        </w:rPr>
        <w:t xml:space="preserve">10. Tools Access &amp; Setup Guide</w:t>
      </w:r>
    </w:p>
    <w:p>
      <w:pPr>
        <w:pBdr>
          <w:bottom w:val="single" w:color="D85A30" w:sz="10" w:space="1"/>
        </w:pBdr>
        <w:spacing w:after="160" w:before="60"/>
      </w:pPr>
    </w:p>
    <w:p>
      <w:pPr>
        <w:spacing w:after="60" w:before="60"/>
      </w:pPr>
      <w:r>
        <w:rPr>
          <w:rFonts w:ascii="Arial" w:cs="Arial" w:eastAsia="Arial" w:hAnsi="Arial"/>
          <w:color w:val="222222"/>
          <w:sz w:val="22"/>
          <w:szCs w:val="22"/>
        </w:rPr>
        <w:t xml:space="preserve">All access requests via ServiceNow (it.nexoraglobal.com). Tools marked DG require Data Governance approval (up to 3 business days).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D85A30"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D85A30"/>
                <w:sz w:val="20"/>
                <w:szCs w:val="20"/>
              </w:rPr>
              <w:t xml:space="preserve">DAY 1 PRIORITIES</w:t>
            </w:r>
          </w:p>
          <w:p>
            <w:pPr>
              <w:spacing w:before="40"/>
            </w:pPr>
            <w:r>
              <w:rPr>
                <w:rFonts w:ascii="Arial" w:cs="Arial" w:eastAsia="Arial" w:hAnsi="Arial"/>
                <w:color w:val="444444"/>
                <w:sz w:val="20"/>
                <w:szCs w:val="20"/>
              </w:rPr>
              <w:t xml:space="preserve">Submit Qualtrics, Salesforce (read), and Power BI access requests on Day 1. These are your three most important tools. Snowflake and Medallia may take longer — submit on Day 1 to avoid delays.</w:t>
            </w:r>
          </w:p>
        </w:tc>
      </w:tr>
    </w:tbl>
    <w:p>
      <w:pPr>
        <w:spacing w:after="60" w:before="80"/>
      </w:pPr>
    </w:p>
    <w:p>
      <w:pPr>
        <w:pStyle w:val="Heading2"/>
        <w:spacing w:after="80" w:before="280"/>
      </w:pPr>
      <w:r>
        <w:rPr>
          <w:rFonts w:ascii="Arial" w:cs="Arial" w:eastAsia="Arial" w:hAnsi="Arial"/>
          <w:b/>
          <w:bCs/>
          <w:color w:val="D85A30"/>
          <w:sz w:val="26"/>
          <w:szCs w:val="26"/>
        </w:rPr>
        <w:t xml:space="preserve">Survey &amp; CX Platforms</w:t>
      </w:r>
    </w:p>
    <w:p>
      <w:pPr>
        <w:pStyle w:val="Heading3"/>
        <w:spacing w:after="60" w:before="180"/>
      </w:pPr>
      <w:r>
        <w:rPr>
          <w:rFonts w:ascii="Arial" w:cs="Arial" w:eastAsia="Arial" w:hAnsi="Arial"/>
          <w:b/>
          <w:bCs/>
          <w:color w:val="185FA5"/>
          <w:sz w:val="22"/>
          <w:szCs w:val="22"/>
        </w:rPr>
        <w:t xml:space="preserve">Qualtrics — Survey platform and NPS engine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Qualtrics &gt; Role: CX Analyst or Programme Manager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(1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Training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NexoraLearn: 'Qualtrics for CX Teams' (3h, mandatory Week 1)</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Key projects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Nexora Relationship NPS, Transactional NPS, Onboarding CSAT, Support CES</w:t>
            </w:r>
          </w:p>
        </w:tc>
      </w:tr>
    </w:tbl>
    <w:p>
      <w:pPr>
        <w:pStyle w:val="Heading3"/>
        <w:spacing w:after="60" w:before="180"/>
      </w:pPr>
      <w:r>
        <w:rPr>
          <w:rFonts w:ascii="Arial" w:cs="Arial" w:eastAsia="Arial" w:hAnsi="Arial"/>
          <w:b/>
          <w:bCs/>
          <w:color w:val="185FA5"/>
          <w:sz w:val="22"/>
          <w:szCs w:val="22"/>
        </w:rPr>
        <w:t xml:space="preserve">Medallia — Enterprise feedback management (for large account CX)</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Medallia &gt; Role: Analyst (DG approval required)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Data Governance (3 days)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Use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Deep-dive CX analytics for enterprise accounts; text analytics; journey analytics</w:t>
            </w:r>
          </w:p>
        </w:tc>
      </w:tr>
    </w:tbl>
    <w:p>
      <w:pPr>
        <w:spacing w:after="60" w:before="80"/>
      </w:pPr>
    </w:p>
    <w:p>
      <w:pPr>
        <w:pStyle w:val="Heading2"/>
        <w:spacing w:after="80" w:before="280"/>
      </w:pPr>
      <w:r>
        <w:rPr>
          <w:rFonts w:ascii="Arial" w:cs="Arial" w:eastAsia="Arial" w:hAnsi="Arial"/>
          <w:b/>
          <w:bCs/>
          <w:color w:val="D85A30"/>
          <w:sz w:val="26"/>
          <w:szCs w:val="26"/>
        </w:rPr>
        <w:t xml:space="preserve">Data &amp; Analytics</w:t>
      </w:r>
    </w:p>
    <w:p>
      <w:pPr>
        <w:pStyle w:val="Heading3"/>
        <w:spacing w:after="60" w:before="180"/>
      </w:pPr>
      <w:r>
        <w:rPr>
          <w:rFonts w:ascii="Arial" w:cs="Arial" w:eastAsia="Arial" w:hAnsi="Arial"/>
          <w:b/>
          <w:bCs/>
          <w:color w:val="185FA5"/>
          <w:sz w:val="22"/>
          <w:szCs w:val="22"/>
        </w:rPr>
        <w:t xml:space="preserve">Salesforce — Customer and contact data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Salesforce &gt; Role: CX Read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(1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Use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Survey distribution lists, account health, CSM assignments, churn risk flags</w:t>
            </w:r>
          </w:p>
        </w:tc>
      </w:tr>
    </w:tbl>
    <w:p>
      <w:pPr>
        <w:pStyle w:val="Heading3"/>
        <w:spacing w:after="60" w:before="180"/>
      </w:pPr>
      <w:r>
        <w:rPr>
          <w:rFonts w:ascii="Arial" w:cs="Arial" w:eastAsia="Arial" w:hAnsi="Arial"/>
          <w:b/>
          <w:bCs/>
          <w:color w:val="185FA5"/>
          <w:sz w:val="22"/>
          <w:szCs w:val="22"/>
        </w:rPr>
        <w:t xml:space="preserve">Snowflake — CX data warehouse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Data Platform &gt; Snowflake &gt; Schema: CX_ANALYTICS (DG approval)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Data Governance (3 days)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Use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NPS trend analysis, cohort analysis, survey response data combined with commercial data</w:t>
            </w:r>
          </w:p>
        </w:tc>
      </w:tr>
    </w:tbl>
    <w:p>
      <w:pPr>
        <w:pStyle w:val="Heading3"/>
        <w:spacing w:after="60" w:before="180"/>
      </w:pPr>
      <w:r>
        <w:rPr>
          <w:rFonts w:ascii="Arial" w:cs="Arial" w:eastAsia="Arial" w:hAnsi="Arial"/>
          <w:b/>
          <w:bCs/>
          <w:color w:val="185FA5"/>
          <w:sz w:val="22"/>
          <w:szCs w:val="22"/>
        </w:rPr>
        <w:t xml:space="preserve">Power BI — NPS and CX dashboards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Power BI &gt; Workspace: CEQ Customer Experience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(1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Key dashboards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NPS Scorecard, CX Health by Account, Journey Funnel, Closed-Loop Tracker</w:t>
            </w:r>
          </w:p>
        </w:tc>
      </w:tr>
    </w:tbl>
    <w:p>
      <w:pPr>
        <w:spacing w:after="60" w:before="80"/>
      </w:pPr>
    </w:p>
    <w:p>
      <w:pPr>
        <w:pStyle w:val="Heading2"/>
        <w:spacing w:after="80" w:before="280"/>
      </w:pPr>
      <w:r>
        <w:rPr>
          <w:rFonts w:ascii="Arial" w:cs="Arial" w:eastAsia="Arial" w:hAnsi="Arial"/>
          <w:b/>
          <w:bCs/>
          <w:color w:val="D85A30"/>
          <w:sz w:val="26"/>
          <w:szCs w:val="26"/>
        </w:rPr>
        <w:t xml:space="preserve">Research &amp; Collaboration</w:t>
      </w:r>
    </w:p>
    <w:p>
      <w:pPr>
        <w:pStyle w:val="Heading3"/>
        <w:spacing w:after="60" w:before="180"/>
      </w:pPr>
      <w:r>
        <w:rPr>
          <w:rFonts w:ascii="Arial" w:cs="Arial" w:eastAsia="Arial" w:hAnsi="Arial"/>
          <w:b/>
          <w:bCs/>
          <w:color w:val="185FA5"/>
          <w:sz w:val="22"/>
          <w:szCs w:val="22"/>
        </w:rPr>
        <w:t xml:space="preserve">Miro — Journey mapping and research synthesis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Miro &gt; Workspace: CEQ</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Use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Customer journey maps, affinity mapping, research synthesis workshops, CX design sprints</w:t>
            </w:r>
          </w:p>
        </w:tc>
      </w:tr>
    </w:tbl>
    <w:p>
      <w:pPr>
        <w:pStyle w:val="Heading3"/>
        <w:spacing w:after="60" w:before="180"/>
      </w:pPr>
      <w:r>
        <w:rPr>
          <w:rFonts w:ascii="Arial" w:cs="Arial" w:eastAsia="Arial" w:hAnsi="Arial"/>
          <w:b/>
          <w:bCs/>
          <w:color w:val="185FA5"/>
          <w:sz w:val="22"/>
          <w:szCs w:val="22"/>
        </w:rPr>
        <w:t xml:space="preserve">Dovetail — Research repository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Dovetail &gt; Workspace: CEQ Research</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Use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Storing and tagging customer interview transcripts, NPS verbatim analysis, research insights</w:t>
            </w:r>
          </w:p>
        </w:tc>
      </w:tr>
    </w:tbl>
    <w:p>
      <w:pPr>
        <w:pStyle w:val="Heading3"/>
        <w:spacing w:after="60" w:before="180"/>
      </w:pPr>
      <w:r>
        <w:rPr>
          <w:rFonts w:ascii="Arial" w:cs="Arial" w:eastAsia="Arial" w:hAnsi="Arial"/>
          <w:b/>
          <w:bCs/>
          <w:color w:val="185FA5"/>
          <w:sz w:val="22"/>
          <w:szCs w:val="22"/>
        </w:rPr>
        <w:t xml:space="preserve">Jira &amp; Confluence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Jira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Jira &gt; Project: CX &amp; NPS Team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Confluence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Confluence &gt; Space: CEQ Department</w:t>
            </w:r>
          </w:p>
        </w:tc>
      </w:tr>
    </w:tbl>
    <w:p>
      <w:r>
        <w:br w:type="page"/>
      </w:r>
    </w:p>
    <w:p>
      <w:pPr>
        <w:pStyle w:val="Heading1"/>
        <w:spacing w:after="100" w:before="400"/>
      </w:pPr>
      <w:r>
        <w:rPr>
          <w:rFonts w:ascii="Arial" w:cs="Arial" w:eastAsia="Arial" w:hAnsi="Arial"/>
          <w:b/>
          <w:bCs/>
          <w:color w:val="712B13"/>
          <w:sz w:val="34"/>
          <w:szCs w:val="34"/>
        </w:rPr>
        <w:t xml:space="preserve">11. Your First 30 Days</w:t>
      </w:r>
    </w:p>
    <w:p>
      <w:pPr>
        <w:pBdr>
          <w:bottom w:val="single" w:color="D85A30" w:sz="10" w:space="1"/>
        </w:pBdr>
        <w:spacing w:after="160" w:before="60"/>
      </w:pPr>
    </w:p>
    <w:p>
      <w:pPr>
        <w:pStyle w:val="Heading2"/>
        <w:spacing w:after="80" w:before="280"/>
      </w:pPr>
      <w:r>
        <w:rPr>
          <w:rFonts w:ascii="Arial" w:cs="Arial" w:eastAsia="Arial" w:hAnsi="Arial"/>
          <w:b/>
          <w:bCs/>
          <w:color w:val="D85A30"/>
          <w:sz w:val="26"/>
          <w:szCs w:val="26"/>
        </w:rPr>
        <w:t xml:space="preserve">Week 1 — Orient</w:t>
      </w:r>
    </w:p>
    <w:p>
      <w:pPr>
        <w:pStyle w:val="ListParagraph"/>
        <w:numPr>
          <w:ilvl w:val="0"/>
          <w:numId w:val="2"/>
        </w:numPr>
        <w:spacing w:after="40" w:before="40"/>
      </w:pPr>
      <w:r>
        <w:rPr>
          <w:rFonts w:ascii="Arial" w:cs="Arial" w:eastAsia="Arial" w:hAnsi="Arial"/>
          <w:color w:val="333333"/>
          <w:sz w:val="22"/>
          <w:szCs w:val="22"/>
        </w:rPr>
        <w:t xml:space="preserve">Complete Data Privacy and GDPR training in NexoraLearn (mandatory before accessing any survey or customer data)</w:t>
      </w:r>
    </w:p>
    <w:p>
      <w:pPr>
        <w:pStyle w:val="ListParagraph"/>
        <w:numPr>
          <w:ilvl w:val="0"/>
          <w:numId w:val="2"/>
        </w:numPr>
        <w:spacing w:after="40" w:before="40"/>
      </w:pPr>
      <w:r>
        <w:rPr>
          <w:rFonts w:ascii="Arial" w:cs="Arial" w:eastAsia="Arial" w:hAnsi="Arial"/>
          <w:color w:val="333333"/>
          <w:sz w:val="22"/>
          <w:szCs w:val="22"/>
        </w:rPr>
        <w:t xml:space="preserve">Submit Qualtrics, Salesforce, Power BI access requests on Day 1; Snowflake and Medallia on Day 1 (DG approval takes longer)</w:t>
      </w:r>
    </w:p>
    <w:p>
      <w:pPr>
        <w:pStyle w:val="ListParagraph"/>
        <w:numPr>
          <w:ilvl w:val="0"/>
          <w:numId w:val="2"/>
        </w:numPr>
        <w:spacing w:after="40" w:before="40"/>
      </w:pPr>
      <w:r>
        <w:rPr>
          <w:rFonts w:ascii="Arial" w:cs="Arial" w:eastAsia="Arial" w:hAnsi="Arial"/>
          <w:color w:val="333333"/>
          <w:sz w:val="22"/>
          <w:szCs w:val="22"/>
        </w:rPr>
        <w:t xml:space="preserve">Meet your CX Team Lead, NPS Programme Manager buddy, and team members in 1:1s</w:t>
      </w:r>
    </w:p>
    <w:p>
      <w:pPr>
        <w:pStyle w:val="ListParagraph"/>
        <w:numPr>
          <w:ilvl w:val="0"/>
          <w:numId w:val="2"/>
        </w:numPr>
        <w:spacing w:after="40" w:before="40"/>
      </w:pPr>
      <w:r>
        <w:rPr>
          <w:rFonts w:ascii="Arial" w:cs="Arial" w:eastAsia="Arial" w:hAnsi="Arial"/>
          <w:color w:val="333333"/>
          <w:sz w:val="22"/>
          <w:szCs w:val="22"/>
        </w:rPr>
        <w:t xml:space="preserve">Read the last 2 NPS Business Review decks in Confluence: CEQ &gt; NPS Programme &gt; Reports</w:t>
      </w:r>
    </w:p>
    <w:p>
      <w:pPr>
        <w:pStyle w:val="ListParagraph"/>
        <w:numPr>
          <w:ilvl w:val="0"/>
          <w:numId w:val="2"/>
        </w:numPr>
        <w:spacing w:after="40" w:before="40"/>
      </w:pPr>
      <w:r>
        <w:rPr>
          <w:rFonts w:ascii="Arial" w:cs="Arial" w:eastAsia="Arial" w:hAnsi="Arial"/>
          <w:color w:val="333333"/>
          <w:sz w:val="22"/>
          <w:szCs w:val="22"/>
        </w:rPr>
        <w:t xml:space="preserve">Review the current NPS Scorecard in Power BI — understand the baseline</w:t>
      </w:r>
    </w:p>
    <w:p>
      <w:pPr>
        <w:pStyle w:val="Heading2"/>
        <w:spacing w:after="80" w:before="280"/>
      </w:pPr>
      <w:r>
        <w:rPr>
          <w:rFonts w:ascii="Arial" w:cs="Arial" w:eastAsia="Arial" w:hAnsi="Arial"/>
          <w:b/>
          <w:bCs/>
          <w:color w:val="D85A30"/>
          <w:sz w:val="26"/>
          <w:szCs w:val="26"/>
        </w:rPr>
        <w:t xml:space="preserve">Week 2 — Immerse</w:t>
      </w:r>
    </w:p>
    <w:p>
      <w:pPr>
        <w:pStyle w:val="ListParagraph"/>
        <w:numPr>
          <w:ilvl w:val="0"/>
          <w:numId w:val="2"/>
        </w:numPr>
        <w:spacing w:after="40" w:before="40"/>
      </w:pPr>
      <w:r>
        <w:rPr>
          <w:rFonts w:ascii="Arial" w:cs="Arial" w:eastAsia="Arial" w:hAnsi="Arial"/>
          <w:color w:val="333333"/>
          <w:sz w:val="22"/>
          <w:szCs w:val="22"/>
        </w:rPr>
        <w:t xml:space="preserve">Shadow a closed-loop follow-up call with a CSM (observe only — your buddy arranges this)</w:t>
      </w:r>
    </w:p>
    <w:p>
      <w:pPr>
        <w:pStyle w:val="ListParagraph"/>
        <w:numPr>
          <w:ilvl w:val="0"/>
          <w:numId w:val="2"/>
        </w:numPr>
        <w:spacing w:after="40" w:before="40"/>
      </w:pPr>
      <w:r>
        <w:rPr>
          <w:rFonts w:ascii="Arial" w:cs="Arial" w:eastAsia="Arial" w:hAnsi="Arial"/>
          <w:color w:val="333333"/>
          <w:sz w:val="22"/>
          <w:szCs w:val="22"/>
        </w:rPr>
        <w:t xml:space="preserve">Review Nexora's customer journey maps in Miro: CEQ &gt; Journey Maps</w:t>
      </w:r>
    </w:p>
    <w:p>
      <w:pPr>
        <w:pStyle w:val="ListParagraph"/>
        <w:numPr>
          <w:ilvl w:val="0"/>
          <w:numId w:val="2"/>
        </w:numPr>
        <w:spacing w:after="40" w:before="40"/>
      </w:pPr>
      <w:r>
        <w:rPr>
          <w:rFonts w:ascii="Arial" w:cs="Arial" w:eastAsia="Arial" w:hAnsi="Arial"/>
          <w:color w:val="333333"/>
          <w:sz w:val="22"/>
          <w:szCs w:val="22"/>
        </w:rPr>
        <w:t xml:space="preserve">Attend sprint ceremonies and your first Insight Refinement session</w:t>
      </w:r>
    </w:p>
    <w:p>
      <w:pPr>
        <w:pStyle w:val="ListParagraph"/>
        <w:numPr>
          <w:ilvl w:val="0"/>
          <w:numId w:val="2"/>
        </w:numPr>
        <w:spacing w:after="40" w:before="40"/>
      </w:pPr>
      <w:r>
        <w:rPr>
          <w:rFonts w:ascii="Arial" w:cs="Arial" w:eastAsia="Arial" w:hAnsi="Arial"/>
          <w:color w:val="333333"/>
          <w:sz w:val="22"/>
          <w:szCs w:val="22"/>
        </w:rPr>
        <w:t xml:space="preserve">Explore the NPS survey in Qualtrics — understand the instrument, distribution logic, and response data</w:t>
      </w:r>
    </w:p>
    <w:p>
      <w:pPr>
        <w:pStyle w:val="Heading2"/>
        <w:spacing w:after="80" w:before="280"/>
      </w:pPr>
      <w:r>
        <w:rPr>
          <w:rFonts w:ascii="Arial" w:cs="Arial" w:eastAsia="Arial" w:hAnsi="Arial"/>
          <w:b/>
          <w:bCs/>
          <w:color w:val="D85A30"/>
          <w:sz w:val="26"/>
          <w:szCs w:val="26"/>
        </w:rPr>
        <w:t xml:space="preserve">Weeks 3–4 — Contribute</w:t>
      </w:r>
    </w:p>
    <w:p>
      <w:pPr>
        <w:pStyle w:val="ListParagraph"/>
        <w:numPr>
          <w:ilvl w:val="0"/>
          <w:numId w:val="2"/>
        </w:numPr>
        <w:spacing w:after="40" w:before="40"/>
      </w:pPr>
      <w:r>
        <w:rPr>
          <w:rFonts w:ascii="Arial" w:cs="Arial" w:eastAsia="Arial" w:hAnsi="Arial"/>
          <w:color w:val="333333"/>
          <w:sz w:val="22"/>
          <w:szCs w:val="22"/>
        </w:rPr>
        <w:t xml:space="preserve">Own one insight task from brief to delivery (with buddy support)</w:t>
      </w:r>
    </w:p>
    <w:p>
      <w:pPr>
        <w:pStyle w:val="ListParagraph"/>
        <w:numPr>
          <w:ilvl w:val="0"/>
          <w:numId w:val="2"/>
        </w:numPr>
        <w:spacing w:after="40" w:before="40"/>
      </w:pPr>
      <w:r>
        <w:rPr>
          <w:rFonts w:ascii="Arial" w:cs="Arial" w:eastAsia="Arial" w:hAnsi="Arial"/>
          <w:color w:val="333333"/>
          <w:sz w:val="22"/>
          <w:szCs w:val="22"/>
        </w:rPr>
        <w:t xml:space="preserve">Attend your first NPS Business Review as an observer</w:t>
      </w:r>
    </w:p>
    <w:p>
      <w:pPr>
        <w:pStyle w:val="ListParagraph"/>
        <w:numPr>
          <w:ilvl w:val="0"/>
          <w:numId w:val="2"/>
        </w:numPr>
        <w:spacing w:after="40" w:before="40"/>
      </w:pPr>
      <w:r>
        <w:rPr>
          <w:rFonts w:ascii="Arial" w:cs="Arial" w:eastAsia="Arial" w:hAnsi="Arial"/>
          <w:color w:val="333333"/>
          <w:sz w:val="22"/>
          <w:szCs w:val="22"/>
        </w:rPr>
        <w:t xml:space="preserve">Draft one section of the monthly NPS narrative report</w:t>
      </w:r>
    </w:p>
    <w:p>
      <w:pPr>
        <w:pStyle w:val="ListParagraph"/>
        <w:numPr>
          <w:ilvl w:val="0"/>
          <w:numId w:val="2"/>
        </w:numPr>
        <w:spacing w:after="40" w:before="40"/>
      </w:pPr>
      <w:r>
        <w:rPr>
          <w:rFonts w:ascii="Arial" w:cs="Arial" w:eastAsia="Arial" w:hAnsi="Arial"/>
          <w:color w:val="333333"/>
          <w:sz w:val="22"/>
          <w:szCs w:val="22"/>
        </w:rPr>
        <w:t xml:space="preserve">Complete your 30-day check-in with your manager in Workday</w:t>
      </w:r>
    </w:p>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D85A30" w:sz="24"/>
              <w:bottom w:val="none" w:color="FFFFFF" w:sz="0"/>
              <w:right w:val="none" w:color="FFFFFF" w:sz="0"/>
            </w:tcBorders>
            <w:shd w:fill="FAECE7"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CE7" w:val="clear"/>
            <w:tcMar>
              <w:top w:type="dxa" w:w="120"/>
              <w:left w:type="dxa" w:w="120"/>
              <w:bottom w:type="dxa" w:w="120"/>
              <w:right w:type="dxa" w:w="200"/>
            </w:tcMar>
          </w:tcPr>
          <w:p>
            <w:r>
              <w:rPr>
                <w:rFonts w:ascii="Arial" w:cs="Arial" w:eastAsia="Arial" w:hAnsi="Arial"/>
                <w:b/>
                <w:bCs/>
                <w:color w:val="D85A30"/>
                <w:sz w:val="20"/>
                <w:szCs w:val="20"/>
              </w:rPr>
              <w:t xml:space="preserve">ASK ABOUT THE CUSTOMERS</w:t>
            </w:r>
          </w:p>
          <w:p>
            <w:pPr>
              <w:spacing w:before="40"/>
            </w:pPr>
            <w:r>
              <w:rPr>
                <w:rFonts w:ascii="Arial" w:cs="Arial" w:eastAsia="Arial" w:hAnsi="Arial"/>
                <w:color w:val="444444"/>
                <w:sz w:val="20"/>
                <w:szCs w:val="20"/>
              </w:rPr>
              <w:t xml:space="preserve">The fastest way to ramp up is to read 50 Detractor verbatim comments and 50 Promoter verbatim comments from the last NPS cycle. Ask your buddy to share the anonymised verbatim export. Nothing will orient you faster.</w:t>
            </w:r>
          </w:p>
        </w:tc>
      </w:tr>
    </w:tbl>
    <w:p>
      <w:r>
        <w:br w:type="page"/>
      </w:r>
    </w:p>
    <w:p>
      <w:pPr>
        <w:pStyle w:val="Heading1"/>
        <w:spacing w:after="100" w:before="400"/>
      </w:pPr>
      <w:r>
        <w:rPr>
          <w:rFonts w:ascii="Arial" w:cs="Arial" w:eastAsia="Arial" w:hAnsi="Arial"/>
          <w:b/>
          <w:bCs/>
          <w:color w:val="712B13"/>
          <w:sz w:val="34"/>
          <w:szCs w:val="34"/>
        </w:rPr>
        <w:t xml:space="preserve">12. Key Contacts</w:t>
      </w:r>
    </w:p>
    <w:p>
      <w:pPr>
        <w:pBdr>
          <w:bottom w:val="single" w:color="D85A30"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CX Team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cx.team@nexoraglobal.com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Chief Customer Officer (CCO)</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Elena Marchetti   |   e.marchetti@nexoraglobal.com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Sales Excellence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sales.excellence@nexoraglobal.com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Quality Assurance Lead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[Name TBC]   |   quality@nexoraglobal.com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IT Helpdesk</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Data Governance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data.governance@nexoraglobal.com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People Operations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people.ops@nexoraglobal.com</w:t>
            </w:r>
          </w:p>
        </w:tc>
      </w:tr>
    </w:tbl>
    <w:p>
      <w:pPr>
        <w:spacing w:after="60" w:before="120"/>
      </w:pPr>
    </w:p>
    <w:p>
      <w:pPr>
        <w:pBdr>
          <w:top w:val="single" w:color="F0997B" w:sz="10" w:space="1"/>
        </w:pBdr>
        <w:spacing w:after="80" w:before="80"/>
      </w:pPr>
    </w:p>
    <w:p>
      <w:pPr>
        <w:jc w:val="center"/>
      </w:pPr>
      <w:r>
        <w:rPr>
          <w:rFonts w:ascii="Arial" w:cs="Arial" w:eastAsia="Arial" w:hAnsi="Arial"/>
          <w:b/>
          <w:bCs/>
          <w:color w:val="712B13"/>
          <w:sz w:val="26"/>
          <w:szCs w:val="26"/>
        </w:rPr>
        <w:t xml:space="preserve">Every score you measure and every insight you deliver has a customer behind it.</w:t>
      </w:r>
    </w:p>
    <w:p>
      <w:pPr>
        <w:spacing w:after="60" w:before="40"/>
      </w:pPr>
    </w:p>
    <w:p>
      <w:pPr>
        <w:jc w:val="center"/>
      </w:pPr>
      <w:r>
        <w:rPr>
          <w:rFonts w:ascii="Arial" w:cs="Arial" w:eastAsia="Arial" w:hAnsi="Arial"/>
          <w:i/>
          <w:iCs/>
          <w:color w:val="64748B"/>
          <w:sz w:val="22"/>
          <w:szCs w:val="22"/>
        </w:rPr>
        <w:t xml:space="preserve">Welcome to the team.</w:t>
      </w:r>
    </w:p>
    <w:p>
      <w:pPr>
        <w:spacing w:after="60" w:before="60"/>
      </w:pPr>
    </w:p>
    <w:p>
      <w:pPr>
        <w:jc w:val="center"/>
      </w:pPr>
      <w:r>
        <w:rPr>
          <w:rFonts w:ascii="Arial" w:cs="Arial" w:eastAsia="Arial" w:hAnsi="Arial"/>
          <w:color w:val="AAAAAA"/>
          <w:sz w:val="16"/>
          <w:szCs w:val="16"/>
        </w:rPr>
        <w:t xml:space="preserve">© 2026 Nexora Global Corporation — CEQ Department.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5A30" w:sz="8" w:space="1"/>
      </w:pBdr>
      <w:spacing w:after="100"/>
    </w:pPr>
    <w:r>
      <w:rPr>
        <w:rFonts w:ascii="Arial" w:cs="Arial" w:eastAsia="Arial" w:hAnsi="Arial"/>
        <w:b/>
        <w:bCs/>
        <w:color w:val="1B2A4A"/>
        <w:sz w:val="18"/>
        <w:szCs w:val="18"/>
      </w:rPr>
      <w:t xml:space="preserve">NEXORA — Commercial Excellence &amp; Quality (CEQ)  </w:t>
    </w:r>
    <w:r>
      <w:rPr>
        <w:rFonts w:ascii="Arial" w:cs="Arial" w:eastAsia="Arial" w:hAnsi="Arial"/>
        <w:color w:val="64748B"/>
        <w:sz w:val="18"/>
        <w:szCs w:val="18"/>
      </w:rPr>
      <w:t xml:space="preserve">|   Customer Experience &amp; NPS Team — Onboarding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712B13"/>
      <w:sz w:val="34"/>
      <w:szCs w:val="34"/>
    </w:rPr>
  </w:style>
  <w:style w:type="paragraph" w:styleId="Heading2">
    <w:name w:val="Heading 2"/>
    <w:basedOn w:val="Normal"/>
    <w:next w:val="Normal"/>
    <w:qFormat/>
    <w:pPr>
      <w:spacing w:after="80" w:before="280"/>
      <w:outlineLvl w:val="1"/>
    </w:pPr>
    <w:rPr>
      <w:rFonts w:ascii="Arial" w:cs="Arial" w:eastAsia="Arial" w:hAnsi="Arial"/>
      <w:b/>
      <w:bCs/>
      <w:color w:val="D85A3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2026-03-31T18:56:26.183Z</dcterms:created>
  <dcterms:modified xsi:type="dcterms:W3CDTF">2026-03-31T18:56:26.183Z</dcterms:modified>
</cp:coreProperties>
</file>

<file path=docProps/custom.xml><?xml version="1.0" encoding="utf-8"?>
<Properties xmlns="http://schemas.openxmlformats.org/officeDocument/2006/custom-properties" xmlns:vt="http://schemas.openxmlformats.org/officeDocument/2006/docPropsVTypes"/>
</file>