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p>
    <w:p>
      <w:pPr>
        <w:jc w:val="center"/>
      </w:pPr>
      <w:r>
        <w:rPr>
          <w:rFonts w:ascii="Arial" w:cs="Arial" w:eastAsia="Arial" w:hAnsi="Arial"/>
          <w:b/>
          <w:bCs/>
          <w:color w:val="555555"/>
          <w:sz w:val="28"/>
          <w:szCs w:val="28"/>
        </w:rPr>
        <w:t xml:space="preserve">NEXORA GLOBAL CORPORATION</w:t>
      </w:r>
    </w:p>
    <w:p>
      <w:pPr>
        <w:jc w:val="center"/>
      </w:pPr>
      <w:r>
        <w:rPr>
          <w:rFonts w:ascii="Arial" w:cs="Arial" w:eastAsia="Arial" w:hAnsi="Arial"/>
          <w:color w:val="555555"/>
          <w:sz w:val="22"/>
          <w:szCs w:val="22"/>
        </w:rPr>
        <w:t xml:space="preserve">HR &amp; People Department</w:t>
      </w:r>
    </w:p>
    <w:p>
      <w:pPr>
        <w:spacing w:after="60" w:before="200"/>
      </w:pPr>
    </w:p>
    <w:p>
      <w:pPr>
        <w:pBdr>
          <w:top w:val="single" w:color="6D2E46" w:sz="16"/>
          <w:bottom w:val="single" w:color="6D2E46" w:sz="16"/>
        </w:pBdr>
        <w:spacing w:after="80" w:before="160"/>
        <w:jc w:val="center"/>
      </w:pPr>
      <w:r>
        <w:rPr>
          <w:rFonts w:ascii="Arial" w:cs="Arial" w:eastAsia="Arial" w:hAnsi="Arial"/>
          <w:b/>
          <w:bCs/>
          <w:color w:val="1B2A4A"/>
          <w:sz w:val="52"/>
          <w:szCs w:val="52"/>
        </w:rPr>
        <w:t xml:space="preserve">  People Analytics Team  </w:t>
      </w:r>
    </w:p>
    <w:p>
      <w:pPr>
        <w:jc w:val="center"/>
      </w:pPr>
      <w:r>
        <w:rPr>
          <w:rFonts w:ascii="Arial" w:cs="Arial" w:eastAsia="Arial" w:hAnsi="Arial"/>
          <w:b/>
          <w:bCs/>
          <w:color w:val="6D2E46"/>
          <w:sz w:val="40"/>
          <w:szCs w:val="40"/>
        </w:rPr>
        <w:t xml:space="preserve">Onboarding Handbook</w:t>
      </w:r>
    </w:p>
    <w:p>
      <w:pPr>
        <w:spacing w:after="60" w:before="120"/>
      </w:pPr>
    </w:p>
    <w:p>
      <w:pPr>
        <w:jc w:val="center"/>
      </w:pPr>
      <w:r>
        <w:rPr>
          <w:rFonts w:ascii="Arial" w:cs="Arial" w:eastAsia="Arial" w:hAnsi="Arial"/>
          <w:i/>
          <w:iCs/>
          <w:color w:val="555555"/>
          <w:sz w:val="22"/>
          <w:szCs w:val="22"/>
        </w:rPr>
        <w:t xml:space="preserve">Your guide to the People Analytics Team — how we work, what we do, and how to get started.</w:t>
      </w:r>
    </w:p>
    <w:p>
      <w:pPr>
        <w:spacing w:after="60" w:before="20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Table of Contents</w:t>
      </w:r>
    </w:p>
    <w:p>
      <w:pPr>
        <w:pBdr>
          <w:bottom w:val="single" w:color="6D2E46" w:sz="10" w:space="1"/>
        </w:pBdr>
        <w:spacing w:after="160" w:before="60"/>
      </w:pPr>
    </w:p>
    <w:p>
      <w:pPr>
        <w:spacing w:after="60" w:before="60"/>
      </w:pPr>
    </w:p>
    <w:p>
      <w:pPr>
        <w:tabs>
          <w:tab w:val="right" w:pos="8760"/>
        </w:tabs>
        <w:spacing w:after="60" w:before="60"/>
      </w:pPr>
      <w:r>
        <w:rPr>
          <w:rFonts w:ascii="Arial" w:cs="Arial" w:eastAsia="Arial" w:hAnsi="Arial"/>
          <w:color w:val="1B2A4A"/>
          <w:sz w:val="22"/>
          <w:szCs w:val="22"/>
        </w:rPr>
        <w:t xml:space="preserve">1. Welcome to the People Analytics Team</w:t>
      </w:r>
      <w:r>
        <w:rPr>
          <w:rFonts w:ascii="Arial" w:cs="Arial" w:eastAsia="Arial" w:hAnsi="Arial"/>
          <w:color w:val="555555"/>
          <w:sz w:val="22"/>
          <w:szCs w:val="22"/>
        </w:rPr>
        <w:t xml:space="preserve">	3</w:t>
      </w:r>
    </w:p>
    <w:p>
      <w:pPr>
        <w:tabs>
          <w:tab w:val="right" w:pos="8760"/>
        </w:tabs>
        <w:spacing w:after="60" w:before="60"/>
      </w:pPr>
      <w:r>
        <w:rPr>
          <w:rFonts w:ascii="Arial" w:cs="Arial" w:eastAsia="Arial" w:hAnsi="Arial"/>
          <w:color w:val="1B2A4A"/>
          <w:sz w:val="22"/>
          <w:szCs w:val="22"/>
        </w:rPr>
        <w:t xml:space="preserve">2. Team Structure &amp; How We Sit in HR</w:t>
      </w:r>
      <w:r>
        <w:rPr>
          <w:rFonts w:ascii="Arial" w:cs="Arial" w:eastAsia="Arial" w:hAnsi="Arial"/>
          <w:color w:val="555555"/>
          <w:sz w:val="22"/>
          <w:szCs w:val="22"/>
        </w:rPr>
        <w:t xml:space="preserve">	4</w:t>
      </w:r>
    </w:p>
    <w:p>
      <w:pPr>
        <w:tabs>
          <w:tab w:val="right" w:pos="8760"/>
        </w:tabs>
        <w:spacing w:after="60" w:before="60"/>
      </w:pPr>
      <w:r>
        <w:rPr>
          <w:rFonts w:ascii="Arial" w:cs="Arial" w:eastAsia="Arial" w:hAnsi="Arial"/>
          <w:color w:val="1B2A4A"/>
          <w:sz w:val="22"/>
          <w:szCs w:val="22"/>
        </w:rPr>
        <w:t xml:space="preserve">3. The People Analytics Role — What You Do</w:t>
      </w:r>
      <w:r>
        <w:rPr>
          <w:rFonts w:ascii="Arial" w:cs="Arial" w:eastAsia="Arial" w:hAnsi="Arial"/>
          <w:color w:val="555555"/>
          <w:sz w:val="22"/>
          <w:szCs w:val="22"/>
        </w:rPr>
        <w:t xml:space="preserve">	5</w:t>
      </w:r>
    </w:p>
    <w:p>
      <w:pPr>
        <w:tabs>
          <w:tab w:val="right" w:pos="8760"/>
        </w:tabs>
        <w:spacing w:after="60" w:before="60"/>
      </w:pPr>
      <w:r>
        <w:rPr>
          <w:rFonts w:ascii="Arial" w:cs="Arial" w:eastAsia="Arial" w:hAnsi="Arial"/>
          <w:color w:val="1B2A4A"/>
          <w:sz w:val="22"/>
          <w:szCs w:val="22"/>
        </w:rPr>
        <w:t xml:space="preserve">4. How We Work — Sprint Cadence</w:t>
      </w:r>
      <w:r>
        <w:rPr>
          <w:rFonts w:ascii="Arial" w:cs="Arial" w:eastAsia="Arial" w:hAnsi="Arial"/>
          <w:color w:val="555555"/>
          <w:sz w:val="22"/>
          <w:szCs w:val="22"/>
        </w:rPr>
        <w:t xml:space="preserve">	6</w:t>
      </w:r>
    </w:p>
    <w:p>
      <w:pPr>
        <w:tabs>
          <w:tab w:val="right" w:pos="8760"/>
        </w:tabs>
        <w:spacing w:after="60" w:before="60"/>
      </w:pPr>
      <w:r>
        <w:rPr>
          <w:rFonts w:ascii="Arial" w:cs="Arial" w:eastAsia="Arial" w:hAnsi="Arial"/>
          <w:color w:val="1B2A4A"/>
          <w:sz w:val="22"/>
          <w:szCs w:val="22"/>
        </w:rPr>
        <w:t xml:space="preserve">5. Data Products &amp; Stakeholder Flow</w:t>
      </w:r>
      <w:r>
        <w:rPr>
          <w:rFonts w:ascii="Arial" w:cs="Arial" w:eastAsia="Arial" w:hAnsi="Arial"/>
          <w:color w:val="555555"/>
          <w:sz w:val="22"/>
          <w:szCs w:val="22"/>
        </w:rPr>
        <w:t xml:space="preserve">	7</w:t>
      </w:r>
    </w:p>
    <w:p>
      <w:pPr>
        <w:tabs>
          <w:tab w:val="right" w:pos="8760"/>
        </w:tabs>
        <w:spacing w:after="60" w:before="60"/>
      </w:pPr>
      <w:r>
        <w:rPr>
          <w:rFonts w:ascii="Arial" w:cs="Arial" w:eastAsia="Arial" w:hAnsi="Arial"/>
          <w:color w:val="1B2A4A"/>
          <w:sz w:val="22"/>
          <w:szCs w:val="22"/>
        </w:rPr>
        <w:t xml:space="preserve">6. Meetings &amp; Ceremonies</w:t>
      </w:r>
      <w:r>
        <w:rPr>
          <w:rFonts w:ascii="Arial" w:cs="Arial" w:eastAsia="Arial" w:hAnsi="Arial"/>
          <w:color w:val="555555"/>
          <w:sz w:val="22"/>
          <w:szCs w:val="22"/>
        </w:rPr>
        <w:t xml:space="preserve">	8</w:t>
      </w:r>
    </w:p>
    <w:p>
      <w:pPr>
        <w:tabs>
          <w:tab w:val="right" w:pos="8760"/>
        </w:tabs>
        <w:spacing w:after="60" w:before="60"/>
      </w:pPr>
      <w:r>
        <w:rPr>
          <w:rFonts w:ascii="Arial" w:cs="Arial" w:eastAsia="Arial" w:hAnsi="Arial"/>
          <w:color w:val="1B2A4A"/>
          <w:sz w:val="22"/>
          <w:szCs w:val="22"/>
        </w:rPr>
        <w:t xml:space="preserve">7. Data Governance &amp; Ethics</w:t>
      </w:r>
      <w:r>
        <w:rPr>
          <w:rFonts w:ascii="Arial" w:cs="Arial" w:eastAsia="Arial" w:hAnsi="Arial"/>
          <w:color w:val="555555"/>
          <w:sz w:val="22"/>
          <w:szCs w:val="22"/>
        </w:rPr>
        <w:t xml:space="preserve">	9</w:t>
      </w:r>
    </w:p>
    <w:p>
      <w:pPr>
        <w:tabs>
          <w:tab w:val="right" w:pos="8760"/>
        </w:tabs>
        <w:spacing w:after="60" w:before="60"/>
      </w:pPr>
      <w:r>
        <w:rPr>
          <w:rFonts w:ascii="Arial" w:cs="Arial" w:eastAsia="Arial" w:hAnsi="Arial"/>
          <w:color w:val="1B2A4A"/>
          <w:sz w:val="22"/>
          <w:szCs w:val="22"/>
        </w:rPr>
        <w:t xml:space="preserve">8. Definition of Ready &amp; Done</w:t>
      </w:r>
      <w:r>
        <w:rPr>
          <w:rFonts w:ascii="Arial" w:cs="Arial" w:eastAsia="Arial" w:hAnsi="Arial"/>
          <w:color w:val="555555"/>
          <w:sz w:val="22"/>
          <w:szCs w:val="22"/>
        </w:rPr>
        <w:t xml:space="preserve">	10</w:t>
      </w:r>
    </w:p>
    <w:p>
      <w:pPr>
        <w:tabs>
          <w:tab w:val="right" w:pos="8760"/>
        </w:tabs>
        <w:spacing w:after="60" w:before="60"/>
      </w:pPr>
      <w:r>
        <w:rPr>
          <w:rFonts w:ascii="Arial" w:cs="Arial" w:eastAsia="Arial" w:hAnsi="Arial"/>
          <w:color w:val="1B2A4A"/>
          <w:sz w:val="22"/>
          <w:szCs w:val="22"/>
        </w:rPr>
        <w:t xml:space="preserve">9. Communication Norms</w:t>
      </w:r>
      <w:r>
        <w:rPr>
          <w:rFonts w:ascii="Arial" w:cs="Arial" w:eastAsia="Arial" w:hAnsi="Arial"/>
          <w:color w:val="555555"/>
          <w:sz w:val="22"/>
          <w:szCs w:val="22"/>
        </w:rPr>
        <w:t xml:space="preserve">	11</w:t>
      </w:r>
    </w:p>
    <w:p>
      <w:pPr>
        <w:tabs>
          <w:tab w:val="right" w:pos="8760"/>
        </w:tabs>
        <w:spacing w:after="60" w:before="60"/>
      </w:pPr>
      <w:r>
        <w:rPr>
          <w:rFonts w:ascii="Arial" w:cs="Arial" w:eastAsia="Arial" w:hAnsi="Arial"/>
          <w:color w:val="1B2A4A"/>
          <w:sz w:val="22"/>
          <w:szCs w:val="22"/>
        </w:rPr>
        <w:t xml:space="preserve">10. Tools Access &amp; Setup Guide</w:t>
      </w:r>
      <w:r>
        <w:rPr>
          <w:rFonts w:ascii="Arial" w:cs="Arial" w:eastAsia="Arial" w:hAnsi="Arial"/>
          <w:color w:val="555555"/>
          <w:sz w:val="22"/>
          <w:szCs w:val="22"/>
        </w:rPr>
        <w:t xml:space="preserve">	12</w:t>
      </w:r>
    </w:p>
    <w:p>
      <w:pPr>
        <w:tabs>
          <w:tab w:val="right" w:pos="8760"/>
        </w:tabs>
        <w:spacing w:after="60" w:before="60"/>
      </w:pPr>
      <w:r>
        <w:rPr>
          <w:rFonts w:ascii="Arial" w:cs="Arial" w:eastAsia="Arial" w:hAnsi="Arial"/>
          <w:color w:val="1B2A4A"/>
          <w:sz w:val="22"/>
          <w:szCs w:val="22"/>
        </w:rPr>
        <w:t xml:space="preserve">11. Your First 30 Days</w:t>
      </w:r>
      <w:r>
        <w:rPr>
          <w:rFonts w:ascii="Arial" w:cs="Arial" w:eastAsia="Arial" w:hAnsi="Arial"/>
          <w:color w:val="555555"/>
          <w:sz w:val="22"/>
          <w:szCs w:val="22"/>
        </w:rPr>
        <w:t xml:space="preserve">	13</w:t>
      </w:r>
    </w:p>
    <w:p>
      <w:pPr>
        <w:tabs>
          <w:tab w:val="right" w:pos="8760"/>
        </w:tabs>
        <w:spacing w:after="60" w:before="60"/>
      </w:pPr>
      <w:r>
        <w:rPr>
          <w:rFonts w:ascii="Arial" w:cs="Arial" w:eastAsia="Arial" w:hAnsi="Arial"/>
          <w:color w:val="1B2A4A"/>
          <w:sz w:val="22"/>
          <w:szCs w:val="22"/>
        </w:rPr>
        <w:t xml:space="preserve">12. Key Contacts</w:t>
      </w:r>
      <w:r>
        <w:rPr>
          <w:rFonts w:ascii="Arial" w:cs="Arial" w:eastAsia="Arial" w:hAnsi="Arial"/>
          <w:color w:val="555555"/>
          <w:sz w:val="22"/>
          <w:szCs w:val="22"/>
        </w:rPr>
        <w:t xml:space="preserve">	14</w:t>
      </w:r>
    </w:p>
    <w:p>
      <w:r>
        <w:br w:type="page"/>
      </w:r>
    </w:p>
    <w:p>
      <w:pPr>
        <w:pStyle w:val="Heading1"/>
        <w:spacing w:after="100" w:before="400"/>
      </w:pPr>
      <w:r>
        <w:rPr>
          <w:rFonts w:ascii="Arial" w:cs="Arial" w:eastAsia="Arial" w:hAnsi="Arial"/>
          <w:b/>
          <w:bCs/>
          <w:color w:val="1B2A4A"/>
          <w:sz w:val="34"/>
          <w:szCs w:val="34"/>
        </w:rPr>
        <w:t xml:space="preserve">1. Welcome to the People Analytics Team</w:t>
      </w:r>
    </w:p>
    <w:p>
      <w:pPr>
        <w:pBdr>
          <w:bottom w:val="single" w:color="6D2E46" w:sz="10" w:space="1"/>
        </w:pBdr>
        <w:spacing w:after="160" w:before="60"/>
      </w:pPr>
    </w:p>
    <w:p>
      <w:pPr>
        <w:spacing w:after="60" w:before="60"/>
      </w:pPr>
      <w:r>
        <w:rPr>
          <w:rFonts w:ascii="Arial" w:cs="Arial" w:eastAsia="Arial" w:hAnsi="Arial"/>
          <w:color w:val="222222"/>
          <w:sz w:val="22"/>
          <w:szCs w:val="22"/>
        </w:rPr>
        <w:t xml:space="preserve">Welcome! You've joined the People Analytics Team — a specialist function within Nexora's HR &amp; People Department that turns workforce data into strategic insight. We partner with HRBPs, Talent Acquisition, and the C-suite to answer the questions that matter most about our people.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6D2E46" w:sz="24"/>
              <w:bottom w:val="none" w:color="FFFFFF" w:sz="0"/>
              <w:right w:val="none" w:color="FFFFFF" w:sz="0"/>
            </w:tcBorders>
            <w:shd w:fill="F9EFF3"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9EFF3" w:val="clear"/>
            <w:tcMar>
              <w:top w:type="dxa" w:w="120"/>
              <w:left w:type="dxa" w:w="120"/>
              <w:bottom w:type="dxa" w:w="120"/>
              <w:right w:type="dxa" w:w="200"/>
            </w:tcMar>
          </w:tcPr>
          <w:p>
            <w:r>
              <w:rPr>
                <w:rFonts w:ascii="Arial" w:cs="Arial" w:eastAsia="Arial" w:hAnsi="Arial"/>
                <w:b/>
                <w:bCs/>
                <w:color w:val="6D2E46"/>
                <w:sz w:val="20"/>
                <w:szCs w:val="20"/>
              </w:rPr>
              <w:t xml:space="preserve">OUR MISSION</w:t>
            </w:r>
          </w:p>
          <w:p>
            <w:pPr>
              <w:spacing w:before="40"/>
            </w:pPr>
            <w:r>
              <w:rPr>
                <w:rFonts w:ascii="Arial" w:cs="Arial" w:eastAsia="Arial" w:hAnsi="Arial"/>
                <w:color w:val="444444"/>
                <w:sz w:val="20"/>
                <w:szCs w:val="20"/>
              </w:rPr>
              <w:t xml:space="preserve">To make people decisions at Nexora data-informed, not instinct-driven. We build the dashboards, models, and reports that help leaders hire, develop, and retain talent more effectively.</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Team 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People Analytics Team, HR &amp; People Department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Our product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Workforce data dashboards, attrition models, DEI reports, talent pipelines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Primary consumers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HR Leadership, HRBPs, Talent Acquisition, C-Suite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Your manager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Head of People Analytics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Handbook version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v1.0, January 2026</w:t>
            </w:r>
          </w:p>
        </w:tc>
      </w:tr>
    </w:tbl>
    <w:p>
      <w:r>
        <w:br w:type="page"/>
      </w:r>
    </w:p>
    <w:p>
      <w:pPr>
        <w:pStyle w:val="Heading1"/>
        <w:spacing w:after="100" w:before="400"/>
      </w:pPr>
      <w:r>
        <w:rPr>
          <w:rFonts w:ascii="Arial" w:cs="Arial" w:eastAsia="Arial" w:hAnsi="Arial"/>
          <w:b/>
          <w:bCs/>
          <w:color w:val="1B2A4A"/>
          <w:sz w:val="34"/>
          <w:szCs w:val="34"/>
        </w:rPr>
        <w:t xml:space="preserve">2. Team Structure &amp; How We Sit in HR</w:t>
      </w:r>
    </w:p>
    <w:p>
      <w:pPr>
        <w:pBdr>
          <w:bottom w:val="single" w:color="6D2E46" w:sz="10" w:space="1"/>
        </w:pBdr>
        <w:spacing w:after="160" w:before="60"/>
      </w:pPr>
    </w:p>
    <w:p>
      <w:pPr>
        <w:pStyle w:val="Heading2"/>
        <w:spacing w:after="80" w:before="280"/>
      </w:pPr>
      <w:r>
        <w:rPr>
          <w:rFonts w:ascii="Arial" w:cs="Arial" w:eastAsia="Arial" w:hAnsi="Arial"/>
          <w:b/>
          <w:bCs/>
          <w:color w:val="6D2E46"/>
          <w:sz w:val="26"/>
          <w:szCs w:val="26"/>
        </w:rPr>
        <w:t xml:space="preserve">The HR &amp; People Department</w:t>
      </w:r>
    </w:p>
    <w:p>
      <w:pPr>
        <w:spacing w:after="60" w:before="60"/>
      </w:pPr>
      <w:r>
        <w:rPr>
          <w:rFonts w:ascii="Arial" w:cs="Arial" w:eastAsia="Arial" w:hAnsi="Arial"/>
          <w:color w:val="222222"/>
          <w:sz w:val="22"/>
          <w:szCs w:val="22"/>
        </w:rPr>
        <w:t xml:space="preserve">The HR &amp; People Department at Nexora supports 28,400+ employees across 47 global offices. It operates across three major functions: HR Business Partnering (HRBPs embedded in each business unit), Talent Acquisition, and the People Analytics Team — which is our team.</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320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Made up of</w:t>
            </w:r>
          </w:p>
        </w:tc>
        <w:tc>
          <w:tcPr>
            <w:tcW w:type="dxa" w:w="316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Focuses on</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HR Business Partnering</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Senior HRBPs, HRBPs, L&amp;D Specialists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Employee lifecycle, performance, engagement, L&amp;D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Talent Acquisition</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Recruiters, Sourcing Specialists, Employer Brand</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Hiring, candidate experience, talent pipeline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People Analytics Team (YOU)</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Analytics Engineers, HR Data Scientists, Insights BPs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Workforce data, predictive modelling, HR reporting</w:t>
            </w:r>
          </w:p>
        </w:tc>
      </w:tr>
    </w:tbl>
    <w:p>
      <w:pPr>
        <w:spacing w:after="60" w:before="60"/>
      </w:pPr>
    </w:p>
    <w:p>
      <w:pPr>
        <w:pStyle w:val="Heading2"/>
        <w:spacing w:after="80" w:before="280"/>
      </w:pPr>
      <w:r>
        <w:rPr>
          <w:rFonts w:ascii="Arial" w:cs="Arial" w:eastAsia="Arial" w:hAnsi="Arial"/>
          <w:b/>
          <w:bCs/>
          <w:color w:val="6D2E46"/>
          <w:sz w:val="26"/>
          <w:szCs w:val="26"/>
        </w:rPr>
        <w:t xml:space="preserve">Your Role in the Ecosystem</w:t>
      </w:r>
    </w:p>
    <w:p>
      <w:pPr>
        <w:spacing w:after="60" w:before="60"/>
      </w:pPr>
      <w:r>
        <w:rPr>
          <w:rFonts w:ascii="Arial" w:cs="Arial" w:eastAsia="Arial" w:hAnsi="Arial"/>
          <w:color w:val="222222"/>
          <w:sz w:val="22"/>
          <w:szCs w:val="22"/>
        </w:rPr>
        <w:t xml:space="preserve">You are the data engine of the HR function. You don't make HR decisions — you make them better by providing the evidence base. The HRBPs and TA team bring the questions; you bring the answers.</w:t>
      </w:r>
    </w:p>
    <w:p>
      <w:r>
        <w:br w:type="page"/>
      </w:r>
    </w:p>
    <w:p>
      <w:pPr>
        <w:pStyle w:val="Heading1"/>
        <w:spacing w:after="100" w:before="400"/>
      </w:pPr>
      <w:r>
        <w:rPr>
          <w:rFonts w:ascii="Arial" w:cs="Arial" w:eastAsia="Arial" w:hAnsi="Arial"/>
          <w:b/>
          <w:bCs/>
          <w:color w:val="1B2A4A"/>
          <w:sz w:val="34"/>
          <w:szCs w:val="34"/>
        </w:rPr>
        <w:t xml:space="preserve">3. The People Analytics Role — What You Do</w:t>
      </w:r>
    </w:p>
    <w:p>
      <w:pPr>
        <w:pBdr>
          <w:bottom w:val="single" w:color="6D2E46" w:sz="10" w:space="1"/>
        </w:pBdr>
        <w:spacing w:after="160" w:before="60"/>
      </w:pPr>
    </w:p>
    <w:p>
      <w:pPr>
        <w:pStyle w:val="Heading2"/>
        <w:spacing w:after="80" w:before="280"/>
      </w:pPr>
      <w:r>
        <w:rPr>
          <w:rFonts w:ascii="Arial" w:cs="Arial" w:eastAsia="Arial" w:hAnsi="Arial"/>
          <w:b/>
          <w:bCs/>
          <w:color w:val="6D2E46"/>
          <w:sz w:val="26"/>
          <w:szCs w:val="26"/>
        </w:rPr>
        <w:t xml:space="preserve">Core Responsibilities</w:t>
      </w:r>
    </w:p>
    <w:p>
      <w:pPr>
        <w:pStyle w:val="Heading3"/>
        <w:spacing w:after="60" w:before="180"/>
      </w:pPr>
      <w:r>
        <w:rPr>
          <w:rFonts w:ascii="Arial" w:cs="Arial" w:eastAsia="Arial" w:hAnsi="Arial"/>
          <w:b/>
          <w:bCs/>
          <w:color w:val="185FA5"/>
          <w:sz w:val="22"/>
          <w:szCs w:val="22"/>
        </w:rPr>
        <w:t xml:space="preserve">Data product development</w:t>
      </w:r>
    </w:p>
    <w:p>
      <w:pPr>
        <w:spacing w:after="60" w:before="60"/>
      </w:pPr>
      <w:r>
        <w:rPr>
          <w:rFonts w:ascii="Arial" w:cs="Arial" w:eastAsia="Arial" w:hAnsi="Arial"/>
          <w:color w:val="222222"/>
          <w:sz w:val="22"/>
          <w:szCs w:val="22"/>
        </w:rPr>
        <w:t xml:space="preserve">You build and maintain the dashboards, datasets, and models that form the analytics layer of the HR function. Key products include: the Workforce Scorecard, Attrition Risk Model, DEI Dashboard, Talent Pipeline Report, and Manager Effectiveness Index.</w:t>
      </w:r>
    </w:p>
    <w:p>
      <w:pPr>
        <w:pStyle w:val="Heading3"/>
        <w:spacing w:after="60" w:before="180"/>
      </w:pPr>
      <w:r>
        <w:rPr>
          <w:rFonts w:ascii="Arial" w:cs="Arial" w:eastAsia="Arial" w:hAnsi="Arial"/>
          <w:b/>
          <w:bCs/>
          <w:color w:val="185FA5"/>
          <w:sz w:val="22"/>
          <w:szCs w:val="22"/>
        </w:rPr>
        <w:t xml:space="preserve">Stakeholder insight delivery</w:t>
      </w:r>
    </w:p>
    <w:p>
      <w:pPr>
        <w:spacing w:after="60" w:before="60"/>
      </w:pPr>
      <w:r>
        <w:rPr>
          <w:rFonts w:ascii="Arial" w:cs="Arial" w:eastAsia="Arial" w:hAnsi="Arial"/>
          <w:color w:val="222222"/>
          <w:sz w:val="22"/>
          <w:szCs w:val="22"/>
        </w:rPr>
        <w:t xml:space="preserve">You translate complex workforce data into clear narratives for non-technical audiences — from slide decks for the CPO to HRBP briefing packs for regional leads. You write with clarity and flag limitations honestly.</w:t>
      </w:r>
    </w:p>
    <w:p>
      <w:pPr>
        <w:pStyle w:val="Heading3"/>
        <w:spacing w:after="60" w:before="180"/>
      </w:pPr>
      <w:r>
        <w:rPr>
          <w:rFonts w:ascii="Arial" w:cs="Arial" w:eastAsia="Arial" w:hAnsi="Arial"/>
          <w:b/>
          <w:bCs/>
          <w:color w:val="185FA5"/>
          <w:sz w:val="22"/>
          <w:szCs w:val="22"/>
        </w:rPr>
        <w:t xml:space="preserve">Data governance stewardship</w:t>
      </w:r>
    </w:p>
    <w:p>
      <w:pPr>
        <w:spacing w:after="60" w:before="60"/>
      </w:pPr>
      <w:r>
        <w:rPr>
          <w:rFonts w:ascii="Arial" w:cs="Arial" w:eastAsia="Arial" w:hAnsi="Arial"/>
          <w:color w:val="222222"/>
          <w:sz w:val="22"/>
          <w:szCs w:val="22"/>
        </w:rPr>
        <w:t xml:space="preserve">People data is sensitive. You are responsible for ensuring all analytics work complies with GDPR, local privacy law, and Nexora's Data Governance Policy. You never produce reports that can identify individuals in groups below n=10.</w:t>
      </w:r>
    </w:p>
    <w:p>
      <w:pPr>
        <w:spacing w:after="60" w:before="60"/>
      </w:pPr>
    </w:p>
    <w:p>
      <w:pPr>
        <w:pStyle w:val="Heading2"/>
        <w:spacing w:after="80" w:before="280"/>
      </w:pPr>
      <w:r>
        <w:rPr>
          <w:rFonts w:ascii="Arial" w:cs="Arial" w:eastAsia="Arial" w:hAnsi="Arial"/>
          <w:b/>
          <w:bCs/>
          <w:color w:val="6D2E46"/>
          <w:sz w:val="26"/>
          <w:szCs w:val="26"/>
        </w:rPr>
        <w:t xml:space="preserve">What You Are NOT Responsible For</w:t>
      </w:r>
    </w:p>
    <w:p>
      <w:pPr>
        <w:pStyle w:val="ListParagraph"/>
        <w:numPr>
          <w:ilvl w:val="0"/>
          <w:numId w:val="2"/>
        </w:numPr>
        <w:spacing w:after="40" w:before="40"/>
      </w:pPr>
      <w:r>
        <w:rPr>
          <w:rFonts w:ascii="Arial" w:cs="Arial" w:eastAsia="Arial" w:hAnsi="Arial"/>
          <w:color w:val="333333"/>
          <w:sz w:val="22"/>
          <w:szCs w:val="22"/>
        </w:rPr>
        <w:t xml:space="preserve">Making HR decisions (that's HRBPs and HR leadership)</w:t>
      </w:r>
    </w:p>
    <w:p>
      <w:pPr>
        <w:pStyle w:val="ListParagraph"/>
        <w:numPr>
          <w:ilvl w:val="0"/>
          <w:numId w:val="2"/>
        </w:numPr>
        <w:spacing w:after="40" w:before="40"/>
      </w:pPr>
      <w:r>
        <w:rPr>
          <w:rFonts w:ascii="Arial" w:cs="Arial" w:eastAsia="Arial" w:hAnsi="Arial"/>
          <w:color w:val="333333"/>
          <w:sz w:val="22"/>
          <w:szCs w:val="22"/>
        </w:rPr>
        <w:t xml:space="preserve">Managing employee relations cases</w:t>
      </w:r>
    </w:p>
    <w:p>
      <w:pPr>
        <w:pStyle w:val="ListParagraph"/>
        <w:numPr>
          <w:ilvl w:val="0"/>
          <w:numId w:val="2"/>
        </w:numPr>
        <w:spacing w:after="40" w:before="40"/>
      </w:pPr>
      <w:r>
        <w:rPr>
          <w:rFonts w:ascii="Arial" w:cs="Arial" w:eastAsia="Arial" w:hAnsi="Arial"/>
          <w:color w:val="333333"/>
          <w:sz w:val="22"/>
          <w:szCs w:val="22"/>
        </w:rPr>
        <w:t xml:space="preserve">Running payroll or compensation processes</w:t>
      </w:r>
    </w:p>
    <w:p>
      <w:pPr>
        <w:spacing w:after="60" w:before="60"/>
      </w:pPr>
    </w:p>
    <w:p>
      <w:pPr>
        <w:pStyle w:val="Heading2"/>
        <w:spacing w:after="80" w:before="280"/>
      </w:pPr>
      <w:r>
        <w:rPr>
          <w:rFonts w:ascii="Arial" w:cs="Arial" w:eastAsia="Arial" w:hAnsi="Arial"/>
          <w:b/>
          <w:bCs/>
          <w:color w:val="6D2E46"/>
          <w:sz w:val="26"/>
          <w:szCs w:val="26"/>
        </w:rPr>
        <w:t xml:space="preserve">Key Skills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Data analysis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SQL, Python (pandas, scikit-learn), statistical modelling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Visualisation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Power BI, Tableau — building self-serve dashboards for HR stakeholders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People data literacy</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Understanding HR metrics: headcount, attrition, time-to-hire, engagement scores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Storytelling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Turning numbers into insights that drive action, not just reports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Privacy awareness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GDPR, data minimisation, anonymisation, disclosure risk</w:t>
            </w:r>
          </w:p>
        </w:tc>
      </w:tr>
    </w:tbl>
    <w:p>
      <w:r>
        <w:br w:type="page"/>
      </w:r>
    </w:p>
    <w:p>
      <w:pPr>
        <w:pStyle w:val="Heading1"/>
        <w:spacing w:after="100" w:before="400"/>
      </w:pPr>
      <w:r>
        <w:rPr>
          <w:rFonts w:ascii="Arial" w:cs="Arial" w:eastAsia="Arial" w:hAnsi="Arial"/>
          <w:b/>
          <w:bCs/>
          <w:color w:val="1B2A4A"/>
          <w:sz w:val="34"/>
          <w:szCs w:val="34"/>
        </w:rPr>
        <w:t xml:space="preserve">4. How We Work — Sprint Cadence</w:t>
      </w:r>
    </w:p>
    <w:p>
      <w:pPr>
        <w:pBdr>
          <w:bottom w:val="single" w:color="6D2E46" w:sz="10" w:space="1"/>
        </w:pBdr>
        <w:spacing w:after="160" w:before="60"/>
      </w:pPr>
    </w:p>
    <w:p>
      <w:pPr>
        <w:spacing w:after="60" w:before="60"/>
      </w:pPr>
      <w:r>
        <w:rPr>
          <w:rFonts w:ascii="Arial" w:cs="Arial" w:eastAsia="Arial" w:hAnsi="Arial"/>
          <w:color w:val="222222"/>
          <w:sz w:val="22"/>
          <w:szCs w:val="22"/>
        </w:rPr>
        <w:t xml:space="preserve">We operate in 2-week sprints following an adapted Scrum methodology. Our backlog is a mix of recurring data product maintenance, new insight requests from stakeholders, and self-initiated analytics work.</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length</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2 weeks (Monday–Friday cycle)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Planning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Monday Week 1, 1.5h — prioritise backlog, assign capacity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Every morning, 15 min — blockers, progress, data issues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Data refinement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Wednesday Week 1, 90 min — groom incoming requests, scope new work</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Review</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Friday Week 2, 45 min — share completed dashboards and insights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Retrospective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Friday Week 2, 45 min — improve our ways of working</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6D2E46" w:sz="24"/>
              <w:bottom w:val="none" w:color="FFFFFF" w:sz="0"/>
              <w:right w:val="none" w:color="FFFFFF" w:sz="0"/>
            </w:tcBorders>
            <w:shd w:fill="F9EFF3"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9EFF3" w:val="clear"/>
            <w:tcMar>
              <w:top w:type="dxa" w:w="120"/>
              <w:left w:type="dxa" w:w="120"/>
              <w:bottom w:type="dxa" w:w="120"/>
              <w:right w:type="dxa" w:w="200"/>
            </w:tcMar>
          </w:tcPr>
          <w:p>
            <w:r>
              <w:rPr>
                <w:rFonts w:ascii="Arial" w:cs="Arial" w:eastAsia="Arial" w:hAnsi="Arial"/>
                <w:b/>
                <w:bCs/>
                <w:color w:val="6D2E46"/>
                <w:sz w:val="20"/>
                <w:szCs w:val="20"/>
              </w:rPr>
              <w:t xml:space="preserve">DATA SPRINT NOTE</w:t>
            </w:r>
          </w:p>
          <w:p>
            <w:pPr>
              <w:spacing w:before="40"/>
            </w:pPr>
            <w:r>
              <w:rPr>
                <w:rFonts w:ascii="Arial" w:cs="Arial" w:eastAsia="Arial" w:hAnsi="Arial"/>
                <w:color w:val="444444"/>
                <w:sz w:val="20"/>
                <w:szCs w:val="20"/>
              </w:rPr>
              <w:t xml:space="preserve">Not all analytics work fits neatly in a sprint. Research-heavy or modelling work uses Spikes (time-boxed exploration). A Spike always has a defined output — a recommendation, a decision, or a documented dead end.</w:t>
            </w:r>
          </w:p>
        </w:tc>
      </w:tr>
    </w:tbl>
    <w:p>
      <w:r>
        <w:br w:type="page"/>
      </w:r>
    </w:p>
    <w:p>
      <w:pPr>
        <w:pStyle w:val="Heading1"/>
        <w:spacing w:after="100" w:before="400"/>
      </w:pPr>
      <w:r>
        <w:rPr>
          <w:rFonts w:ascii="Arial" w:cs="Arial" w:eastAsia="Arial" w:hAnsi="Arial"/>
          <w:b/>
          <w:bCs/>
          <w:color w:val="1B2A4A"/>
          <w:sz w:val="34"/>
          <w:szCs w:val="34"/>
        </w:rPr>
        <w:t xml:space="preserve">5. Data Products &amp; Stakeholder Flow</w:t>
      </w:r>
    </w:p>
    <w:p>
      <w:pPr>
        <w:pBdr>
          <w:bottom w:val="single" w:color="6D2E46" w:sz="10" w:space="1"/>
        </w:pBdr>
        <w:spacing w:after="160" w:before="60"/>
      </w:pPr>
    </w:p>
    <w:p>
      <w:pPr>
        <w:pStyle w:val="Heading2"/>
        <w:spacing w:after="80" w:before="280"/>
      </w:pPr>
      <w:r>
        <w:rPr>
          <w:rFonts w:ascii="Arial" w:cs="Arial" w:eastAsia="Arial" w:hAnsi="Arial"/>
          <w:b/>
          <w:bCs/>
          <w:color w:val="6D2E46"/>
          <w:sz w:val="26"/>
          <w:szCs w:val="26"/>
        </w:rPr>
        <w:t xml:space="preserve">How a Typical Request Flows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416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Business question raised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HRBP or HR Leadership</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 people question is identified — e.g. 'Why is attrition rising in EMEA Sales?'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Request scoped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Analytics Team Lead + requestor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We define the question, data sources, output format, and timeline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Data extraction &amp; analysis</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Analytics Engineers + Data Scientists</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We pull, clean, model, and interpret the data</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Insight drafted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Insights BP</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We shape findings into a narrative for the audience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Reviewed &amp; shared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Analytics Lead + HR stakeholder</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Output reviewed for accuracy and privacy compliance, then shared</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6D2E46" w:sz="24"/>
              <w:bottom w:val="none" w:color="FFFFFF" w:sz="0"/>
              <w:right w:val="none" w:color="FFFFFF" w:sz="0"/>
            </w:tcBorders>
            <w:shd w:fill="F9EFF3"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9EFF3" w:val="clear"/>
            <w:tcMar>
              <w:top w:type="dxa" w:w="120"/>
              <w:left w:type="dxa" w:w="120"/>
              <w:bottom w:type="dxa" w:w="120"/>
              <w:right w:type="dxa" w:w="200"/>
            </w:tcMar>
          </w:tcPr>
          <w:p>
            <w:r>
              <w:rPr>
                <w:rFonts w:ascii="Arial" w:cs="Arial" w:eastAsia="Arial" w:hAnsi="Arial"/>
                <w:b/>
                <w:bCs/>
                <w:color w:val="6D2E46"/>
                <w:sz w:val="20"/>
                <w:szCs w:val="20"/>
              </w:rPr>
              <w:t xml:space="preserve">PRIVACY RULE</w:t>
            </w:r>
          </w:p>
          <w:p>
            <w:pPr>
              <w:spacing w:before="40"/>
            </w:pPr>
            <w:r>
              <w:rPr>
                <w:rFonts w:ascii="Arial" w:cs="Arial" w:eastAsia="Arial" w:hAnsi="Arial"/>
                <w:color w:val="444444"/>
                <w:sz w:val="20"/>
                <w:szCs w:val="20"/>
              </w:rPr>
              <w:t xml:space="preserve">No analytics output may identify individuals in groups smaller than 10. All outputs must be reviewed by the Analytics Lead before being shared with HR stakeholders. Never share raw employee-level data outside the analytics team.</w:t>
            </w:r>
          </w:p>
        </w:tc>
      </w:tr>
    </w:tbl>
    <w:p>
      <w:r>
        <w:br w:type="page"/>
      </w:r>
    </w:p>
    <w:p>
      <w:pPr>
        <w:pStyle w:val="Heading1"/>
        <w:spacing w:after="100" w:before="400"/>
      </w:pPr>
      <w:r>
        <w:rPr>
          <w:rFonts w:ascii="Arial" w:cs="Arial" w:eastAsia="Arial" w:hAnsi="Arial"/>
          <w:b/>
          <w:bCs/>
          <w:color w:val="1B2A4A"/>
          <w:sz w:val="34"/>
          <w:szCs w:val="34"/>
        </w:rPr>
        <w:t xml:space="preserve">6. Meetings &amp; Ceremonies</w:t>
      </w:r>
    </w:p>
    <w:p>
      <w:pPr>
        <w:pBdr>
          <w:bottom w:val="single" w:color="6D2E46"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Meeting</w:t>
            </w:r>
          </w:p>
        </w:tc>
        <w:tc>
          <w:tcPr>
            <w:tcW w:type="dxa" w:w="220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Frequency / Duration</w:t>
            </w:r>
          </w:p>
        </w:tc>
        <w:tc>
          <w:tcPr>
            <w:tcW w:type="dxa" w:w="4160"/>
            <w:tcBorders>
              <w:top w:val="single" w:color="6D2E46" w:sz="4"/>
              <w:left w:val="single" w:color="6D2E46" w:sz="4"/>
              <w:bottom w:val="single" w:color="6D2E46" w:sz="4"/>
              <w:right w:val="single" w:color="6D2E46" w:sz="4"/>
            </w:tcBorders>
            <w:shd w:fill="6D2E46" w:val="clear"/>
            <w:tcMar>
              <w:top w:type="dxa" w:w="80"/>
              <w:left w:type="dxa" w:w="140"/>
              <w:bottom w:type="dxa" w:w="80"/>
              <w:right w:type="dxa" w:w="140"/>
            </w:tcMar>
          </w:tcPr>
          <w:p>
            <w:r>
              <w:rPr>
                <w:rFonts w:ascii="Arial" w:cs="Arial" w:eastAsia="Arial" w:hAnsi="Arial"/>
                <w:b/>
                <w:bCs/>
                <w:color w:val="FFFFFF"/>
                <w:sz w:val="20"/>
                <w:szCs w:val="20"/>
              </w:rPr>
              <w:t xml:space="preserve">Your role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Monday,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contribute to estimation and prioritisation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15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share progress and blockers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Data Refinement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Wednesday,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scope new requests with the team</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Present your completed work to stakeholders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Retrospective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Participate; raise process improvement ideas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HRBP Monthly Sync</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 60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understand upcoming insight needs from the business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HR Leadership Data Review</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Monthly,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Present key dashboard updates to HR leadership</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Data Governance Forum</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Quarterly, 60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review policy changes affecting people data</w:t>
            </w:r>
          </w:p>
        </w:tc>
      </w:tr>
    </w:tbl>
    <w:p>
      <w:r>
        <w:br w:type="page"/>
      </w:r>
    </w:p>
    <w:p>
      <w:pPr>
        <w:pStyle w:val="Heading1"/>
        <w:spacing w:after="100" w:before="400"/>
      </w:pPr>
      <w:r>
        <w:rPr>
          <w:rFonts w:ascii="Arial" w:cs="Arial" w:eastAsia="Arial" w:hAnsi="Arial"/>
          <w:b/>
          <w:bCs/>
          <w:color w:val="1B2A4A"/>
          <w:sz w:val="34"/>
          <w:szCs w:val="34"/>
        </w:rPr>
        <w:t xml:space="preserve">7. Data Governance &amp; Ethics</w:t>
      </w:r>
    </w:p>
    <w:p>
      <w:pPr>
        <w:pBdr>
          <w:bottom w:val="single" w:color="6D2E46" w:sz="10" w:space="1"/>
        </w:pBdr>
        <w:spacing w:after="160" w:before="60"/>
      </w:pPr>
    </w:p>
    <w:p>
      <w:pPr>
        <w:pStyle w:val="Heading2"/>
        <w:spacing w:after="80" w:before="280"/>
      </w:pPr>
      <w:r>
        <w:rPr>
          <w:rFonts w:ascii="Arial" w:cs="Arial" w:eastAsia="Arial" w:hAnsi="Arial"/>
          <w:b/>
          <w:bCs/>
          <w:color w:val="6D2E46"/>
          <w:sz w:val="26"/>
          <w:szCs w:val="26"/>
        </w:rPr>
        <w:t xml:space="preserve">Our Data Principles</w:t>
      </w:r>
    </w:p>
    <w:p>
      <w:pPr>
        <w:pStyle w:val="ListParagraph"/>
        <w:numPr>
          <w:ilvl w:val="0"/>
          <w:numId w:val="2"/>
        </w:numPr>
        <w:spacing w:after="40" w:before="40"/>
      </w:pPr>
      <w:r>
        <w:rPr>
          <w:rFonts w:ascii="Arial" w:cs="Arial" w:eastAsia="Arial" w:hAnsi="Arial"/>
          <w:color w:val="333333"/>
          <w:sz w:val="22"/>
          <w:szCs w:val="22"/>
        </w:rPr>
        <w:t xml:space="preserve">Privacy by design: anonymise, aggregate, and minimise personal data at every step</w:t>
      </w:r>
    </w:p>
    <w:p>
      <w:pPr>
        <w:pStyle w:val="ListParagraph"/>
        <w:numPr>
          <w:ilvl w:val="0"/>
          <w:numId w:val="2"/>
        </w:numPr>
        <w:spacing w:after="40" w:before="40"/>
      </w:pPr>
      <w:r>
        <w:rPr>
          <w:rFonts w:ascii="Arial" w:cs="Arial" w:eastAsia="Arial" w:hAnsi="Arial"/>
          <w:color w:val="333333"/>
          <w:sz w:val="22"/>
          <w:szCs w:val="22"/>
        </w:rPr>
        <w:t xml:space="preserve">No individual identification in any group smaller than 10 people</w:t>
      </w:r>
    </w:p>
    <w:p>
      <w:pPr>
        <w:pStyle w:val="ListParagraph"/>
        <w:numPr>
          <w:ilvl w:val="0"/>
          <w:numId w:val="2"/>
        </w:numPr>
        <w:spacing w:after="40" w:before="40"/>
      </w:pPr>
      <w:r>
        <w:rPr>
          <w:rFonts w:ascii="Arial" w:cs="Arial" w:eastAsia="Arial" w:hAnsi="Arial"/>
          <w:color w:val="333333"/>
          <w:sz w:val="22"/>
          <w:szCs w:val="22"/>
        </w:rPr>
        <w:t xml:space="preserve">All data access is role-based and logged — request access via ServiceNow</w:t>
      </w:r>
    </w:p>
    <w:p>
      <w:pPr>
        <w:pStyle w:val="ListParagraph"/>
        <w:numPr>
          <w:ilvl w:val="0"/>
          <w:numId w:val="2"/>
        </w:numPr>
        <w:spacing w:after="40" w:before="40"/>
      </w:pPr>
      <w:r>
        <w:rPr>
          <w:rFonts w:ascii="Arial" w:cs="Arial" w:eastAsia="Arial" w:hAnsi="Arial"/>
          <w:color w:val="333333"/>
          <w:sz w:val="22"/>
          <w:szCs w:val="22"/>
        </w:rPr>
        <w:t xml:space="preserve">Never export employee-level data to personal devices or unapproved tools</w:t>
      </w:r>
    </w:p>
    <w:p>
      <w:pPr>
        <w:pStyle w:val="ListParagraph"/>
        <w:numPr>
          <w:ilvl w:val="0"/>
          <w:numId w:val="2"/>
        </w:numPr>
        <w:spacing w:after="40" w:before="40"/>
      </w:pPr>
      <w:r>
        <w:rPr>
          <w:rFonts w:ascii="Arial" w:cs="Arial" w:eastAsia="Arial" w:hAnsi="Arial"/>
          <w:color w:val="333333"/>
          <w:sz w:val="22"/>
          <w:szCs w:val="22"/>
        </w:rPr>
        <w:t xml:space="preserve">Any privacy incident must be reported to the Data Governance team within 24 hours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6D2E46" w:sz="24"/>
              <w:bottom w:val="none" w:color="FFFFFF" w:sz="0"/>
              <w:right w:val="none" w:color="FFFFFF" w:sz="0"/>
            </w:tcBorders>
            <w:shd w:fill="F9EFF3"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9EFF3" w:val="clear"/>
            <w:tcMar>
              <w:top w:type="dxa" w:w="120"/>
              <w:left w:type="dxa" w:w="120"/>
              <w:bottom w:type="dxa" w:w="120"/>
              <w:right w:type="dxa" w:w="200"/>
            </w:tcMar>
          </w:tcPr>
          <w:p>
            <w:r>
              <w:rPr>
                <w:rFonts w:ascii="Arial" w:cs="Arial" w:eastAsia="Arial" w:hAnsi="Arial"/>
                <w:b/>
                <w:bCs/>
                <w:color w:val="6D2E46"/>
                <w:sz w:val="20"/>
                <w:szCs w:val="20"/>
              </w:rPr>
              <w:t xml:space="preserve">GDPR &amp; LOCAL LAW</w:t>
            </w:r>
          </w:p>
          <w:p>
            <w:pPr>
              <w:spacing w:before="40"/>
            </w:pPr>
            <w:r>
              <w:rPr>
                <w:rFonts w:ascii="Arial" w:cs="Arial" w:eastAsia="Arial" w:hAnsi="Arial"/>
                <w:color w:val="444444"/>
                <w:sz w:val="20"/>
                <w:szCs w:val="20"/>
              </w:rPr>
              <w:t xml:space="preserve">People data is subject to GDPR (EU/UK) and equivalent laws globally. Complete the mandatory Data Privacy training in NexoraLearn within your first 5 days. You cannot access HR data systems until this is done.</w:t>
            </w:r>
          </w:p>
        </w:tc>
      </w:tr>
    </w:tbl>
    <w:p>
      <w:r>
        <w:br w:type="page"/>
      </w:r>
    </w:p>
    <w:p>
      <w:pPr>
        <w:pStyle w:val="Heading1"/>
        <w:spacing w:after="100" w:before="400"/>
      </w:pPr>
      <w:r>
        <w:rPr>
          <w:rFonts w:ascii="Arial" w:cs="Arial" w:eastAsia="Arial" w:hAnsi="Arial"/>
          <w:b/>
          <w:bCs/>
          <w:color w:val="1B2A4A"/>
          <w:sz w:val="34"/>
          <w:szCs w:val="34"/>
        </w:rPr>
        <w:t xml:space="preserve">8. Definition of Ready &amp; Done</w:t>
      </w:r>
    </w:p>
    <w:p>
      <w:pPr>
        <w:pBdr>
          <w:bottom w:val="single" w:color="6D2E46" w:sz="10" w:space="1"/>
        </w:pBdr>
        <w:spacing w:after="160" w:before="60"/>
      </w:pPr>
    </w:p>
    <w:p>
      <w:pPr>
        <w:pStyle w:val="Heading2"/>
        <w:spacing w:after="80" w:before="280"/>
      </w:pPr>
      <w:r>
        <w:rPr>
          <w:rFonts w:ascii="Arial" w:cs="Arial" w:eastAsia="Arial" w:hAnsi="Arial"/>
          <w:b/>
          <w:bCs/>
          <w:color w:val="6D2E46"/>
          <w:sz w:val="26"/>
          <w:szCs w:val="26"/>
        </w:rPr>
        <w:t xml:space="preserve">Definition of Ready — an analytics request is Ready when:</w:t>
      </w:r>
    </w:p>
    <w:p>
      <w:pPr>
        <w:pStyle w:val="ListParagraph"/>
        <w:numPr>
          <w:ilvl w:val="0"/>
          <w:numId w:val="3"/>
        </w:numPr>
        <w:spacing w:after="40" w:before="40"/>
      </w:pPr>
      <w:r>
        <w:rPr>
          <w:rFonts w:ascii="Arial" w:cs="Arial" w:eastAsia="Arial" w:hAnsi="Arial"/>
          <w:color w:val="333333"/>
          <w:sz w:val="22"/>
          <w:szCs w:val="22"/>
        </w:rPr>
        <w:t xml:space="preserve">The business question is clearly stated in plain language</w:t>
      </w:r>
    </w:p>
    <w:p>
      <w:pPr>
        <w:pStyle w:val="ListParagraph"/>
        <w:numPr>
          <w:ilvl w:val="0"/>
          <w:numId w:val="3"/>
        </w:numPr>
        <w:spacing w:after="40" w:before="40"/>
      </w:pPr>
      <w:r>
        <w:rPr>
          <w:rFonts w:ascii="Arial" w:cs="Arial" w:eastAsia="Arial" w:hAnsi="Arial"/>
          <w:color w:val="333333"/>
          <w:sz w:val="22"/>
          <w:szCs w:val="22"/>
        </w:rPr>
        <w:t xml:space="preserve">Data sources are identified and access confirmed</w:t>
      </w:r>
    </w:p>
    <w:p>
      <w:pPr>
        <w:pStyle w:val="ListParagraph"/>
        <w:numPr>
          <w:ilvl w:val="0"/>
          <w:numId w:val="3"/>
        </w:numPr>
        <w:spacing w:after="40" w:before="40"/>
      </w:pPr>
      <w:r>
        <w:rPr>
          <w:rFonts w:ascii="Arial" w:cs="Arial" w:eastAsia="Arial" w:hAnsi="Arial"/>
          <w:color w:val="333333"/>
          <w:sz w:val="22"/>
          <w:szCs w:val="22"/>
        </w:rPr>
        <w:t xml:space="preserve">Output format and audience are agreed (dashboard, slide deck, CSV, etc.)</w:t>
      </w:r>
    </w:p>
    <w:p>
      <w:pPr>
        <w:pStyle w:val="ListParagraph"/>
        <w:numPr>
          <w:ilvl w:val="0"/>
          <w:numId w:val="3"/>
        </w:numPr>
        <w:spacing w:after="40" w:before="40"/>
      </w:pPr>
      <w:r>
        <w:rPr>
          <w:rFonts w:ascii="Arial" w:cs="Arial" w:eastAsia="Arial" w:hAnsi="Arial"/>
          <w:color w:val="333333"/>
          <w:sz w:val="22"/>
          <w:szCs w:val="22"/>
        </w:rPr>
        <w:t xml:space="preserve">Privacy and disclosure risks have been assessed</w:t>
      </w:r>
    </w:p>
    <w:p>
      <w:pPr>
        <w:pStyle w:val="ListParagraph"/>
        <w:numPr>
          <w:ilvl w:val="0"/>
          <w:numId w:val="3"/>
        </w:numPr>
        <w:spacing w:after="40" w:before="40"/>
      </w:pPr>
      <w:r>
        <w:rPr>
          <w:rFonts w:ascii="Arial" w:cs="Arial" w:eastAsia="Arial" w:hAnsi="Arial"/>
          <w:color w:val="333333"/>
          <w:sz w:val="22"/>
          <w:szCs w:val="22"/>
        </w:rPr>
        <w:t xml:space="preserve">Timeline is agreed with the requestor</w:t>
      </w:r>
    </w:p>
    <w:p>
      <w:pPr>
        <w:spacing w:after="60" w:before="60"/>
      </w:pPr>
    </w:p>
    <w:p>
      <w:pPr>
        <w:pStyle w:val="Heading2"/>
        <w:spacing w:after="80" w:before="280"/>
      </w:pPr>
      <w:r>
        <w:rPr>
          <w:rFonts w:ascii="Arial" w:cs="Arial" w:eastAsia="Arial" w:hAnsi="Arial"/>
          <w:b/>
          <w:bCs/>
          <w:color w:val="6D2E46"/>
          <w:sz w:val="26"/>
          <w:szCs w:val="26"/>
        </w:rPr>
        <w:t xml:space="preserve">Definition of Done — work is Done when:</w:t>
      </w:r>
    </w:p>
    <w:p>
      <w:pPr>
        <w:pStyle w:val="ListParagraph"/>
        <w:numPr>
          <w:ilvl w:val="0"/>
          <w:numId w:val="3"/>
        </w:numPr>
        <w:spacing w:after="40" w:before="40"/>
      </w:pPr>
      <w:r>
        <w:rPr>
          <w:rFonts w:ascii="Arial" w:cs="Arial" w:eastAsia="Arial" w:hAnsi="Arial"/>
          <w:color w:val="333333"/>
          <w:sz w:val="22"/>
          <w:szCs w:val="22"/>
        </w:rPr>
        <w:t xml:space="preserve">Analysis answers the original business question</w:t>
      </w:r>
    </w:p>
    <w:p>
      <w:pPr>
        <w:pStyle w:val="ListParagraph"/>
        <w:numPr>
          <w:ilvl w:val="0"/>
          <w:numId w:val="3"/>
        </w:numPr>
        <w:spacing w:after="40" w:before="40"/>
      </w:pPr>
      <w:r>
        <w:rPr>
          <w:rFonts w:ascii="Arial" w:cs="Arial" w:eastAsia="Arial" w:hAnsi="Arial"/>
          <w:color w:val="333333"/>
          <w:sz w:val="22"/>
          <w:szCs w:val="22"/>
        </w:rPr>
        <w:t xml:space="preserve">Output has been peer-reviewed by another team member</w:t>
      </w:r>
    </w:p>
    <w:p>
      <w:pPr>
        <w:pStyle w:val="ListParagraph"/>
        <w:numPr>
          <w:ilvl w:val="0"/>
          <w:numId w:val="3"/>
        </w:numPr>
        <w:spacing w:after="40" w:before="40"/>
      </w:pPr>
      <w:r>
        <w:rPr>
          <w:rFonts w:ascii="Arial" w:cs="Arial" w:eastAsia="Arial" w:hAnsi="Arial"/>
          <w:color w:val="333333"/>
          <w:sz w:val="22"/>
          <w:szCs w:val="22"/>
        </w:rPr>
        <w:t xml:space="preserve">Privacy check completed (no individual identification risk)</w:t>
      </w:r>
    </w:p>
    <w:p>
      <w:pPr>
        <w:pStyle w:val="ListParagraph"/>
        <w:numPr>
          <w:ilvl w:val="0"/>
          <w:numId w:val="3"/>
        </w:numPr>
        <w:spacing w:after="40" w:before="40"/>
      </w:pPr>
      <w:r>
        <w:rPr>
          <w:rFonts w:ascii="Arial" w:cs="Arial" w:eastAsia="Arial" w:hAnsi="Arial"/>
          <w:color w:val="333333"/>
          <w:sz w:val="22"/>
          <w:szCs w:val="22"/>
        </w:rPr>
        <w:t xml:space="preserve">Documentation added to Confluence (methodology, caveats, data sources)</w:t>
      </w:r>
    </w:p>
    <w:p>
      <w:pPr>
        <w:pStyle w:val="ListParagraph"/>
        <w:numPr>
          <w:ilvl w:val="0"/>
          <w:numId w:val="3"/>
        </w:numPr>
        <w:spacing w:after="40" w:before="40"/>
      </w:pPr>
      <w:r>
        <w:rPr>
          <w:rFonts w:ascii="Arial" w:cs="Arial" w:eastAsia="Arial" w:hAnsi="Arial"/>
          <w:color w:val="333333"/>
          <w:sz w:val="22"/>
          <w:szCs w:val="22"/>
        </w:rPr>
        <w:t xml:space="preserve">Output delivered to and acknowledged by the requestor</w:t>
      </w:r>
    </w:p>
    <w:p>
      <w:r>
        <w:br w:type="page"/>
      </w:r>
    </w:p>
    <w:p>
      <w:pPr>
        <w:pStyle w:val="Heading1"/>
        <w:spacing w:after="100" w:before="400"/>
      </w:pPr>
      <w:r>
        <w:rPr>
          <w:rFonts w:ascii="Arial" w:cs="Arial" w:eastAsia="Arial" w:hAnsi="Arial"/>
          <w:b/>
          <w:bCs/>
          <w:color w:val="1B2A4A"/>
          <w:sz w:val="34"/>
          <w:szCs w:val="34"/>
        </w:rPr>
        <w:t xml:space="preserve">9. Communication Norms</w:t>
      </w:r>
    </w:p>
    <w:p>
      <w:pPr>
        <w:pBdr>
          <w:bottom w:val="single" w:color="6D2E46"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#people-analytics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Day-to-day team communication and data questions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#hr-insights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Channel shared with HRBPs — use for sharing completed insights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#data-governance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For privacy questions and data access requests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Email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For formal stakeholder comms and sharing completed reports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Confluence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documentation, methodology notes, data dictionaries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Jira</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analytics work items, sprint board, backlog</w:t>
            </w:r>
          </w:p>
        </w:tc>
      </w:tr>
    </w:tbl>
    <w:p>
      <w:r>
        <w:br w:type="page"/>
      </w:r>
    </w:p>
    <w:p>
      <w:pPr>
        <w:pStyle w:val="Heading1"/>
        <w:spacing w:after="100" w:before="400"/>
      </w:pPr>
      <w:r>
        <w:rPr>
          <w:rFonts w:ascii="Arial" w:cs="Arial" w:eastAsia="Arial" w:hAnsi="Arial"/>
          <w:b/>
          <w:bCs/>
          <w:color w:val="1B2A4A"/>
          <w:sz w:val="34"/>
          <w:szCs w:val="34"/>
        </w:rPr>
        <w:t xml:space="preserve">10. Tools Access &amp; Setup Guide</w:t>
      </w:r>
    </w:p>
    <w:p>
      <w:pPr>
        <w:pBdr>
          <w:bottom w:val="single" w:color="6D2E46" w:sz="10" w:space="1"/>
        </w:pBdr>
        <w:spacing w:after="160" w:before="60"/>
      </w:pPr>
    </w:p>
    <w:p>
      <w:pPr>
        <w:pStyle w:val="Heading2"/>
        <w:spacing w:after="80" w:before="280"/>
      </w:pPr>
      <w:r>
        <w:rPr>
          <w:rFonts w:ascii="Arial" w:cs="Arial" w:eastAsia="Arial" w:hAnsi="Arial"/>
          <w:b/>
          <w:bCs/>
          <w:color w:val="6D2E46"/>
          <w:sz w:val="26"/>
          <w:szCs w:val="26"/>
        </w:rPr>
        <w:t xml:space="preserve">Core Tools</w:t>
      </w:r>
    </w:p>
    <w:p>
      <w:pPr>
        <w:pStyle w:val="Heading3"/>
        <w:spacing w:after="60" w:before="180"/>
      </w:pPr>
      <w:r>
        <w:rPr>
          <w:rFonts w:ascii="Arial" w:cs="Arial" w:eastAsia="Arial" w:hAnsi="Arial"/>
          <w:b/>
          <w:bCs/>
          <w:color w:val="185FA5"/>
          <w:sz w:val="22"/>
          <w:szCs w:val="22"/>
        </w:rPr>
        <w:t xml:space="preserve">Jira — Sprint and backlog management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Jira &gt; Project: People Analytics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Role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Analytics Team Member</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Training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NexoraLearn: 'Jira for Analysts' (1.5h, mandatory Week 1)</w:t>
            </w:r>
          </w:p>
        </w:tc>
      </w:tr>
    </w:tbl>
    <w:p>
      <w:pPr>
        <w:pStyle w:val="Heading3"/>
        <w:spacing w:after="60" w:before="180"/>
      </w:pPr>
      <w:r>
        <w:rPr>
          <w:rFonts w:ascii="Arial" w:cs="Arial" w:eastAsia="Arial" w:hAnsi="Arial"/>
          <w:b/>
          <w:bCs/>
          <w:color w:val="185FA5"/>
          <w:sz w:val="22"/>
          <w:szCs w:val="22"/>
        </w:rPr>
        <w:t xml:space="preserve">Snowflake — HR data warehouse (read-only)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Data Platform &gt; Snowflake &gt; Schema: HR_ANALYTICS (DG approval required)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Data Governance (3 business days)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Note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Never query production HR data directly — use the anonymised analytics schema</w:t>
            </w:r>
          </w:p>
        </w:tc>
      </w:tr>
    </w:tbl>
    <w:p>
      <w:pPr>
        <w:pStyle w:val="Heading3"/>
        <w:spacing w:after="60" w:before="180"/>
      </w:pPr>
      <w:r>
        <w:rPr>
          <w:rFonts w:ascii="Arial" w:cs="Arial" w:eastAsia="Arial" w:hAnsi="Arial"/>
          <w:b/>
          <w:bCs/>
          <w:color w:val="185FA5"/>
          <w:sz w:val="22"/>
          <w:szCs w:val="22"/>
        </w:rPr>
        <w:t xml:space="preserve">Power BI — Dashboard authoring and consumption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Power BI &gt; Workspace: People Analytics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Note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published dashboards must be reviewed by Analytics Lead before release</w:t>
            </w:r>
          </w:p>
        </w:tc>
      </w:tr>
    </w:tbl>
    <w:p>
      <w:pPr>
        <w:pStyle w:val="Heading3"/>
        <w:spacing w:after="60" w:before="180"/>
      </w:pPr>
      <w:r>
        <w:rPr>
          <w:rFonts w:ascii="Arial" w:cs="Arial" w:eastAsia="Arial" w:hAnsi="Arial"/>
          <w:b/>
          <w:bCs/>
          <w:color w:val="185FA5"/>
          <w:sz w:val="22"/>
          <w:szCs w:val="22"/>
        </w:rPr>
        <w:t xml:space="preserve">Workday Reporting Module — HR source data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HR Systems &gt; Workday Reporting Access (DG approval required)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HR Systems team (up to 5 business days)</w:t>
            </w:r>
          </w:p>
        </w:tc>
      </w:tr>
    </w:tbl>
    <w:p>
      <w:pPr>
        <w:pStyle w:val="Heading3"/>
        <w:spacing w:after="60" w:before="180"/>
      </w:pPr>
      <w:r>
        <w:rPr>
          <w:rFonts w:ascii="Arial" w:cs="Arial" w:eastAsia="Arial" w:hAnsi="Arial"/>
          <w:b/>
          <w:bCs/>
          <w:color w:val="185FA5"/>
          <w:sz w:val="22"/>
          <w:szCs w:val="22"/>
        </w:rPr>
        <w:t xml:space="preserve">Confluence — Documentation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Confluence &gt; Space: People Analytics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Key pages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Team Home, Data Dictionary, Sprint Templates, Privacy Checklist</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6D2E46" w:sz="24"/>
              <w:bottom w:val="none" w:color="FFFFFF" w:sz="0"/>
              <w:right w:val="none" w:color="FFFFFF" w:sz="0"/>
            </w:tcBorders>
            <w:shd w:fill="F9EFF3"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9EFF3" w:val="clear"/>
            <w:tcMar>
              <w:top w:type="dxa" w:w="120"/>
              <w:left w:type="dxa" w:w="120"/>
              <w:bottom w:type="dxa" w:w="120"/>
              <w:right w:type="dxa" w:w="200"/>
            </w:tcMar>
          </w:tcPr>
          <w:p>
            <w:r>
              <w:rPr>
                <w:rFonts w:ascii="Arial" w:cs="Arial" w:eastAsia="Arial" w:hAnsi="Arial"/>
                <w:b/>
                <w:bCs/>
                <w:color w:val="6D2E46"/>
                <w:sz w:val="20"/>
                <w:szCs w:val="20"/>
              </w:rPr>
              <w:t xml:space="preserve">DG APPROVAL NOTE</w:t>
            </w:r>
          </w:p>
          <w:p>
            <w:pPr>
              <w:spacing w:before="40"/>
            </w:pPr>
            <w:r>
              <w:rPr>
                <w:rFonts w:ascii="Arial" w:cs="Arial" w:eastAsia="Arial" w:hAnsi="Arial"/>
                <w:color w:val="444444"/>
                <w:sz w:val="20"/>
                <w:szCs w:val="20"/>
              </w:rPr>
              <w:t xml:space="preserve">Data Governance approval is required for Snowflake and Workday access. Request both on Day 1 to avoid delays. You will be able to use Jira, Confluence, and Power BI (viewer) from Day 1.</w:t>
            </w:r>
          </w:p>
        </w:tc>
      </w:tr>
    </w:tbl>
    <w:p>
      <w:r>
        <w:br w:type="page"/>
      </w:r>
    </w:p>
    <w:p>
      <w:pPr>
        <w:pStyle w:val="Heading1"/>
        <w:spacing w:after="100" w:before="400"/>
      </w:pPr>
      <w:r>
        <w:rPr>
          <w:rFonts w:ascii="Arial" w:cs="Arial" w:eastAsia="Arial" w:hAnsi="Arial"/>
          <w:b/>
          <w:bCs/>
          <w:color w:val="1B2A4A"/>
          <w:sz w:val="34"/>
          <w:szCs w:val="34"/>
        </w:rPr>
        <w:t xml:space="preserve">11. Your First 30 Days</w:t>
      </w:r>
    </w:p>
    <w:p>
      <w:pPr>
        <w:pBdr>
          <w:bottom w:val="single" w:color="6D2E46" w:sz="10" w:space="1"/>
        </w:pBdr>
        <w:spacing w:after="160" w:before="60"/>
      </w:pPr>
    </w:p>
    <w:p>
      <w:pPr>
        <w:pStyle w:val="Heading2"/>
        <w:spacing w:after="80" w:before="280"/>
      </w:pPr>
      <w:r>
        <w:rPr>
          <w:rFonts w:ascii="Arial" w:cs="Arial" w:eastAsia="Arial" w:hAnsi="Arial"/>
          <w:b/>
          <w:bCs/>
          <w:color w:val="6D2E46"/>
          <w:sz w:val="26"/>
          <w:szCs w:val="26"/>
        </w:rPr>
        <w:t xml:space="preserve">Week 1 — Orient</w:t>
      </w:r>
    </w:p>
    <w:p>
      <w:pPr>
        <w:pStyle w:val="ListParagraph"/>
        <w:numPr>
          <w:ilvl w:val="0"/>
          <w:numId w:val="2"/>
        </w:numPr>
        <w:spacing w:after="40" w:before="40"/>
      </w:pPr>
      <w:r>
        <w:rPr>
          <w:rFonts w:ascii="Arial" w:cs="Arial" w:eastAsia="Arial" w:hAnsi="Arial"/>
          <w:color w:val="333333"/>
          <w:sz w:val="22"/>
          <w:szCs w:val="22"/>
        </w:rPr>
        <w:t xml:space="preserve">Complete GDPR / Data Privacy training in NexoraLearn (mandatory before any data access)</w:t>
      </w:r>
    </w:p>
    <w:p>
      <w:pPr>
        <w:pStyle w:val="ListParagraph"/>
        <w:numPr>
          <w:ilvl w:val="0"/>
          <w:numId w:val="2"/>
        </w:numPr>
        <w:spacing w:after="40" w:before="40"/>
      </w:pPr>
      <w:r>
        <w:rPr>
          <w:rFonts w:ascii="Arial" w:cs="Arial" w:eastAsia="Arial" w:hAnsi="Arial"/>
          <w:color w:val="333333"/>
          <w:sz w:val="22"/>
          <w:szCs w:val="22"/>
        </w:rPr>
        <w:t xml:space="preserve">Meet your Analytics Lead, team members, and onboarding buddy in 1:1s</w:t>
      </w:r>
    </w:p>
    <w:p>
      <w:pPr>
        <w:pStyle w:val="ListParagraph"/>
        <w:numPr>
          <w:ilvl w:val="0"/>
          <w:numId w:val="2"/>
        </w:numPr>
        <w:spacing w:after="40" w:before="40"/>
      </w:pPr>
      <w:r>
        <w:rPr>
          <w:rFonts w:ascii="Arial" w:cs="Arial" w:eastAsia="Arial" w:hAnsi="Arial"/>
          <w:color w:val="333333"/>
          <w:sz w:val="22"/>
          <w:szCs w:val="22"/>
        </w:rPr>
        <w:t xml:space="preserve">Submit all access requests in ServiceNow (including DG-required ones)</w:t>
      </w:r>
    </w:p>
    <w:p>
      <w:pPr>
        <w:pStyle w:val="ListParagraph"/>
        <w:numPr>
          <w:ilvl w:val="0"/>
          <w:numId w:val="2"/>
        </w:numPr>
        <w:spacing w:after="40" w:before="40"/>
      </w:pPr>
      <w:r>
        <w:rPr>
          <w:rFonts w:ascii="Arial" w:cs="Arial" w:eastAsia="Arial" w:hAnsi="Arial"/>
          <w:color w:val="333333"/>
          <w:sz w:val="22"/>
          <w:szCs w:val="22"/>
        </w:rPr>
        <w:t xml:space="preserve">Read the People Analytics Team Charter and Data Dictionary in Confluence</w:t>
      </w:r>
    </w:p>
    <w:p>
      <w:pPr>
        <w:pStyle w:val="Heading2"/>
        <w:spacing w:after="80" w:before="280"/>
      </w:pPr>
      <w:r>
        <w:rPr>
          <w:rFonts w:ascii="Arial" w:cs="Arial" w:eastAsia="Arial" w:hAnsi="Arial"/>
          <w:b/>
          <w:bCs/>
          <w:color w:val="6D2E46"/>
          <w:sz w:val="26"/>
          <w:szCs w:val="26"/>
        </w:rPr>
        <w:t xml:space="preserve">Week 2 — Immerse</w:t>
      </w:r>
    </w:p>
    <w:p>
      <w:pPr>
        <w:pStyle w:val="ListParagraph"/>
        <w:numPr>
          <w:ilvl w:val="0"/>
          <w:numId w:val="2"/>
        </w:numPr>
        <w:spacing w:after="40" w:before="40"/>
      </w:pPr>
      <w:r>
        <w:rPr>
          <w:rFonts w:ascii="Arial" w:cs="Arial" w:eastAsia="Arial" w:hAnsi="Arial"/>
          <w:color w:val="333333"/>
          <w:sz w:val="22"/>
          <w:szCs w:val="22"/>
        </w:rPr>
        <w:t xml:space="preserve">Attend your first sprint ceremonies as an observer</w:t>
      </w:r>
    </w:p>
    <w:p>
      <w:pPr>
        <w:pStyle w:val="ListParagraph"/>
        <w:numPr>
          <w:ilvl w:val="0"/>
          <w:numId w:val="2"/>
        </w:numPr>
        <w:spacing w:after="40" w:before="40"/>
      </w:pPr>
      <w:r>
        <w:rPr>
          <w:rFonts w:ascii="Arial" w:cs="Arial" w:eastAsia="Arial" w:hAnsi="Arial"/>
          <w:color w:val="333333"/>
          <w:sz w:val="22"/>
          <w:szCs w:val="22"/>
        </w:rPr>
        <w:t xml:space="preserve">Explore the Power BI dashboards currently in production</w:t>
      </w:r>
    </w:p>
    <w:p>
      <w:pPr>
        <w:pStyle w:val="ListParagraph"/>
        <w:numPr>
          <w:ilvl w:val="0"/>
          <w:numId w:val="2"/>
        </w:numPr>
        <w:spacing w:after="40" w:before="40"/>
      </w:pPr>
      <w:r>
        <w:rPr>
          <w:rFonts w:ascii="Arial" w:cs="Arial" w:eastAsia="Arial" w:hAnsi="Arial"/>
          <w:color w:val="333333"/>
          <w:sz w:val="22"/>
          <w:szCs w:val="22"/>
        </w:rPr>
        <w:t xml:space="preserve">Shadow a data refinement session to understand how requests are scoped</w:t>
      </w:r>
    </w:p>
    <w:p>
      <w:pPr>
        <w:pStyle w:val="Heading2"/>
        <w:spacing w:after="80" w:before="280"/>
      </w:pPr>
      <w:r>
        <w:rPr>
          <w:rFonts w:ascii="Arial" w:cs="Arial" w:eastAsia="Arial" w:hAnsi="Arial"/>
          <w:b/>
          <w:bCs/>
          <w:color w:val="6D2E46"/>
          <w:sz w:val="26"/>
          <w:szCs w:val="26"/>
        </w:rPr>
        <w:t xml:space="preserve">Weeks 3–4 — Contribute</w:t>
      </w:r>
    </w:p>
    <w:p>
      <w:pPr>
        <w:pStyle w:val="ListParagraph"/>
        <w:numPr>
          <w:ilvl w:val="0"/>
          <w:numId w:val="2"/>
        </w:numPr>
        <w:spacing w:after="40" w:before="40"/>
      </w:pPr>
      <w:r>
        <w:rPr>
          <w:rFonts w:ascii="Arial" w:cs="Arial" w:eastAsia="Arial" w:hAnsi="Arial"/>
          <w:color w:val="333333"/>
          <w:sz w:val="22"/>
          <w:szCs w:val="22"/>
        </w:rPr>
        <w:t xml:space="preserve">Take ownership of one analytics request from scoping to delivery (with buddy support)</w:t>
      </w:r>
    </w:p>
    <w:p>
      <w:pPr>
        <w:pStyle w:val="ListParagraph"/>
        <w:numPr>
          <w:ilvl w:val="0"/>
          <w:numId w:val="2"/>
        </w:numPr>
        <w:spacing w:after="40" w:before="40"/>
      </w:pPr>
      <w:r>
        <w:rPr>
          <w:rFonts w:ascii="Arial" w:cs="Arial" w:eastAsia="Arial" w:hAnsi="Arial"/>
          <w:color w:val="333333"/>
          <w:sz w:val="22"/>
          <w:szCs w:val="22"/>
        </w:rPr>
        <w:t xml:space="preserve">Attend your first HRBP Monthly Sync</w:t>
      </w:r>
    </w:p>
    <w:p>
      <w:pPr>
        <w:pStyle w:val="ListParagraph"/>
        <w:numPr>
          <w:ilvl w:val="0"/>
          <w:numId w:val="2"/>
        </w:numPr>
        <w:spacing w:after="40" w:before="40"/>
      </w:pPr>
      <w:r>
        <w:rPr>
          <w:rFonts w:ascii="Arial" w:cs="Arial" w:eastAsia="Arial" w:hAnsi="Arial"/>
          <w:color w:val="333333"/>
          <w:sz w:val="22"/>
          <w:szCs w:val="22"/>
        </w:rPr>
        <w:t xml:space="preserve">Complete your 30-day check-in with your manager in Workday</w:t>
      </w:r>
    </w:p>
    <w:p>
      <w:r>
        <w:br w:type="page"/>
      </w:r>
    </w:p>
    <w:p>
      <w:pPr>
        <w:pStyle w:val="Heading1"/>
        <w:spacing w:after="100" w:before="400"/>
      </w:pPr>
      <w:r>
        <w:rPr>
          <w:rFonts w:ascii="Arial" w:cs="Arial" w:eastAsia="Arial" w:hAnsi="Arial"/>
          <w:b/>
          <w:bCs/>
          <w:color w:val="1B2A4A"/>
          <w:sz w:val="34"/>
          <w:szCs w:val="34"/>
        </w:rPr>
        <w:t xml:space="preserve">12. Key Contacts</w:t>
      </w:r>
    </w:p>
    <w:p>
      <w:pPr>
        <w:pBdr>
          <w:bottom w:val="single" w:color="6D2E46"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Head of People Analytics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people.analytics@nexoraglobal.com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HR Business Partner (your HRBP)</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at onboarding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Data Governance Team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data.governance@nexoraglobal.com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IT Helpdesk</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People Operations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people.ops@nexoraglobal.com</w:t>
            </w:r>
          </w:p>
        </w:tc>
      </w:tr>
    </w:tbl>
    <w:p>
      <w:pPr>
        <w:spacing w:after="60" w:before="60"/>
      </w:pPr>
    </w:p>
    <w:p>
      <w:pPr>
        <w:spacing w:after="60" w:before="60"/>
      </w:pPr>
      <w:r>
        <w:rPr>
          <w:rFonts w:ascii="Arial" w:cs="Arial" w:eastAsia="Arial" w:hAnsi="Arial"/>
          <w:b/>
          <w:bCs/>
          <w:color w:val="222222"/>
          <w:sz w:val="22"/>
          <w:szCs w:val="22"/>
        </w:rPr>
        <w:t xml:space="preserve">Welcome to the team. Every dashboard you build, every model you train, and every insight you share helps Nexora make better decisions about its most important asset — its people.</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555555"/>
        <w:sz w:val="16"/>
        <w:szCs w:val="16"/>
      </w:rPr>
      <w:t xml:space="preserve">Confidential — Internal Use Only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E46" w:sz="8" w:space="1"/>
      </w:pBdr>
      <w:spacing w:after="100"/>
    </w:pPr>
    <w:r>
      <w:rPr>
        <w:rFonts w:ascii="Arial" w:cs="Arial" w:eastAsia="Arial" w:hAnsi="Arial"/>
        <w:b/>
        <w:bCs/>
        <w:color w:val="1B2A4A"/>
        <w:sz w:val="18"/>
        <w:szCs w:val="18"/>
      </w:rPr>
      <w:t xml:space="preserve">NEXORA — HR &amp; People Department  </w:t>
    </w:r>
    <w:r>
      <w:rPr>
        <w:rFonts w:ascii="Arial" w:cs="Arial" w:eastAsia="Arial" w:hAnsi="Arial"/>
        <w:color w:val="555555"/>
        <w:sz w:val="18"/>
        <w:szCs w:val="18"/>
      </w:rPr>
      <w:t xml:space="preserve">|   People Analytics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6D2E4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2026-03-26T22:53:07.015Z</dcterms:created>
  <dcterms:modified xsi:type="dcterms:W3CDTF">2026-03-26T22:53:07.015Z</dcterms:modified>
</cp:coreProperties>
</file>

<file path=docProps/custom.xml><?xml version="1.0" encoding="utf-8"?>
<Properties xmlns="http://schemas.openxmlformats.org/officeDocument/2006/custom-properties" xmlns:vt="http://schemas.openxmlformats.org/officeDocument/2006/docPropsVTypes"/>
</file>