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0"/>
      </w:pPr>
    </w:p>
    <w:p>
      <w:pPr>
        <w:jc w:val="center"/>
      </w:pPr>
      <w:r>
        <w:rPr>
          <w:rFonts w:ascii="Arial" w:cs="Arial" w:eastAsia="Arial" w:hAnsi="Arial"/>
          <w:b/>
          <w:bCs/>
          <w:color w:val="64748B"/>
          <w:sz w:val="26"/>
          <w:szCs w:val="26"/>
        </w:rPr>
        <w:t xml:space="preserve">NEXORA GLOBAL CORPORATION</w:t>
      </w:r>
    </w:p>
    <w:p>
      <w:pPr>
        <w:jc w:val="center"/>
      </w:pPr>
      <w:r>
        <w:rPr>
          <w:rFonts w:ascii="Arial" w:cs="Arial" w:eastAsia="Arial" w:hAnsi="Arial"/>
          <w:color w:val="64748B"/>
          <w:sz w:val="20"/>
          <w:szCs w:val="20"/>
        </w:rPr>
        <w:t xml:space="preserve">IT Department</w:t>
      </w:r>
    </w:p>
    <w:p>
      <w:pPr>
        <w:spacing w:after="60" w:before="180"/>
      </w:pPr>
    </w:p>
    <w:p>
      <w:pPr>
        <w:pBdr>
          <w:top w:val="single" w:color="534AB7" w:sz="16"/>
          <w:bottom w:val="single" w:color="534AB7" w:sz="16"/>
        </w:pBdr>
        <w:spacing w:after="80" w:before="160"/>
        <w:jc w:val="center"/>
      </w:pPr>
      <w:r>
        <w:rPr>
          <w:rFonts w:ascii="Arial" w:cs="Arial" w:eastAsia="Arial" w:hAnsi="Arial"/>
          <w:b/>
          <w:bCs/>
          <w:color w:val="1B2A4A"/>
          <w:sz w:val="48"/>
          <w:szCs w:val="48"/>
        </w:rPr>
        <w:t xml:space="preserve">  IT Department Career Framework  </w:t>
      </w:r>
    </w:p>
    <w:p>
      <w:pPr>
        <w:jc w:val="center"/>
      </w:pPr>
      <w:r>
        <w:rPr>
          <w:rFonts w:ascii="Arial" w:cs="Arial" w:eastAsia="Arial" w:hAnsi="Arial"/>
          <w:b/>
          <w:bCs/>
          <w:color w:val="534AB7"/>
          <w:sz w:val="28"/>
          <w:szCs w:val="28"/>
        </w:rPr>
        <w:t xml:space="preserve">Levels, Expectations, and Progression Paths</w:t>
      </w:r>
    </w:p>
    <w:p>
      <w:pPr>
        <w:spacing w:after="60" w:before="22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1B2A4A"/>
          <w:sz w:val="34"/>
          <w:szCs w:val="34"/>
        </w:rPr>
        <w:t xml:space="preserve">About This Framework</w:t>
      </w:r>
    </w:p>
    <w:p>
      <w:pPr>
        <w:pBdr>
          <w:bottom w:val="single" w:color="0D7377" w:sz="10" w:space="1"/>
        </w:pBdr>
        <w:spacing w:after="160" w:before="60"/>
      </w:pPr>
    </w:p>
    <w:p>
      <w:pPr>
        <w:spacing w:after="60" w:before="60"/>
      </w:pPr>
      <w:r>
        <w:rPr>
          <w:rFonts w:ascii="Arial" w:cs="Arial" w:eastAsia="Arial" w:hAnsi="Arial"/>
          <w:color w:val="222222"/>
          <w:sz w:val="22"/>
          <w:szCs w:val="22"/>
        </w:rPr>
        <w:t xml:space="preserve">Nexora's career framework defines what is expected at each level, how to demonstrate readiness for progression, and the pathways available in the IT Department. Bands 1–8 are used across the company; IT has specific role families within those bands.</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1D9E75" w:sz="24"/>
              <w:bottom w:val="none" w:color="FFFFFF" w:sz="0"/>
              <w:right w:val="none" w:color="FFFFFF" w:sz="0"/>
            </w:tcBorders>
            <w:shd w:fill="E0F4F5"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0F4F5" w:val="clear"/>
            <w:tcMar>
              <w:top w:type="dxa" w:w="120"/>
              <w:left w:type="dxa" w:w="120"/>
              <w:bottom w:type="dxa" w:w="120"/>
              <w:right w:type="dxa" w:w="200"/>
            </w:tcMar>
          </w:tcPr>
          <w:p>
            <w:r>
              <w:rPr>
                <w:rFonts w:ascii="Arial" w:cs="Arial" w:eastAsia="Arial" w:hAnsi="Arial"/>
                <w:b/>
                <w:bCs/>
                <w:color w:val="0D7377"/>
                <w:sz w:val="20"/>
                <w:szCs w:val="20"/>
              </w:rPr>
              <w:t xml:space="preserve">PROGRESSION PHILOSOPHY</w:t>
            </w:r>
          </w:p>
          <w:p>
            <w:pPr>
              <w:spacing w:before="40"/>
            </w:pPr>
            <w:r>
              <w:rPr>
                <w:rFonts w:ascii="Arial" w:cs="Arial" w:eastAsia="Arial" w:hAnsi="Arial"/>
                <w:color w:val="444444"/>
                <w:sz w:val="20"/>
                <w:szCs w:val="20"/>
              </w:rPr>
              <w:t xml:space="preserve">At Nexora, promotion is not automatic with tenure. It is based on demonstrated performance at the next level sustained over at least two consecutive quarters. Your manager and HRBP will tell you when you are performing at the next level — that is when to start the promotion conversation.</w:t>
            </w:r>
          </w:p>
        </w:tc>
      </w:tr>
    </w:tbl>
    <w:p>
      <w:r>
        <w:br w:type="page"/>
      </w:r>
    </w:p>
    <w:p>
      <w:pPr>
        <w:pStyle w:val="Heading1"/>
        <w:spacing w:after="100" w:before="400"/>
      </w:pPr>
      <w:r>
        <w:rPr>
          <w:rFonts w:ascii="Arial" w:cs="Arial" w:eastAsia="Arial" w:hAnsi="Arial"/>
          <w:b/>
          <w:bCs/>
          <w:color w:val="1B2A4A"/>
          <w:sz w:val="34"/>
          <w:szCs w:val="34"/>
        </w:rPr>
        <w:t xml:space="preserve">IT Role Families &amp; Band Mapping</w:t>
      </w:r>
    </w:p>
    <w:p>
      <w:pPr>
        <w:pBdr>
          <w:bottom w:val="single" w:color="0D7377" w:sz="10" w:space="1"/>
        </w:pBdr>
        <w:spacing w:after="160" w:before="60"/>
      </w:pPr>
    </w:p>
    <w:tbl>
      <w:tblPr>
        <w:tblW w:type="dxa" w:w="117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200"/>
        <w:gridCol w:w="2200"/>
        <w:gridCol w:w="2200"/>
        <w:gridCol w:w="2960"/>
      </w:tblGrid>
      <w:tr>
        <w:tc>
          <w:tcPr>
            <w:tcW w:type="dxa" w:w="8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Band</w:t>
            </w:r>
          </w:p>
        </w:tc>
        <w:tc>
          <w:tcPr>
            <w:tcW w:type="dxa" w:w="14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Seniority Label</w:t>
            </w:r>
          </w:p>
        </w:tc>
        <w:tc>
          <w:tcPr>
            <w:tcW w:type="dxa" w:w="22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Engineering Track</w:t>
            </w:r>
          </w:p>
        </w:tc>
        <w:tc>
          <w:tcPr>
            <w:tcW w:type="dxa" w:w="22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Product Track</w:t>
            </w:r>
          </w:p>
        </w:tc>
        <w:tc>
          <w:tcPr>
            <w:tcW w:type="dxa" w:w="22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Management Track</w:t>
            </w:r>
          </w:p>
        </w:tc>
      </w:tr>
      <w:tr>
        <w:tc>
          <w:tcPr>
            <w:tcW w:type="dxa" w:w="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Band 1</w:t>
            </w:r>
          </w:p>
        </w:tc>
        <w:tc>
          <w:tcPr>
            <w:tcW w:type="dxa" w:w="1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Associate</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Associate Engineer</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Band 2</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Mid-Level</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Engineer</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r>
        <w:tc>
          <w:tcPr>
            <w:tcW w:type="dxa" w:w="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Band 3</w:t>
            </w:r>
          </w:p>
        </w:tc>
        <w:tc>
          <w:tcPr>
            <w:tcW w:type="dxa" w:w="1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Senior</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Senior Engineer</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Band 4</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Lead / Staff</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Staff Engineer / Tech Lead</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Product Owner</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Engineering Manager</w:t>
            </w:r>
          </w:p>
        </w:tc>
      </w:tr>
      <w:tr>
        <w:tc>
          <w:tcPr>
            <w:tcW w:type="dxa" w:w="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Band 5</w:t>
            </w:r>
          </w:p>
        </w:tc>
        <w:tc>
          <w:tcPr>
            <w:tcW w:type="dxa" w:w="1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Principal</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Principal Engineer</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Senior TPO / Architect</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Senior Manager</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Band 6</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Director</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Distinguished Engineer</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Lead Architect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Director of Engineering</w:t>
            </w:r>
          </w:p>
        </w:tc>
      </w:tr>
      <w:tr>
        <w:tc>
          <w:tcPr>
            <w:tcW w:type="dxa" w:w="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Band 7</w:t>
            </w:r>
          </w:p>
        </w:tc>
        <w:tc>
          <w:tcPr>
            <w:tcW w:type="dxa" w:w="1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VP</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Fellow</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VP Product</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VP Engineering</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Band 8</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C-Suite</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CTO equivalent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CPO equivalent</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CTO / CIO</w:t>
            </w:r>
          </w:p>
        </w:tc>
      </w:tr>
    </w:tbl>
    <w:p>
      <w:r>
        <w:br w:type="page"/>
      </w:r>
    </w:p>
    <w:p>
      <w:pPr>
        <w:pStyle w:val="Heading1"/>
        <w:spacing w:after="100" w:before="400"/>
      </w:pPr>
      <w:r>
        <w:rPr>
          <w:rFonts w:ascii="Arial" w:cs="Arial" w:eastAsia="Arial" w:hAnsi="Arial"/>
          <w:b/>
          <w:bCs/>
          <w:color w:val="1B2A4A"/>
          <w:sz w:val="34"/>
          <w:szCs w:val="34"/>
        </w:rPr>
        <w:t xml:space="preserve">Band 3 → Band 4 Progression — Engineer to Senior / Tech Lead</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What Band 3 looks like</w:t>
      </w:r>
    </w:p>
    <w:p>
      <w:pPr>
        <w:pStyle w:val="ListParagraph"/>
        <w:numPr>
          <w:ilvl w:val="0"/>
          <w:numId w:val="2"/>
        </w:numPr>
        <w:spacing w:after="40" w:before="40"/>
      </w:pPr>
      <w:r>
        <w:rPr>
          <w:rFonts w:ascii="Arial" w:cs="Arial" w:eastAsia="Arial" w:hAnsi="Arial"/>
          <w:color w:val="333333"/>
          <w:sz w:val="22"/>
          <w:szCs w:val="22"/>
        </w:rPr>
        <w:t xml:space="preserve">Independently delivers complex features or infrastructure changes with minimal guidance</w:t>
      </w:r>
    </w:p>
    <w:p>
      <w:pPr>
        <w:pStyle w:val="ListParagraph"/>
        <w:numPr>
          <w:ilvl w:val="0"/>
          <w:numId w:val="2"/>
        </w:numPr>
        <w:spacing w:after="40" w:before="40"/>
      </w:pPr>
      <w:r>
        <w:rPr>
          <w:rFonts w:ascii="Arial" w:cs="Arial" w:eastAsia="Arial" w:hAnsi="Arial"/>
          <w:color w:val="333333"/>
          <w:sz w:val="22"/>
          <w:szCs w:val="22"/>
        </w:rPr>
        <w:t xml:space="preserve">Reviews PRs and provides constructive, actionable feedback</w:t>
      </w:r>
    </w:p>
    <w:p>
      <w:pPr>
        <w:pStyle w:val="ListParagraph"/>
        <w:numPr>
          <w:ilvl w:val="0"/>
          <w:numId w:val="2"/>
        </w:numPr>
        <w:spacing w:after="40" w:before="40"/>
      </w:pPr>
      <w:r>
        <w:rPr>
          <w:rFonts w:ascii="Arial" w:cs="Arial" w:eastAsia="Arial" w:hAnsi="Arial"/>
          <w:color w:val="333333"/>
          <w:sz w:val="22"/>
          <w:szCs w:val="22"/>
        </w:rPr>
        <w:t xml:space="preserve">Identifies technical risks and communicates them proactively</w:t>
      </w:r>
    </w:p>
    <w:p>
      <w:pPr>
        <w:pStyle w:val="ListParagraph"/>
        <w:numPr>
          <w:ilvl w:val="0"/>
          <w:numId w:val="2"/>
        </w:numPr>
        <w:spacing w:after="40" w:before="40"/>
      </w:pPr>
      <w:r>
        <w:rPr>
          <w:rFonts w:ascii="Arial" w:cs="Arial" w:eastAsia="Arial" w:hAnsi="Arial"/>
          <w:color w:val="333333"/>
          <w:sz w:val="22"/>
          <w:szCs w:val="22"/>
        </w:rPr>
        <w:t xml:space="preserve">Mentors Band 1–2 engineers informally</w:t>
      </w:r>
    </w:p>
    <w:p>
      <w:pPr>
        <w:spacing w:after="60" w:before="60"/>
      </w:pPr>
    </w:p>
    <w:p>
      <w:pPr>
        <w:pStyle w:val="Heading2"/>
        <w:spacing w:after="80" w:before="280"/>
      </w:pPr>
      <w:r>
        <w:rPr>
          <w:rFonts w:ascii="Arial" w:cs="Arial" w:eastAsia="Arial" w:hAnsi="Arial"/>
          <w:b/>
          <w:bCs/>
          <w:color w:val="0D7377"/>
          <w:sz w:val="26"/>
          <w:szCs w:val="26"/>
        </w:rPr>
        <w:t xml:space="preserve">What you must demonstrate to reach Band 4</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560"/>
      </w:tblGrid>
      <w:tr>
        <w:tc>
          <w:tcPr>
            <w:tcW w:type="dxa" w:w="24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Dimension</w:t>
            </w:r>
          </w:p>
        </w:tc>
        <w:tc>
          <w:tcPr>
            <w:tcW w:type="dxa" w:w="28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Band 3 (current)</w:t>
            </w:r>
          </w:p>
        </w:tc>
        <w:tc>
          <w:tcPr>
            <w:tcW w:type="dxa" w:w="356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Band 4 (target)</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Technical scope</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Completes assigned complex work</w:t>
            </w:r>
          </w:p>
        </w:tc>
        <w:tc>
          <w:tcPr>
            <w:tcW w:type="dxa" w:w="3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Designs multi-component solutions; others implement from your design</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Impact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Team-level impact</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Squad or cross-team impact</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Collaboration</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Works well in their squad</w:t>
            </w:r>
          </w:p>
        </w:tc>
        <w:tc>
          <w:tcPr>
            <w:tcW w:type="dxa" w:w="3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Influences technical direction across squads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Leadership</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Informal mentor</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Formally leads a technical workstream or is primary reviewer for the team</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Delivery</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Reliable individual delivery</w:t>
            </w:r>
          </w:p>
        </w:tc>
        <w:tc>
          <w:tcPr>
            <w:tcW w:type="dxa" w:w="3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Drives delivery outcomes for a team or project, not just your own tickets</w:t>
            </w:r>
          </w:p>
        </w:tc>
      </w:tr>
    </w:tbl>
    <w:p>
      <w:r>
        <w:br w:type="page"/>
      </w:r>
    </w:p>
    <w:p>
      <w:pPr>
        <w:pStyle w:val="Heading1"/>
        <w:spacing w:after="100" w:before="400"/>
      </w:pPr>
      <w:r>
        <w:rPr>
          <w:rFonts w:ascii="Arial" w:cs="Arial" w:eastAsia="Arial" w:hAnsi="Arial"/>
          <w:b/>
          <w:bCs/>
          <w:color w:val="1B2A4A"/>
          <w:sz w:val="34"/>
          <w:szCs w:val="34"/>
        </w:rPr>
        <w:t xml:space="preserve">Band 4 → Band 5 — Senior to Principal / Staff</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What makes this transition hard</w:t>
      </w:r>
    </w:p>
    <w:p>
      <w:pPr>
        <w:spacing w:after="60" w:before="60"/>
      </w:pPr>
      <w:r>
        <w:rPr>
          <w:rFonts w:ascii="Arial" w:cs="Arial" w:eastAsia="Arial" w:hAnsi="Arial"/>
          <w:color w:val="222222"/>
          <w:sz w:val="22"/>
          <w:szCs w:val="22"/>
        </w:rPr>
        <w:t xml:space="preserve">The Band 4 to 5 transition is where most engineers plateau. The shift is from being an excellent individual contributor with team leadership to being a multiplier — someone whose work makes many other engineers more effective.</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760"/>
      </w:tblGrid>
      <w:tr>
        <w:tc>
          <w:tcPr>
            <w:tcW w:type="dxa" w:w="24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Dimension</w:t>
            </w:r>
          </w:p>
        </w:tc>
        <w:tc>
          <w:tcPr>
            <w:tcW w:type="dxa" w:w="26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Band 4</w:t>
            </w:r>
          </w:p>
        </w:tc>
        <w:tc>
          <w:tcPr>
            <w:tcW w:type="dxa" w:w="376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Band 5 (target)</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Technical scope</w:t>
            </w:r>
          </w:p>
        </w:tc>
        <w:tc>
          <w:tcPr>
            <w:tcW w:type="dxa" w:w="2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Designs for a team</w:t>
            </w:r>
          </w:p>
        </w:tc>
        <w:tc>
          <w:tcPr>
            <w:tcW w:type="dxa" w:w="3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Defines technical strategy for a domain or system</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Impact</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Squad or cross-team</w:t>
            </w:r>
          </w:p>
        </w:tc>
        <w:tc>
          <w:tcPr>
            <w:tcW w:type="dxa" w:w="3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Department-level; your decisions affect 20+ engineers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Influence</w:t>
            </w:r>
          </w:p>
        </w:tc>
        <w:tc>
          <w:tcPr>
            <w:tcW w:type="dxa" w:w="2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Respected within team</w:t>
            </w:r>
          </w:p>
        </w:tc>
        <w:tc>
          <w:tcPr>
            <w:tcW w:type="dxa" w:w="3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Sought out cross-departmentally for technical input</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Ambiguity</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Handles defined problems well</w:t>
            </w:r>
          </w:p>
        </w:tc>
        <w:tc>
          <w:tcPr>
            <w:tcW w:type="dxa" w:w="3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Defines the problem; shapes the solution space before others engage</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Teaching</w:t>
            </w:r>
          </w:p>
        </w:tc>
        <w:tc>
          <w:tcPr>
            <w:tcW w:type="dxa" w:w="2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Mentors individuals</w:t>
            </w:r>
          </w:p>
        </w:tc>
        <w:tc>
          <w:tcPr>
            <w:tcW w:type="dxa" w:w="3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Creates systems that make many engineers better (runbooks, frameworks, standards)</w:t>
            </w:r>
          </w:p>
        </w:tc>
      </w:tr>
    </w:tbl>
    <w:p>
      <w:r>
        <w:br w:type="page"/>
      </w:r>
    </w:p>
    <w:p>
      <w:pPr>
        <w:pStyle w:val="Heading1"/>
        <w:spacing w:after="100" w:before="400"/>
      </w:pPr>
      <w:r>
        <w:rPr>
          <w:rFonts w:ascii="Arial" w:cs="Arial" w:eastAsia="Arial" w:hAnsi="Arial"/>
          <w:b/>
          <w:bCs/>
          <w:color w:val="1B2A4A"/>
          <w:sz w:val="34"/>
          <w:szCs w:val="34"/>
        </w:rPr>
        <w:t xml:space="preserve">TPO Career Progression</w:t>
      </w:r>
    </w:p>
    <w:p>
      <w:pPr>
        <w:pBdr>
          <w:bottom w:val="single" w:color="0D7377"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5560"/>
      </w:tblGrid>
      <w:tr>
        <w:tc>
          <w:tcPr>
            <w:tcW w:type="dxa" w:w="8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Band</w:t>
            </w:r>
          </w:p>
        </w:tc>
        <w:tc>
          <w:tcPr>
            <w:tcW w:type="dxa" w:w="24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Title</w:t>
            </w:r>
          </w:p>
        </w:tc>
        <w:tc>
          <w:tcPr>
            <w:tcW w:type="dxa" w:w="556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Key Differentiator</w:t>
            </w:r>
          </w:p>
        </w:tc>
      </w:tr>
      <w:tr>
        <w:tc>
          <w:tcPr>
            <w:tcW w:type="dxa" w:w="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Band 4</w:t>
            </w:r>
          </w:p>
        </w:tc>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Product Owner</w:t>
            </w:r>
          </w:p>
        </w:tc>
        <w:tc>
          <w:tcPr>
            <w:tcW w:type="dxa" w:w="5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Owns one squad backlog; facilitates sprint ceremonies; writes stories independently</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Band 5</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Senior Technical Product Owner</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Owns multiple squad backlogs or a complex product area; mentors other TPOs</w:t>
            </w:r>
          </w:p>
        </w:tc>
      </w:tr>
      <w:tr>
        <w:tc>
          <w:tcPr>
            <w:tcW w:type="dxa" w:w="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Band 5</w:t>
            </w:r>
          </w:p>
        </w:tc>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Lead Architect (TCP)</w:t>
            </w:r>
          </w:p>
        </w:tc>
        <w:tc>
          <w:tcPr>
            <w:tcW w:type="dxa" w:w="5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Technical authority for the team; approves architecture decisions; cross-squad technical design</w:t>
            </w:r>
          </w:p>
        </w:tc>
      </w:tr>
      <w:tr>
        <w:tc>
          <w:tcPr>
            <w:tcW w:type="dxa" w:w="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Band 6</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Head of Product (Analytics Platform)</w:t>
            </w:r>
          </w:p>
        </w:tc>
        <w:tc>
          <w:tcPr>
            <w:tcW w:type="dxa" w:w="5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Owns the product vision and roadmap for the whole platform; manages TPOs</w:t>
            </w:r>
          </w:p>
        </w:tc>
      </w:tr>
      <w:tr>
        <w:tc>
          <w:tcPr>
            <w:tcW w:type="dxa" w:w="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Band 7</w:t>
            </w:r>
          </w:p>
        </w:tc>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VP Product, IT</w:t>
            </w:r>
          </w:p>
        </w:tc>
        <w:tc>
          <w:tcPr>
            <w:tcW w:type="dxa" w:w="5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Sets product strategy across all IT-owned products; reports to CTO/CIO</w:t>
            </w:r>
          </w:p>
        </w:tc>
      </w:tr>
    </w:tbl>
    <w:p>
      <w:pPr>
        <w:spacing w:after="60" w:before="80"/>
      </w:pPr>
    </w:p>
    <w:p>
      <w:pPr>
        <w:pStyle w:val="Heading2"/>
        <w:spacing w:after="80" w:before="280"/>
      </w:pPr>
      <w:r>
        <w:rPr>
          <w:rFonts w:ascii="Arial" w:cs="Arial" w:eastAsia="Arial" w:hAnsi="Arial"/>
          <w:b/>
          <w:bCs/>
          <w:color w:val="0D7377"/>
          <w:sz w:val="26"/>
          <w:szCs w:val="26"/>
        </w:rPr>
        <w:t xml:space="preserve">The TPO → Manager path</w:t>
      </w:r>
    </w:p>
    <w:p>
      <w:pPr>
        <w:spacing w:after="60" w:before="60"/>
      </w:pPr>
      <w:r>
        <w:rPr>
          <w:rFonts w:ascii="Arial" w:cs="Arial" w:eastAsia="Arial" w:hAnsi="Arial"/>
          <w:color w:val="222222"/>
          <w:sz w:val="22"/>
          <w:szCs w:val="22"/>
        </w:rPr>
        <w:t xml:space="preserve">TPOs who want to move into people management can transition to Engineering Manager (Band 4) with 2+ years as a TPO and demonstrated coaching and team leadership. This requires a conversation with your HRBP about the 'IC to Manager' transition programme.</w:t>
      </w:r>
    </w:p>
    <w:p>
      <w:r>
        <w:br w:type="page"/>
      </w:r>
    </w:p>
    <w:p>
      <w:pPr>
        <w:pStyle w:val="Heading1"/>
        <w:spacing w:after="100" w:before="400"/>
      </w:pPr>
      <w:r>
        <w:rPr>
          <w:rFonts w:ascii="Arial" w:cs="Arial" w:eastAsia="Arial" w:hAnsi="Arial"/>
          <w:b/>
          <w:bCs/>
          <w:color w:val="1B2A4A"/>
          <w:sz w:val="34"/>
          <w:szCs w:val="34"/>
        </w:rPr>
        <w:t xml:space="preserve">How to Have a Progression Conversation</w:t>
      </w:r>
    </w:p>
    <w:p>
      <w:pPr>
        <w:pBdr>
          <w:bottom w:val="single" w:color="0D7377" w:sz="10" w:space="1"/>
        </w:pBdr>
        <w:spacing w:after="160" w:before="60"/>
      </w:pPr>
    </w:p>
    <w:p>
      <w:pPr>
        <w:pStyle w:val="ListParagraph"/>
        <w:numPr>
          <w:ilvl w:val="0"/>
          <w:numId w:val="3"/>
        </w:numPr>
        <w:spacing w:after="40" w:before="40"/>
      </w:pPr>
      <w:r>
        <w:rPr>
          <w:rFonts w:ascii="Arial" w:cs="Arial" w:eastAsia="Arial" w:hAnsi="Arial"/>
          <w:color w:val="333333"/>
          <w:sz w:val="22"/>
          <w:szCs w:val="22"/>
        </w:rPr>
        <w:t xml:space="preserve">Review this career framework and identify the specific behaviours at the next band</w:t>
      </w:r>
    </w:p>
    <w:p>
      <w:pPr>
        <w:pStyle w:val="ListParagraph"/>
        <w:numPr>
          <w:ilvl w:val="0"/>
          <w:numId w:val="3"/>
        </w:numPr>
        <w:spacing w:after="40" w:before="40"/>
      </w:pPr>
      <w:r>
        <w:rPr>
          <w:rFonts w:ascii="Arial" w:cs="Arial" w:eastAsia="Arial" w:hAnsi="Arial"/>
          <w:color w:val="333333"/>
          <w:sz w:val="22"/>
          <w:szCs w:val="22"/>
        </w:rPr>
        <w:t xml:space="preserve">Track evidence of those behaviours in your Workday Goals module over 2+ quarters</w:t>
      </w:r>
    </w:p>
    <w:p>
      <w:pPr>
        <w:pStyle w:val="ListParagraph"/>
        <w:numPr>
          <w:ilvl w:val="0"/>
          <w:numId w:val="3"/>
        </w:numPr>
        <w:spacing w:after="40" w:before="40"/>
      </w:pPr>
      <w:r>
        <w:rPr>
          <w:rFonts w:ascii="Arial" w:cs="Arial" w:eastAsia="Arial" w:hAnsi="Arial"/>
          <w:color w:val="333333"/>
          <w:sz w:val="22"/>
          <w:szCs w:val="22"/>
        </w:rPr>
        <w:t xml:space="preserve">Bring the evidence to your manager in a dedicated 1:1 (not a regular check-in)</w:t>
      </w:r>
    </w:p>
    <w:p>
      <w:pPr>
        <w:pStyle w:val="ListParagraph"/>
        <w:numPr>
          <w:ilvl w:val="0"/>
          <w:numId w:val="3"/>
        </w:numPr>
        <w:spacing w:after="40" w:before="40"/>
      </w:pPr>
      <w:r>
        <w:rPr>
          <w:rFonts w:ascii="Arial" w:cs="Arial" w:eastAsia="Arial" w:hAnsi="Arial"/>
          <w:color w:val="333333"/>
          <w:sz w:val="22"/>
          <w:szCs w:val="22"/>
        </w:rPr>
        <w:t xml:space="preserve">Ask: 'Based on what you've observed, am I performing at Band [X+1]? What gaps do you see?'</w:t>
      </w:r>
    </w:p>
    <w:p>
      <w:pPr>
        <w:pStyle w:val="ListParagraph"/>
        <w:numPr>
          <w:ilvl w:val="0"/>
          <w:numId w:val="3"/>
        </w:numPr>
        <w:spacing w:after="40" w:before="40"/>
      </w:pPr>
      <w:r>
        <w:rPr>
          <w:rFonts w:ascii="Arial" w:cs="Arial" w:eastAsia="Arial" w:hAnsi="Arial"/>
          <w:color w:val="333333"/>
          <w:sz w:val="22"/>
          <w:szCs w:val="22"/>
        </w:rPr>
        <w:t xml:space="preserve">Your manager calibrates with the HRBP before confirming a promotion recommendation</w:t>
      </w:r>
    </w:p>
    <w:p>
      <w:pPr>
        <w:pStyle w:val="ListParagraph"/>
        <w:numPr>
          <w:ilvl w:val="0"/>
          <w:numId w:val="3"/>
        </w:numPr>
        <w:spacing w:after="40" w:before="40"/>
      </w:pPr>
      <w:r>
        <w:rPr>
          <w:rFonts w:ascii="Arial" w:cs="Arial" w:eastAsia="Arial" w:hAnsi="Arial"/>
          <w:color w:val="333333"/>
          <w:sz w:val="22"/>
          <w:szCs w:val="22"/>
        </w:rPr>
        <w:t xml:space="preserve">Promotion is approved at the next People Leadership Committee meeting (quarterly)</w:t>
      </w:r>
    </w:p>
    <w:p>
      <w:pPr>
        <w:pStyle w:val="ListParagraph"/>
        <w:numPr>
          <w:ilvl w:val="0"/>
          <w:numId w:val="3"/>
        </w:numPr>
        <w:spacing w:after="40" w:before="40"/>
      </w:pPr>
      <w:r>
        <w:rPr>
          <w:rFonts w:ascii="Arial" w:cs="Arial" w:eastAsia="Arial" w:hAnsi="Arial"/>
          <w:color w:val="333333"/>
          <w:sz w:val="22"/>
          <w:szCs w:val="22"/>
        </w:rPr>
        <w:t xml:space="preserve">Compensation change is effective the following payroll cycle</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1D9E75" w:sz="24"/>
              <w:bottom w:val="none" w:color="FFFFFF" w:sz="0"/>
              <w:right w:val="none" w:color="FFFFFF" w:sz="0"/>
            </w:tcBorders>
            <w:shd w:fill="E0F4F5"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0F4F5" w:val="clear"/>
            <w:tcMar>
              <w:top w:type="dxa" w:w="120"/>
              <w:left w:type="dxa" w:w="120"/>
              <w:bottom w:type="dxa" w:w="120"/>
              <w:right w:type="dxa" w:w="200"/>
            </w:tcMar>
          </w:tcPr>
          <w:p>
            <w:r>
              <w:rPr>
                <w:rFonts w:ascii="Arial" w:cs="Arial" w:eastAsia="Arial" w:hAnsi="Arial"/>
                <w:b/>
                <w:bCs/>
                <w:color w:val="0D7377"/>
                <w:sz w:val="20"/>
                <w:szCs w:val="20"/>
              </w:rPr>
              <w:t xml:space="preserve">SKIP-LEVEL CONVERSATIONS</w:t>
            </w:r>
          </w:p>
          <w:p>
            <w:pPr>
              <w:spacing w:before="40"/>
            </w:pPr>
            <w:r>
              <w:rPr>
                <w:rFonts w:ascii="Arial" w:cs="Arial" w:eastAsia="Arial" w:hAnsi="Arial"/>
                <w:color w:val="444444"/>
                <w:sz w:val="20"/>
                <w:szCs w:val="20"/>
              </w:rPr>
              <w:t xml:space="preserve">You can also request a conversation with your skip-level manager (your manager's manager) to get a broader perspective on your progression. This is encouraged and not considered going over your manager's head — it is a normal part of career development at Nexora.</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64748B"/>
        <w:sz w:val="16"/>
        <w:szCs w:val="16"/>
      </w:rPr>
      <w:t xml:space="preserve">Nexora Global Corporation  ·  Confidential — Internal Use Only   	</w:t>
    </w:r>
    <w:fldSimple w:instr="PAGE">
      <w:r>
        <w:rPr>
          <w:rFonts w:ascii="Arial" w:cs="Arial" w:eastAsia="Arial" w:hAnsi="Arial"/>
          <w:color w:val="64748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8" w:space="1"/>
      </w:pBdr>
      <w:spacing w:after="100"/>
    </w:pPr>
    <w:r>
      <w:rPr>
        <w:rFonts w:ascii="Arial" w:cs="Arial" w:eastAsia="Arial" w:hAnsi="Arial"/>
        <w:b/>
        <w:bCs/>
        <w:color w:val="1B2A4A"/>
        <w:sz w:val="18"/>
        <w:szCs w:val="18"/>
      </w:rPr>
      <w:t xml:space="preserve">NEXORA  |  IT Career Framework  </w:t>
    </w:r>
    <w:r>
      <w:rPr>
        <w:rFonts w:ascii="Arial" w:cs="Arial" w:eastAsia="Arial" w:hAnsi="Arial"/>
        <w:color w:val="64748B"/>
        <w:sz w:val="18"/>
        <w:szCs w:val="18"/>
      </w:rPr>
      <w:t xml:space="preserve">Levels, Expectations, Progression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2A4A"/>
      <w:sz w:val="34"/>
      <w:szCs w:val="34"/>
    </w:rPr>
  </w:style>
  <w:style w:type="paragraph" w:styleId="Heading2">
    <w:name w:val="Heading 2"/>
    <w:basedOn w:val="Normal"/>
    <w:next w:val="Normal"/>
    <w:qFormat/>
    <w:pPr>
      <w:spacing w:after="80" w:before="280"/>
      <w:outlineLvl w:val="1"/>
    </w:pPr>
    <w:rPr>
      <w:rFonts w:ascii="Arial" w:cs="Arial" w:eastAsia="Arial" w:hAnsi="Arial"/>
      <w:b/>
      <w:bCs/>
      <w:color w:val="534AB7"/>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2026-03-26T23:24:51.430Z</dcterms:created>
  <dcterms:modified xsi:type="dcterms:W3CDTF">2026-03-26T23:24:51.430Z</dcterms:modified>
</cp:coreProperties>
</file>

<file path=docProps/custom.xml><?xml version="1.0" encoding="utf-8"?>
<Properties xmlns="http://schemas.openxmlformats.org/officeDocument/2006/custom-properties" xmlns:vt="http://schemas.openxmlformats.org/officeDocument/2006/docPropsVTypes"/>
</file>