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10.png" ContentType="image/png"/>
  <Override PartName="/word/media/rId67.png" ContentType="image/png"/>
  <Override PartName="/word/media/rId78.png" ContentType="image/png"/>
  <Override PartName="/word/media/rId44.png" ContentType="image/png"/>
  <Override PartName="/word/media/rId49.png" ContentType="image/png"/>
  <Override PartName="/word/media/rId57.png" ContentType="image/png"/>
  <Override PartName="/word/media/rId62.png" ContentType="image/png"/>
  <Override PartName="/word/media/rId17.png" ContentType="image/png"/>
  <Override PartName="/word/media/rId21.png" ContentType="image/png"/>
  <Override PartName="/word/media/rId2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Economía de La Rioja</w:t>
      </w:r>
    </w:p>
    <w:p>
      <w:pPr>
        <w:pStyle w:val="Subtitle"/>
      </w:pPr>
      <w:r>
        <w:t xml:space="preserve">Informe económico y de Economía del Conocimiento</w:t>
      </w:r>
    </w:p>
    <w:p>
      <w:pPr>
        <w:pStyle w:val="Author"/>
      </w:pPr>
      <w:r>
        <w:t xml:space="preserve">Elaboración propia</w:t>
      </w:r>
    </w:p>
    <w:p>
      <w:pPr>
        <w:pStyle w:val="Date"/>
      </w:pPr>
      <w:r>
        <w:t xml:space="preserve">septiembre 2026</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"1-2" \h \z \u</w:instrText>
            <w:fldChar w:fldCharType="separate"/>
            <w:fldChar w:fldCharType="end"/>
          </w:r>
        </w:p>
      </w:sdtContent>
    </w:sdt>
    <w:bookmarkStart w:id="9" w:name="sec-resumen"/>
    <w:p>
      <w:pPr>
        <w:pStyle w:val="Heading1"/>
      </w:pPr>
      <w:r>
        <w:t xml:space="preserve">1. Resumen ejecutivo</w:t>
      </w:r>
    </w:p>
    <w:p>
      <w:pPr>
        <w:pStyle w:val="FirstParagraph"/>
      </w:pPr>
      <w:r>
        <w:t xml:space="preserve">La economía de La Rioja atraviesa una fase de retracción estructural que se manifiesta en tres planos simultáneos: caída del producto provincial, pérdida de empleo registrado y deterioro del salario real frente a la Nación. A esto se suma, en 2026, un cuadro fiscal crítico: la provincia registra</w:t>
      </w:r>
      <w:r>
        <w:t xml:space="preserve"> </w:t>
      </w:r>
      <w:r>
        <w:rPr>
          <w:b/>
          <w:bCs/>
        </w:rPr>
        <w:t xml:space="preserve">la peor performance recaudatoria del país</w:t>
      </w:r>
      <w:r>
        <w:t xml:space="preserve"> </w:t>
      </w:r>
      <w:r>
        <w:t xml:space="preserve">(−13,2% real acumulado a agosto, contra −3,0% del consolidado nacional).</w:t>
      </w:r>
    </w:p>
    <w:p>
      <w:pPr>
        <w:pStyle w:val="BodyText"/>
      </w:pPr>
      <w:r>
        <w:t xml:space="preserve">Los datos consolidados a 2026 muestran:</w:t>
      </w:r>
    </w:p>
    <w:p>
      <w:pPr>
        <w:numPr>
          <w:ilvl w:val="0"/>
          <w:numId w:val="1001"/>
        </w:numPr>
      </w:pPr>
      <w:r>
        <w:rPr>
          <w:b/>
          <w:bCs/>
        </w:rPr>
        <w:t xml:space="preserve">Producto (OPEX–VAB):</w:t>
      </w:r>
      <w:r>
        <w:t xml:space="preserve"> </w:t>
      </w:r>
      <w:r>
        <w:t xml:space="preserve">la provincia aporta USD 163,4 M al VAB nacional en 2025, apenas 0,19% del total país, la mitad de su participación de 1993 (0,36%). La caída interanual 2025 fue de −25,7%, contra un crecimiento nacional de +9,3%.</w:t>
      </w:r>
    </w:p>
    <w:p>
      <w:pPr>
        <w:numPr>
          <w:ilvl w:val="0"/>
          <w:numId w:val="1001"/>
        </w:numPr>
      </w:pPr>
      <w:r>
        <w:rPr>
          <w:b/>
          <w:bCs/>
        </w:rPr>
        <w:t xml:space="preserve">Empleo registrado (SIPA–OEDE):</w:t>
      </w:r>
      <w:r>
        <w:t xml:space="preserve"> </w:t>
      </w:r>
      <w:r>
        <w:t xml:space="preserve">el índice desestacionalizado alcanzó un pico de 111,4 en 2024 (base ene-2019 = 100) y retrocedió a 98,3 en 2026, ubicándose por debajo de la media nacional por primera vez desde 2019. En el cuarto trimestre de 2025 la provincia registró 28.442 puestos formales.</w:t>
      </w:r>
    </w:p>
    <w:p>
      <w:pPr>
        <w:numPr>
          <w:ilvl w:val="0"/>
          <w:numId w:val="1001"/>
        </w:numPr>
      </w:pPr>
      <w:r>
        <w:rPr>
          <w:b/>
          <w:bCs/>
        </w:rPr>
        <w:t xml:space="preserve">Salarios:</w:t>
      </w:r>
      <w:r>
        <w:t xml:space="preserve"> </w:t>
      </w:r>
      <w:r>
        <w:t xml:space="preserve">el salario promedio de La Rioja en marzo de 2026 fue $1,31 M, contra $2,21 M de la Nación y $1,57 M del NOA. La relación LR/Nación cayó de 0,72 a 0,59 en siete años. El salario real acumula una caída del 35,3% entre 2017 y 2024, con una recuperación parcial a 79,8 puntos en 2025.</w:t>
      </w:r>
    </w:p>
    <w:p>
      <w:pPr>
        <w:numPr>
          <w:ilvl w:val="0"/>
          <w:numId w:val="1001"/>
        </w:numPr>
      </w:pPr>
      <w:r>
        <w:rPr>
          <w:b/>
          <w:bCs/>
        </w:rPr>
        <w:t xml:space="preserve">Recaudación provincial 2026:</w:t>
      </w:r>
      <w:r>
        <w:t xml:space="preserve"> </w:t>
      </w:r>
      <w:r>
        <w:t xml:space="preserve">La Rioja es la</w:t>
      </w:r>
      <w:r>
        <w:t xml:space="preserve"> </w:t>
      </w:r>
      <w:r>
        <w:rPr>
          <w:b/>
          <w:bCs/>
        </w:rPr>
        <w:t xml:space="preserve">peor jurisdicción del país</w:t>
      </w:r>
      <w:r>
        <w:t xml:space="preserve"> </w:t>
      </w:r>
      <w:r>
        <w:t xml:space="preserve">en desempeño fiscal. El acumulado 2026 a agosto es de</w:t>
      </w:r>
      <w:r>
        <w:t xml:space="preserve"> </w:t>
      </w:r>
      <w:r>
        <w:rPr>
          <w:b/>
          <w:bCs/>
        </w:rPr>
        <w:t xml:space="preserve">−13,2% real</w:t>
      </w:r>
      <w:r>
        <w:t xml:space="preserve"> </w:t>
      </w:r>
      <w:r>
        <w:t xml:space="preserve">(vs. −3,0% nacional). Ingresos Brutos cae −14,1% real.</w:t>
      </w:r>
    </w:p>
    <w:p>
      <w:pPr>
        <w:numPr>
          <w:ilvl w:val="0"/>
          <w:numId w:val="1001"/>
        </w:numPr>
      </w:pPr>
      <w:r>
        <w:rPr>
          <w:b/>
          <w:bCs/>
        </w:rPr>
        <w:t xml:space="preserve">Actividades EC (AFIP/ARCA):</w:t>
      </w:r>
      <w:r>
        <w:t xml:space="preserve"> </w:t>
      </w:r>
      <w:r>
        <w:t xml:space="preserve">la provincia registró</w:t>
      </w:r>
      <w:r>
        <w:t xml:space="preserve"> </w:t>
      </w:r>
      <w:r>
        <w:rPr>
          <w:b/>
          <w:bCs/>
        </w:rPr>
        <w:t xml:space="preserve">102 empresas en 2024</w:t>
      </w:r>
      <w:r>
        <w:t xml:space="preserve"> </w:t>
      </w:r>
      <w:r>
        <w:t xml:space="preserve">(3,13% del total provincial) y</w:t>
      </w:r>
      <w:r>
        <w:t xml:space="preserve"> </w:t>
      </w:r>
      <w:r>
        <w:rPr>
          <w:b/>
          <w:bCs/>
        </w:rPr>
        <w:t xml:space="preserve">61 empleos del núcleo informático</w:t>
      </w:r>
      <w:r>
        <w:t xml:space="preserve"> </w:t>
      </w:r>
      <w:r>
        <w:t xml:space="preserve">(0,21% del empleo provincial, stock promedio anual). Entre 2022 y 2024 las empresas crecieron +7,4% mientras el empleo del núcleo cayó −6,5%: cada empresa EC emplea menos trabajadores. La densidad empresarial del sector (31,34‰) ubica a La Rioja en el 7° puesto nacional. En 2025 se observa una caída preliminar a 84 empresas (−17,6%).</w:t>
      </w:r>
    </w:p>
    <w:p>
      <w:pPr>
        <w:numPr>
          <w:ilvl w:val="0"/>
          <w:numId w:val="1001"/>
        </w:numPr>
      </w:pPr>
      <w:r>
        <w:rPr>
          <w:b/>
          <w:bCs/>
        </w:rPr>
        <w:t xml:space="preserve">Recaudación EC:</w:t>
      </w:r>
      <w:r>
        <w:t xml:space="preserve"> </w:t>
      </w:r>
      <w:r>
        <w:t xml:space="preserve">la porción de Ingresos Brutos correspondiente a actividades EC pasó de $58,99 M (2022) a $1.940,91 M (2025), un crecimiento nominal</w:t>
      </w:r>
      <w:r>
        <w:t xml:space="preserve"> </w:t>
      </w:r>
      <w:r>
        <w:rPr>
          <w:b/>
          <w:bCs/>
        </w:rPr>
        <w:t xml:space="preserve">×32,9</w:t>
      </w:r>
      <w:r>
        <w:t xml:space="preserve"> </w:t>
      </w:r>
      <w:r>
        <w:t xml:space="preserve">(vs. ×10,8 del II.BB total). Su peso sobre la base imponible provincial pasó de</w:t>
      </w:r>
      <w:r>
        <w:t xml:space="preserve"> </w:t>
      </w:r>
      <w:r>
        <w:rPr>
          <w:b/>
          <w:bCs/>
        </w:rPr>
        <w:t xml:space="preserve">0,51% a 1,55%</w:t>
      </w:r>
      <w:r>
        <w:t xml:space="preserve"> </w:t>
      </w:r>
      <w:r>
        <w:t xml:space="preserve">(×3,0 en cuatro años). En 2026, la recaudación total provincial cae −13,2% real (la peor del país), y el EC se posiciona como el único agregado con crecimiento positivo.</w:t>
      </w:r>
    </w:p>
    <w:p>
      <w:pPr>
        <w:numPr>
          <w:ilvl w:val="0"/>
          <w:numId w:val="1001"/>
        </w:numPr>
      </w:pPr>
      <w:r>
        <w:rPr>
          <w:b/>
          <w:bCs/>
        </w:rPr>
        <w:t xml:space="preserve">Prima salarial EC:</w:t>
      </w:r>
      <w:r>
        <w:t xml:space="preserve"> </w:t>
      </w:r>
      <w:r>
        <w:t xml:space="preserve">el núcleo informático (CIIU 7210, 7220, 7290) paga</w:t>
      </w:r>
      <w:r>
        <w:t xml:space="preserve"> </w:t>
      </w:r>
      <w:r>
        <w:rPr>
          <w:b/>
          <w:bCs/>
        </w:rPr>
        <w:t xml:space="preserve">+66,5%</w:t>
      </w:r>
      <w:r>
        <w:t xml:space="preserve"> </w:t>
      </w:r>
      <w:r>
        <w:t xml:space="preserve">sobre el promedio provincial en 2025, contra +27,2% en 2022. La prima se duplicó en cuatro años. Bajo la definición EC completa (8 CIIU), la prima cae a +20,1% por el peso de las ramas proxy (arquitectura, servicios empresariales) que pagan por debajo del promedio.</w:t>
      </w:r>
    </w:p>
    <w:p>
      <w:pPr>
        <w:pStyle w:val="FirstParagraph"/>
      </w:pPr>
      <w:r>
        <w:t xml:space="preserve">El diagnóstico resultante es el de una economía provincial en divergencia: el sector primario y los servicios tradicionales sostienen el nivel de actividad, mientras los segmentos de mayor productividad —industria, servicios técnicos, EC— pierden peso relativo.</w:t>
      </w:r>
    </w:p>
    <w:bookmarkEnd w:id="9"/>
    <w:bookmarkStart w:id="15" w:name="sec-macro"/>
    <w:p>
      <w:pPr>
        <w:pStyle w:val="Heading1"/>
      </w:pPr>
      <w:r>
        <w:t xml:space="preserve">2. Contexto macroeconómico</w:t>
      </w:r>
    </w:p>
    <w:bookmarkStart w:id="13" w:name="producto-provincial-opex"/>
    <w:p>
      <w:pPr>
        <w:pStyle w:val="Heading2"/>
      </w:pPr>
      <w:r>
        <w:t xml:space="preserve">2.1 Producto provincial (OPEX)</w:t>
      </w:r>
    </w:p>
    <w:p>
      <w:pPr>
        <w:pStyle w:val="FirstParagraph"/>
      </w:pPr>
      <w:r>
        <w:t xml:space="preserve">La serie del Producto Bruto Geográfico del Instituto Nacional de Estadística y Censos (base OPEX, metodología homogénea 1993–2025) permite seguir la evolución del valor agregado provincial en términos reales.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C:\Users\HP\AppData\Local\Program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Definición.</w:t>
            </w:r>
            <w:r>
              <w:t xml:space="preserve"> </w:t>
            </w:r>
            <w:r>
              <w:t xml:space="preserve">El VAB (Valor Agregado Bruto) provincial que publica OPEX es un agregado macro sin apertura sectorial. No permite descomponer la contribución de la Economía del Conocimiento ni de otros sectores específicos. Para el análisis sectorial se usa el Registro de Empresas y el SIPA–OEDE.</w:t>
            </w:r>
          </w:p>
          <w:p/>
        </w:tc>
      </w:tr>
    </w:tbl>
    <w:p>
      <w:pPr>
        <w:pStyle w:val="BodyText"/>
      </w:pPr>
      <w:r>
        <w:t xml:space="preserve">En 2025, La Rioja aportó USD 163,4 millones al VAB nacional. Se trata de la participación más baja desde el inicio de la serie comparable: en 1993 representaba 0,36% del total país; en 2025, 0,19%. La trayectoria no es un artefacto del año: la caída es sostenida desde 2011.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Indicador</w:t>
            </w:r>
          </w:p>
        </w:tc>
        <w:tc>
          <w:tcPr/>
          <w:p>
            <w:pPr>
              <w:pStyle w:val="Compact"/>
            </w:pPr>
            <w:r>
              <w:t xml:space="preserve">1993</w:t>
            </w:r>
          </w:p>
        </w:tc>
        <w:tc>
          <w:tcPr/>
          <w:p>
            <w:pPr>
              <w:pStyle w:val="Compact"/>
            </w:pPr>
            <w:r>
              <w:t xml:space="preserve">2011</w:t>
            </w:r>
          </w:p>
        </w:tc>
        <w:tc>
          <w:tcPr/>
          <w:p>
            <w:pPr>
              <w:pStyle w:val="Compact"/>
            </w:pPr>
            <w:r>
              <w:t xml:space="preserve">2024</w:t>
            </w:r>
          </w:p>
        </w:tc>
        <w:tc>
          <w:tcPr/>
          <w:p>
            <w:pPr>
              <w:pStyle w:val="Compact"/>
            </w:pPr>
            <w:r>
              <w:t xml:space="preserve">2025</w:t>
            </w:r>
          </w:p>
        </w:tc>
      </w:tr>
      <w:tr>
        <w:tc>
          <w:tcPr/>
          <w:p>
            <w:pPr>
              <w:pStyle w:val="Compact"/>
            </w:pPr>
            <w:r>
              <w:t xml:space="preserve">VAB La Rioja (USD 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163,4</w:t>
            </w:r>
          </w:p>
        </w:tc>
      </w:tr>
      <w:tr>
        <w:tc>
          <w:tcPr/>
          <w:p>
            <w:pPr>
              <w:pStyle w:val="Compact"/>
            </w:pPr>
            <w:r>
              <w:t xml:space="preserve">Participación nacional</w:t>
            </w:r>
          </w:p>
        </w:tc>
        <w:tc>
          <w:tcPr/>
          <w:p>
            <w:pPr>
              <w:pStyle w:val="Compact"/>
            </w:pPr>
            <w:r>
              <w:t xml:space="preserve">0,36%</w:t>
            </w:r>
          </w:p>
        </w:tc>
        <w:tc>
          <w:tcPr/>
          <w:p>
            <w:pPr>
              <w:pStyle w:val="Compact"/>
            </w:pPr>
            <w:r>
              <w:t xml:space="preserve">0,28%</w:t>
            </w:r>
          </w:p>
        </w:tc>
        <w:tc>
          <w:tcPr/>
          <w:p>
            <w:pPr>
              <w:pStyle w:val="Compact"/>
            </w:pPr>
            <w:r>
              <w:t xml:space="preserve">0,21%</w:t>
            </w:r>
          </w:p>
        </w:tc>
        <w:tc>
          <w:tcPr/>
          <w:p>
            <w:pPr>
              <w:pStyle w:val="Compact"/>
            </w:pPr>
            <w:r>
              <w:t xml:space="preserve">0,19%</w:t>
            </w:r>
          </w:p>
        </w:tc>
      </w:tr>
      <w:tr>
        <w:tc>
          <w:tcPr/>
          <w:p>
            <w:pPr>
              <w:pStyle w:val="Compact"/>
            </w:pPr>
            <w:r>
              <w:t xml:space="preserve">Var. interanual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−25,7%</w:t>
            </w:r>
          </w:p>
        </w:tc>
      </w:tr>
      <w:tr>
        <w:tc>
          <w:tcPr/>
          <w:p>
            <w:pPr>
              <w:pStyle w:val="Compact"/>
            </w:pPr>
            <w:r>
              <w:t xml:space="preserve">Var. nacional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+9,3%</w:t>
            </w:r>
          </w:p>
        </w:tc>
      </w:tr>
    </w:tbl>
    <w:bookmarkEnd w:id="13"/>
    <w:bookmarkStart w:id="14" w:name="situación-fiscal-2026-la-peor-del-país"/>
    <w:p>
      <w:pPr>
        <w:pStyle w:val="Heading2"/>
      </w:pPr>
      <w:r>
        <w:t xml:space="preserve">2.2 Situación fiscal 2026: la peor del país</w:t>
      </w:r>
    </w:p>
    <w:p>
      <w:pPr>
        <w:pStyle w:val="FirstParagraph"/>
      </w:pPr>
      <w:r>
        <w:t xml:space="preserve">Según datos de la DNAP/CEPA (</w:t>
      </w:r>
      <w:r>
        <w:rPr>
          <w:i/>
          <w:iCs/>
        </w:rPr>
        <w:t xml:space="preserve">Series de Recaudación Provincial</w:t>
      </w:r>
      <w:r>
        <w:t xml:space="preserve">, actualizado al 11/09/2026), La Rioja es la jurisdicción con peor desempeño fiscal del país en 2026:</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Indicador</w:t>
            </w:r>
          </w:p>
        </w:tc>
        <w:tc>
          <w:tcPr/>
          <w:p>
            <w:pPr>
              <w:pStyle w:val="Compact"/>
              <w:jc w:val="right"/>
            </w:pPr>
            <w:r>
              <w:t xml:space="preserve">La Rioja</w:t>
            </w:r>
          </w:p>
        </w:tc>
        <w:tc>
          <w:tcPr/>
          <w:p>
            <w:pPr>
              <w:pStyle w:val="Compact"/>
              <w:jc w:val="right"/>
            </w:pPr>
            <w:r>
              <w:t xml:space="preserve">Consolidado nacional</w:t>
            </w:r>
          </w:p>
        </w:tc>
      </w:tr>
      <w:tr>
        <w:tc>
          <w:tcPr/>
          <w:p>
            <w:pPr>
              <w:pStyle w:val="Compact"/>
            </w:pPr>
            <w:r>
              <w:t xml:space="preserve">Variación real acumulada 2026 (total recaudación)</w:t>
            </w:r>
          </w:p>
        </w:tc>
        <w:tc>
          <w:tcPr/>
          <w:p>
            <w:pPr>
              <w:pStyle w:val="Compact"/>
              <w:jc w:val="right"/>
            </w:pPr>
            <w:r>
              <w:rPr>
                <w:b/>
                <w:bCs/>
              </w:rPr>
              <w:t xml:space="preserve">−13,2%</w:t>
            </w:r>
          </w:p>
        </w:tc>
        <w:tc>
          <w:tcPr/>
          <w:p>
            <w:pPr>
              <w:pStyle w:val="Compact"/>
              <w:jc w:val="right"/>
            </w:pPr>
            <w:r>
              <w:t xml:space="preserve">−3,0%</w:t>
            </w:r>
          </w:p>
        </w:tc>
      </w:tr>
      <w:tr>
        <w:tc>
          <w:tcPr/>
          <w:p>
            <w:pPr>
              <w:pStyle w:val="Compact"/>
            </w:pPr>
            <w:r>
              <w:t xml:space="preserve">Variación real acumulada 2026 (Ingresos Brutos)</w:t>
            </w:r>
          </w:p>
        </w:tc>
        <w:tc>
          <w:tcPr/>
          <w:p>
            <w:pPr>
              <w:pStyle w:val="Compact"/>
              <w:jc w:val="right"/>
            </w:pPr>
            <w:r>
              <w:rPr>
                <w:b/>
                <w:bCs/>
              </w:rPr>
              <w:t xml:space="preserve">−14,1%</w:t>
            </w:r>
          </w:p>
        </w:tc>
        <w:tc>
          <w:tcPr/>
          <w:p>
            <w:pPr>
              <w:pStyle w:val="Compact"/>
              <w:jc w:val="right"/>
            </w:pPr>
            <w:r>
              <w:t xml:space="preserve">—</w:t>
            </w:r>
          </w:p>
        </w:tc>
      </w:tr>
      <w:tr>
        <w:tc>
          <w:tcPr/>
          <w:p>
            <w:pPr>
              <w:pStyle w:val="Compact"/>
            </w:pPr>
            <w:r>
              <w:t xml:space="preserve">Peor mes (agosto 2026)</w:t>
            </w:r>
          </w:p>
        </w:tc>
        <w:tc>
          <w:tcPr/>
          <w:p>
            <w:pPr>
              <w:pStyle w:val="Compact"/>
              <w:jc w:val="right"/>
            </w:pPr>
            <w:r>
              <w:rPr>
                <w:b/>
                <w:bCs/>
              </w:rPr>
              <w:t xml:space="preserve">−22,5%</w:t>
            </w:r>
          </w:p>
        </w:tc>
        <w:tc>
          <w:tcPr/>
          <w:p>
            <w:pPr>
              <w:pStyle w:val="Compact"/>
              <w:jc w:val="right"/>
            </w:pPr>
            <w:r>
              <w:t xml:space="preserve">−11,2%</w:t>
            </w:r>
          </w:p>
        </w:tc>
      </w:tr>
    </w:tbl>
    <w:p>
      <w:pPr>
        <w:pStyle w:val="BodyText"/>
      </w:pPr>
      <w:r>
        <w:rPr>
          <w:b/>
          <w:bCs/>
        </w:rPr>
        <w:t xml:space="preserve">Meses críticos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Mes</w:t>
            </w:r>
          </w:p>
        </w:tc>
        <w:tc>
          <w:tcPr/>
          <w:p>
            <w:pPr>
              <w:pStyle w:val="Compact"/>
              <w:jc w:val="right"/>
            </w:pPr>
            <w:r>
              <w:t xml:space="preserve">Total recaudación (var. real i.a.)</w:t>
            </w:r>
          </w:p>
        </w:tc>
        <w:tc>
          <w:tcPr/>
          <w:p>
            <w:pPr>
              <w:pStyle w:val="Compact"/>
              <w:jc w:val="right"/>
            </w:pPr>
            <w:r>
              <w:t xml:space="preserve">II.BB (var. real i.a.)</w:t>
            </w:r>
          </w:p>
        </w:tc>
      </w:tr>
      <w:tr>
        <w:tc>
          <w:tcPr/>
          <w:p>
            <w:pPr>
              <w:pStyle w:val="Compact"/>
              <w:jc w:val="center"/>
            </w:pPr>
            <w:r>
              <w:t xml:space="preserve">Enero</w:t>
            </w:r>
          </w:p>
        </w:tc>
        <w:tc>
          <w:tcPr/>
          <w:p>
            <w:pPr>
              <w:pStyle w:val="Compact"/>
              <w:jc w:val="right"/>
            </w:pPr>
            <w:r>
              <w:t xml:space="preserve">−20,0%</w:t>
            </w:r>
          </w:p>
        </w:tc>
        <w:tc>
          <w:tcPr/>
          <w:p>
            <w:pPr>
              <w:pStyle w:val="Compact"/>
              <w:jc w:val="right"/>
            </w:pPr>
            <w:r>
              <w:t xml:space="preserve">−20,5%</w:t>
            </w:r>
          </w:p>
        </w:tc>
      </w:tr>
      <w:tr>
        <w:tc>
          <w:tcPr/>
          <w:p>
            <w:pPr>
              <w:pStyle w:val="Compact"/>
              <w:jc w:val="center"/>
            </w:pPr>
            <w:r>
              <w:t xml:space="preserve">Febrero</w:t>
            </w:r>
          </w:p>
        </w:tc>
        <w:tc>
          <w:tcPr/>
          <w:p>
            <w:pPr>
              <w:pStyle w:val="Compact"/>
              <w:jc w:val="right"/>
            </w:pPr>
            <w:r>
              <w:t xml:space="preserve">−10,8%</w:t>
            </w:r>
          </w:p>
        </w:tc>
        <w:tc>
          <w:tcPr/>
          <w:p>
            <w:pPr>
              <w:pStyle w:val="Compact"/>
              <w:jc w:val="right"/>
            </w:pPr>
            <w:r>
              <w:t xml:space="preserve">−8,8%</w:t>
            </w:r>
          </w:p>
        </w:tc>
      </w:tr>
      <w:tr>
        <w:tc>
          <w:tcPr/>
          <w:p>
            <w:pPr>
              <w:pStyle w:val="Compact"/>
              <w:jc w:val="center"/>
            </w:pPr>
            <w:r>
              <w:t xml:space="preserve">Marzo</w:t>
            </w:r>
          </w:p>
        </w:tc>
        <w:tc>
          <w:tcPr/>
          <w:p>
            <w:pPr>
              <w:pStyle w:val="Compact"/>
              <w:jc w:val="right"/>
            </w:pPr>
            <w:r>
              <w:t xml:space="preserve">−14,2%</w:t>
            </w:r>
          </w:p>
        </w:tc>
        <w:tc>
          <w:tcPr/>
          <w:p>
            <w:pPr>
              <w:pStyle w:val="Compact"/>
              <w:jc w:val="right"/>
            </w:pPr>
            <w:r>
              <w:t xml:space="preserve">−16,1%</w:t>
            </w:r>
          </w:p>
        </w:tc>
      </w:tr>
      <w:tr>
        <w:tc>
          <w:tcPr/>
          <w:p>
            <w:pPr>
              <w:pStyle w:val="Compact"/>
              <w:jc w:val="center"/>
            </w:pPr>
            <w:r>
              <w:t xml:space="preserve">Abril</w:t>
            </w:r>
          </w:p>
        </w:tc>
        <w:tc>
          <w:tcPr/>
          <w:p>
            <w:pPr>
              <w:pStyle w:val="Compact"/>
              <w:jc w:val="right"/>
            </w:pPr>
            <w:r>
              <w:t xml:space="preserve">−6,5%</w:t>
            </w:r>
          </w:p>
        </w:tc>
        <w:tc>
          <w:tcPr/>
          <w:p>
            <w:pPr>
              <w:pStyle w:val="Compact"/>
              <w:jc w:val="right"/>
            </w:pPr>
            <w:r>
              <w:t xml:space="preserve">−5,9%</w:t>
            </w:r>
          </w:p>
        </w:tc>
      </w:tr>
      <w:tr>
        <w:tc>
          <w:tcPr/>
          <w:p>
            <w:pPr>
              <w:pStyle w:val="Compact"/>
              <w:jc w:val="center"/>
            </w:pPr>
            <w:r>
              <w:t xml:space="preserve">Mayo</w:t>
            </w:r>
          </w:p>
        </w:tc>
        <w:tc>
          <w:tcPr/>
          <w:p>
            <w:pPr>
              <w:pStyle w:val="Compact"/>
              <w:jc w:val="right"/>
            </w:pPr>
            <w:r>
              <w:t xml:space="preserve">−8,7%</w:t>
            </w:r>
          </w:p>
        </w:tc>
        <w:tc>
          <w:tcPr/>
          <w:p>
            <w:pPr>
              <w:pStyle w:val="Compact"/>
              <w:jc w:val="right"/>
            </w:pPr>
            <w:r>
              <w:t xml:space="preserve">−9,5%</w:t>
            </w:r>
          </w:p>
        </w:tc>
      </w:tr>
      <w:tr>
        <w:tc>
          <w:tcPr/>
          <w:p>
            <w:pPr>
              <w:pStyle w:val="Compact"/>
              <w:jc w:val="center"/>
            </w:pPr>
            <w:r>
              <w:t xml:space="preserve">Junio</w:t>
            </w:r>
          </w:p>
        </w:tc>
        <w:tc>
          <w:tcPr/>
          <w:p>
            <w:pPr>
              <w:pStyle w:val="Compact"/>
              <w:jc w:val="right"/>
            </w:pPr>
            <w:r>
              <w:t xml:space="preserve">−7,9%</w:t>
            </w:r>
          </w:p>
        </w:tc>
        <w:tc>
          <w:tcPr/>
          <w:p>
            <w:pPr>
              <w:pStyle w:val="Compact"/>
              <w:jc w:val="right"/>
            </w:pPr>
            <w:r>
              <w:t xml:space="preserve">−11,3%</w:t>
            </w:r>
          </w:p>
        </w:tc>
      </w:tr>
      <w:tr>
        <w:tc>
          <w:tcPr/>
          <w:p>
            <w:pPr>
              <w:pStyle w:val="Compact"/>
              <w:jc w:val="center"/>
            </w:pPr>
            <w:r>
              <w:t xml:space="preserve">Julio</w:t>
            </w:r>
          </w:p>
        </w:tc>
        <w:tc>
          <w:tcPr/>
          <w:p>
            <w:pPr>
              <w:pStyle w:val="Compact"/>
              <w:jc w:val="right"/>
            </w:pPr>
            <w:r>
              <w:t xml:space="preserve">−12,9%</w:t>
            </w:r>
          </w:p>
        </w:tc>
        <w:tc>
          <w:tcPr/>
          <w:p>
            <w:pPr>
              <w:pStyle w:val="Compact"/>
              <w:jc w:val="right"/>
            </w:pPr>
            <w:r>
              <w:t xml:space="preserve">−13,3%</w:t>
            </w:r>
          </w:p>
        </w:tc>
      </w:tr>
      <w:tr>
        <w:tc>
          <w:tcPr/>
          <w:p>
            <w:pPr>
              <w:pStyle w:val="Compact"/>
              <w:jc w:val="center"/>
            </w:pPr>
            <w:r>
              <w:t xml:space="preserve">Agosto</w:t>
            </w:r>
          </w:p>
        </w:tc>
        <w:tc>
          <w:tcPr/>
          <w:p>
            <w:pPr>
              <w:pStyle w:val="Compact"/>
              <w:jc w:val="right"/>
            </w:pPr>
            <w:r>
              <w:rPr>
                <w:b/>
                <w:bCs/>
              </w:rPr>
              <w:t xml:space="preserve">−22,5%</w:t>
            </w:r>
          </w:p>
        </w:tc>
        <w:tc>
          <w:tcPr/>
          <w:p>
            <w:pPr>
              <w:pStyle w:val="Compact"/>
              <w:jc w:val="right"/>
            </w:pPr>
            <w:r>
              <w:rPr>
                <w:b/>
                <w:bCs/>
              </w:rPr>
              <w:t xml:space="preserve">−24,7%</w:t>
            </w:r>
          </w:p>
        </w:tc>
      </w:tr>
      <w:tr>
        <w:tc>
          <w:tcPr/>
          <w:p>
            <w:pPr>
              <w:pStyle w:val="Compact"/>
              <w:jc w:val="center"/>
            </w:pPr>
            <w:r>
              <w:rPr>
                <w:b/>
                <w:bCs/>
              </w:rPr>
              <w:t xml:space="preserve">Acumulado</w:t>
            </w:r>
          </w:p>
        </w:tc>
        <w:tc>
          <w:tcPr/>
          <w:p>
            <w:pPr>
              <w:pStyle w:val="Compact"/>
              <w:jc w:val="right"/>
            </w:pPr>
            <w:r>
              <w:rPr>
                <w:b/>
                <w:bCs/>
              </w:rPr>
              <w:t xml:space="preserve">−13,2%</w:t>
            </w:r>
          </w:p>
        </w:tc>
        <w:tc>
          <w:tcPr/>
          <w:p>
            <w:pPr>
              <w:pStyle w:val="Compact"/>
              <w:jc w:val="right"/>
            </w:pPr>
            <w:r>
              <w:rPr>
                <w:b/>
                <w:bCs/>
              </w:rPr>
              <w:t xml:space="preserve">−14,1%</w:t>
            </w:r>
          </w:p>
        </w:tc>
      </w:tr>
    </w:tbl>
    <w:bookmarkEnd w:id="14"/>
    <w:bookmarkEnd w:id="15"/>
    <w:bookmarkStart w:id="27" w:name="sec-empleo"/>
    <w:p>
      <w:pPr>
        <w:pStyle w:val="Heading1"/>
      </w:pPr>
      <w:r>
        <w:t xml:space="preserve">3. Empleo registrado</w:t>
      </w:r>
    </w:p>
    <w:bookmarkStart w:id="16" w:name="fuente-y-método"/>
    <w:p>
      <w:pPr>
        <w:pStyle w:val="Heading2"/>
      </w:pPr>
      <w:r>
        <w:t xml:space="preserve">3.1 Fuente y método</w:t>
      </w:r>
    </w:p>
    <w:p>
      <w:pPr>
        <w:pStyle w:val="FirstParagraph"/>
      </w:pPr>
      <w:r>
        <w:t xml:space="preserve">El análisis de empleo usa la serie SIPA–OEDE (Sistema Integrado Previsional Argentino – Observatorio de Empleo y Dinámica Empresarial, dependiente de la Secretaría de Trabajo, Empleo y Seguridad Social). Los datos están desestacionalizados y expresados como índice base enero 2019 = 100.</w:t>
      </w:r>
    </w:p>
    <w:bookmarkEnd w:id="16"/>
    <w:bookmarkStart w:id="25" w:name="trayectoria-20192026"/>
    <w:p>
      <w:pPr>
        <w:pStyle w:val="Heading2"/>
      </w:pPr>
      <w:r>
        <w:t xml:space="preserve">3.2 Trayectoria 2019–2026</w:t>
      </w:r>
    </w:p>
    <w:tbl>
      <w:tblPr>
        <w:tblStyle w:val="Table"/>
        <w:tblW w:type="pct" w:w="5000"/>
        <w:tblLayout w:type="fixed"/>
        <w:tblLook w:firstRow="0" w:lastRow="0" w:firstColumn="0" w:lastColumn="0" w:noHBand="0" w:noVBand="0" w:val="0000"/>
      </w:tblPr>
      <w:tblGrid>
        <w:gridCol w:w="7920"/>
      </w:tblGrid>
      <w:tr>
        <w:tc>
          <w:tcPr/>
          <w:bookmarkStart w:id="20" w:name="fig-empleo-comp"/>
          <w:p>
            <w:pPr>
              <w:pStyle w:val="Compact"/>
              <w:jc w:val="center"/>
            </w:pPr>
            <w:r>
              <w:drawing>
                <wp:inline>
                  <wp:extent cx="5334000" cy="3041140"/>
                  <wp:effectExtent b="0" l="0" r="0" t="0"/>
                  <wp:docPr descr="" title="" id="18" name="Picture"/>
                  <a:graphic>
                    <a:graphicData uri="http://schemas.openxmlformats.org/drawingml/2006/picture">
                      <pic:pic>
                        <pic:nvPicPr>
                          <pic:cNvPr descr="figuras/F3_empleo_comparado.png" id="19" name="Picture"/>
                          <pic:cNvPicPr>
                            <a:picLocks noChangeArrowheads="1" noChangeAspect="1"/>
                          </pic:cNvPicPr>
                        </pic:nvPicPr>
                        <pic:blipFill>
                          <a:blip r:embed="rId17"/>
                          <a:stretch>
                            <a:fillRect/>
                          </a:stretch>
                        </pic:blipFill>
                        <pic:spPr bwMode="auto">
                          <a:xfrm>
                            <a:off x="0" y="0"/>
                            <a:ext cx="5334000" cy="304114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Empleo registrado privado formal: La Rioja, NOA y Nación. Índice base enero 2019 = 100, serie desestacionalizada. Fuente: SIPA–OEDE.</w:t>
            </w:r>
          </w:p>
          <w:bookmarkEnd w:id="20"/>
        </w:tc>
      </w:tr>
    </w:tbl>
    <w:p>
      <w:pPr>
        <w:pStyle w:val="BodyText"/>
      </w:pPr>
      <w:r>
        <w:t xml:space="preserve">La serie muestra tres fases:</w:t>
      </w:r>
    </w:p>
    <w:p>
      <w:pPr>
        <w:pStyle w:val="Compact"/>
        <w:numPr>
          <w:ilvl w:val="0"/>
          <w:numId w:val="1002"/>
        </w:numPr>
      </w:pPr>
      <w:r>
        <w:t xml:space="preserve">2019–2020: caída inicial y piso de la pandemia (índice 87 en 2020).</w:t>
      </w:r>
    </w:p>
    <w:p>
      <w:pPr>
        <w:pStyle w:val="Compact"/>
        <w:numPr>
          <w:ilvl w:val="0"/>
          <w:numId w:val="1002"/>
        </w:numPr>
      </w:pPr>
      <w:r>
        <w:t xml:space="preserve">2021–2024: recuperación hasta el pico de 111,4 en 2024.</w:t>
      </w:r>
    </w:p>
    <w:p>
      <w:pPr>
        <w:pStyle w:val="Compact"/>
        <w:numPr>
          <w:ilvl w:val="0"/>
          <w:numId w:val="1002"/>
        </w:numPr>
      </w:pPr>
      <w:r>
        <w:t xml:space="preserve">2025–2026: reversión. En 2026 el índice cayó a 98,3, por debajo de la media nacional por primera vez desde 2019.</w:t>
      </w:r>
    </w:p>
    <w:tbl>
      <w:tblPr>
        <w:tblStyle w:val="Table"/>
        <w:tblW w:type="pct" w:w="5000"/>
        <w:tblLayout w:type="fixed"/>
        <w:tblLook w:firstRow="0" w:lastRow="0" w:firstColumn="0" w:lastColumn="0" w:noHBand="0" w:noVBand="0" w:val="0000"/>
      </w:tblPr>
      <w:tblGrid>
        <w:gridCol w:w="7920"/>
      </w:tblGrid>
      <w:tr>
        <w:tc>
          <w:tcPr/>
          <w:bookmarkStart w:id="24" w:name="fig-empleo-zoom"/>
          <w:p>
            <w:pPr>
              <w:pStyle w:val="Compact"/>
              <w:jc w:val="center"/>
            </w:pPr>
            <w:r>
              <w:drawing>
                <wp:inline>
                  <wp:extent cx="5334000" cy="2955113"/>
                  <wp:effectExtent b="0" l="0" r="0" t="0"/>
                  <wp:docPr descr="" title="" id="22" name="Picture"/>
                  <a:graphic>
                    <a:graphicData uri="http://schemas.openxmlformats.org/drawingml/2006/picture">
                      <pic:pic>
                        <pic:nvPicPr>
                          <pic:cNvPr descr="figuras/F4_empleo_zoom.png" id="23" name="Picture"/>
                          <pic:cNvPicPr>
                            <a:picLocks noChangeArrowheads="1" noChangeAspect="1"/>
                          </pic:cNvPicPr>
                        </pic:nvPicPr>
                        <pic:blipFill>
                          <a:blip r:embed="rId21"/>
                          <a:stretch>
                            <a:fillRect/>
                          </a:stretch>
                        </pic:blipFill>
                        <pic:spPr bwMode="auto">
                          <a:xfrm>
                            <a:off x="0" y="0"/>
                            <a:ext cx="5334000" cy="2955113"/>
                          </a:xfrm>
                          <a:prstGeom prst="rect">
                            <a:avLst/>
                          </a:prstGeom>
                          <a:noFill/>
                          <a:ln w="9525">
                            <a:noFill/>
                            <a:headEnd/>
                            <a:tailEnd/>
                          </a:ln>
                        </pic:spPr>
                      </pic:pic>
                    </a:graphicData>
                  </a:graphic>
                </wp:inline>
              </w:drawing>
            </w:r>
          </w:p>
          <w:p>
            <w:pPr>
              <w:jc w:val="center"/>
            </w:pPr>
            <w:pPr>
              <w:jc w:val="left"/>
              <w:spacing w:before="200"/>
              <w:pStyle w:val="ImageCaption"/>
            </w:pPr>
            <w:r>
              <w:t xml:space="preserve">Figura 2: Zoom sobre la reversión 2024–2026: La Rioja pierde el diferencial positivo construido entre 2021 y 2024.</w:t>
            </w:r>
          </w:p>
          <w:bookmarkEnd w:id="24"/>
        </w:tc>
      </w:tr>
    </w:tbl>
    <w:p>
      <w:pPr>
        <w:pStyle w:val="BodyText"/>
      </w:pPr>
      <w:r>
        <w:t xml:space="preserve">En el cuarto trimestre de 2025 la provincia registró 28.442 puestos de trabajo registrados en el sector privado.</w:t>
      </w:r>
    </w:p>
    <w:bookmarkEnd w:id="25"/>
    <w:bookmarkStart w:id="26" w:name="comparación-regional"/>
    <w:p>
      <w:pPr>
        <w:pStyle w:val="Heading2"/>
      </w:pPr>
      <w:r>
        <w:t xml:space="preserve">3.3 Comparación regional</w:t>
      </w:r>
    </w:p>
    <w:p>
      <w:pPr>
        <w:pStyle w:val="FirstParagraph"/>
      </w:pPr>
      <w:r>
        <w:t xml:space="preserve">El diferencial positivo de La Rioja respecto al NOA, que llegó a ser de +6 puntos en 2023, se cerró completamente en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Período</w:t>
            </w:r>
          </w:p>
        </w:tc>
        <w:tc>
          <w:tcPr/>
          <w:p>
            <w:pPr>
              <w:pStyle w:val="Compact"/>
            </w:pPr>
            <w:r>
              <w:t xml:space="preserve">Índice LR (ene-19=100)</w:t>
            </w:r>
          </w:p>
        </w:tc>
        <w:tc>
          <w:tcPr/>
          <w:p>
            <w:pPr>
              <w:pStyle w:val="Compact"/>
            </w:pPr>
            <w:r>
              <w:t xml:space="preserve">Índice Nación</w:t>
            </w:r>
          </w:p>
        </w:tc>
        <w:tc>
          <w:tcPr/>
          <w:p>
            <w:pPr>
              <w:pStyle w:val="Compact"/>
            </w:pPr>
            <w:r>
              <w:t xml:space="preserve">Diferencial</w:t>
            </w:r>
          </w:p>
        </w:tc>
      </w:tr>
      <w:tr>
        <w:tc>
          <w:tcPr/>
          <w:p>
            <w:pPr>
              <w:pStyle w:val="Compact"/>
            </w:pPr>
            <w:r>
              <w:t xml:space="preserve">2019 (base)</w:t>
            </w:r>
          </w:p>
        </w:tc>
        <w:tc>
          <w:tcPr/>
          <w:p>
            <w:pPr>
              <w:pStyle w:val="Compact"/>
            </w:pPr>
            <w:r>
              <w:t xml:space="preserve">100,0</w:t>
            </w:r>
          </w:p>
        </w:tc>
        <w:tc>
          <w:tcPr/>
          <w:p>
            <w:pPr>
              <w:pStyle w:val="Compact"/>
            </w:pPr>
            <w:r>
              <w:t xml:space="preserve">100,0</w:t>
            </w:r>
          </w:p>
        </w:tc>
        <w:tc>
          <w:tcPr/>
          <w:p>
            <w:pPr>
              <w:pStyle w:val="Compact"/>
            </w:pPr>
            <w:r>
              <w:t xml:space="preserve">0,0</w:t>
            </w:r>
          </w:p>
        </w:tc>
      </w:tr>
      <w:tr>
        <w:tc>
          <w:tcPr/>
          <w:p>
            <w:pPr>
              <w:pStyle w:val="Compact"/>
            </w:pPr>
            <w:r>
              <w:t xml:space="preserve">2020 (piso)</w:t>
            </w:r>
          </w:p>
        </w:tc>
        <w:tc>
          <w:tcPr/>
          <w:p>
            <w:pPr>
              <w:pStyle w:val="Compact"/>
            </w:pPr>
            <w:r>
              <w:t xml:space="preserve">87,2</w:t>
            </w:r>
          </w:p>
        </w:tc>
        <w:tc>
          <w:tcPr/>
          <w:p>
            <w:pPr>
              <w:pStyle w:val="Compact"/>
            </w:pPr>
            <w:r>
              <w:t xml:space="preserve">89,4</w:t>
            </w:r>
          </w:p>
        </w:tc>
        <w:tc>
          <w:tcPr/>
          <w:p>
            <w:pPr>
              <w:pStyle w:val="Compact"/>
            </w:pPr>
            <w:r>
              <w:t xml:space="preserve">−2,2</w:t>
            </w:r>
          </w:p>
        </w:tc>
      </w:tr>
      <w:tr>
        <w:tc>
          <w:tcPr/>
          <w:p>
            <w:pPr>
              <w:pStyle w:val="Compact"/>
            </w:pPr>
            <w:r>
              <w:t xml:space="preserve">2023</w:t>
            </w:r>
          </w:p>
        </w:tc>
        <w:tc>
          <w:tcPr/>
          <w:p>
            <w:pPr>
              <w:pStyle w:val="Compact"/>
            </w:pPr>
            <w:r>
              <w:t xml:space="preserve">108,5</w:t>
            </w:r>
          </w:p>
        </w:tc>
        <w:tc>
          <w:tcPr/>
          <w:p>
            <w:pPr>
              <w:pStyle w:val="Compact"/>
            </w:pPr>
            <w:r>
              <w:t xml:space="preserve">103,1</w:t>
            </w:r>
          </w:p>
        </w:tc>
        <w:tc>
          <w:tcPr/>
          <w:p>
            <w:pPr>
              <w:pStyle w:val="Compact"/>
            </w:pPr>
            <w:r>
              <w:t xml:space="preserve">+5,4</w:t>
            </w:r>
          </w:p>
        </w:tc>
      </w:tr>
      <w:tr>
        <w:tc>
          <w:tcPr/>
          <w:p>
            <w:pPr>
              <w:pStyle w:val="Compact"/>
            </w:pPr>
            <w:r>
              <w:t xml:space="preserve">2024 (pico)</w:t>
            </w:r>
          </w:p>
        </w:tc>
        <w:tc>
          <w:tcPr/>
          <w:p>
            <w:pPr>
              <w:pStyle w:val="Compact"/>
            </w:pPr>
            <w:r>
              <w:t xml:space="preserve">111,4</w:t>
            </w:r>
          </w:p>
        </w:tc>
        <w:tc>
          <w:tcPr/>
          <w:p>
            <w:pPr>
              <w:pStyle w:val="Compact"/>
            </w:pPr>
            <w:r>
              <w:t xml:space="preserve">104,8</w:t>
            </w:r>
          </w:p>
        </w:tc>
        <w:tc>
          <w:tcPr/>
          <w:p>
            <w:pPr>
              <w:pStyle w:val="Compact"/>
            </w:pPr>
            <w:r>
              <w:t xml:space="preserve">+6,6</w:t>
            </w:r>
          </w:p>
        </w:tc>
      </w:tr>
      <w:tr>
        <w:tc>
          <w:tcPr/>
          <w:p>
            <w:pPr>
              <w:pStyle w:val="Compact"/>
            </w:pPr>
            <w:r>
              <w:t xml:space="preserve">2026</w:t>
            </w:r>
          </w:p>
        </w:tc>
        <w:tc>
          <w:tcPr/>
          <w:p>
            <w:pPr>
              <w:pStyle w:val="Compact"/>
            </w:pPr>
            <w:r>
              <w:t xml:space="preserve">98,3</w:t>
            </w:r>
          </w:p>
        </w:tc>
        <w:tc>
          <w:tcPr/>
          <w:p>
            <w:pPr>
              <w:pStyle w:val="Compact"/>
            </w:pPr>
            <w:r>
              <w:t xml:space="preserve">100,4</w:t>
            </w:r>
          </w:p>
        </w:tc>
        <w:tc>
          <w:tcPr/>
          <w:p>
            <w:pPr>
              <w:pStyle w:val="Compact"/>
            </w:pPr>
            <w:r>
              <w:t xml:space="preserve">−2,1</w:t>
            </w:r>
          </w:p>
        </w:tc>
      </w:tr>
    </w:tbl>
    <w:bookmarkEnd w:id="26"/>
    <w:bookmarkEnd w:id="27"/>
    <w:bookmarkStart w:id="39" w:name="sec-salarios"/>
    <w:p>
      <w:pPr>
        <w:pStyle w:val="Heading1"/>
      </w:pPr>
      <w:r>
        <w:t xml:space="preserve">4. Salarios</w:t>
      </w:r>
    </w:p>
    <w:bookmarkStart w:id="28" w:name="salario-nominal"/>
    <w:p>
      <w:pPr>
        <w:pStyle w:val="Heading2"/>
      </w:pPr>
      <w:r>
        <w:t xml:space="preserve">4.1 Salario nominal</w:t>
      </w:r>
    </w:p>
    <w:p>
      <w:pPr>
        <w:pStyle w:val="FirstParagraph"/>
      </w:pPr>
      <w:r>
        <w:t xml:space="preserve">En marzo de 2026 el salario promedio del trabajador registrado en La Rioja fue de $1.310.000, contra $2.210.000 en la Nación y $1.570.000 en el NOA.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Jurisdicción</w:t>
            </w:r>
          </w:p>
        </w:tc>
        <w:tc>
          <w:tcPr/>
          <w:p>
            <w:pPr>
              <w:pStyle w:val="Compact"/>
            </w:pPr>
            <w:r>
              <w:t xml:space="preserve">Marzo 2026</w:t>
            </w:r>
          </w:p>
        </w:tc>
        <w:tc>
          <w:tcPr/>
          <w:p>
            <w:pPr>
              <w:pStyle w:val="Compact"/>
            </w:pPr>
            <w:r>
              <w:t xml:space="preserve">Ratio vs Nación</w:t>
            </w:r>
          </w:p>
        </w:tc>
      </w:tr>
      <w:tr>
        <w:tc>
          <w:tcPr/>
          <w:p>
            <w:pPr>
              <w:pStyle w:val="Compact"/>
            </w:pPr>
            <w:r>
              <w:t xml:space="preserve">Nación</w:t>
            </w:r>
          </w:p>
        </w:tc>
        <w:tc>
          <w:tcPr/>
          <w:p>
            <w:pPr>
              <w:pStyle w:val="Compact"/>
            </w:pPr>
            <w:r>
              <w:t xml:space="preserve">$2,21 M</w:t>
            </w:r>
          </w:p>
        </w:tc>
        <w:tc>
          <w:tcPr/>
          <w:p>
            <w:pPr>
              <w:pStyle w:val="Compact"/>
            </w:pPr>
            <w:r>
              <w:t xml:space="preserve">1,00</w:t>
            </w:r>
          </w:p>
        </w:tc>
      </w:tr>
      <w:tr>
        <w:tc>
          <w:tcPr/>
          <w:p>
            <w:pPr>
              <w:pStyle w:val="Compact"/>
            </w:pPr>
            <w:r>
              <w:t xml:space="preserve">NOA</w:t>
            </w:r>
          </w:p>
        </w:tc>
        <w:tc>
          <w:tcPr/>
          <w:p>
            <w:pPr>
              <w:pStyle w:val="Compact"/>
            </w:pPr>
            <w:r>
              <w:t xml:space="preserve">$1,57 M</w:t>
            </w:r>
          </w:p>
        </w:tc>
        <w:tc>
          <w:tcPr/>
          <w:p>
            <w:pPr>
              <w:pStyle w:val="Compact"/>
            </w:pPr>
            <w:r>
              <w:t xml:space="preserve">0,71</w:t>
            </w:r>
          </w:p>
        </w:tc>
      </w:tr>
      <w:tr>
        <w:tc>
          <w:tcPr/>
          <w:p>
            <w:pPr>
              <w:pStyle w:val="Compact"/>
            </w:pPr>
            <w:r>
              <w:t xml:space="preserve">La Rioja</w:t>
            </w:r>
          </w:p>
        </w:tc>
        <w:tc>
          <w:tcPr/>
          <w:p>
            <w:pPr>
              <w:pStyle w:val="Compact"/>
            </w:pPr>
            <w:r>
              <w:t xml:space="preserve">$1,31 M</w:t>
            </w:r>
          </w:p>
        </w:tc>
        <w:tc>
          <w:tcPr/>
          <w:p>
            <w:pPr>
              <w:pStyle w:val="Compact"/>
            </w:pPr>
            <w:r>
              <w:t xml:space="preserve">0,59</w:t>
            </w:r>
          </w:p>
        </w:tc>
      </w:tr>
    </w:tbl>
    <w:bookmarkEnd w:id="28"/>
    <w:bookmarkStart w:id="33" w:name="salario-real"/>
    <w:p>
      <w:pPr>
        <w:pStyle w:val="Heading2"/>
      </w:pPr>
      <w:r>
        <w:t xml:space="preserve">4.2 Salario real</w:t>
      </w:r>
    </w:p>
    <w:tbl>
      <w:tblPr>
        <w:tblStyle w:val="Table"/>
        <w:tblW w:type="pct" w:w="5000"/>
        <w:tblLayout w:type="fixed"/>
        <w:tblLook w:firstRow="0" w:lastRow="0" w:firstColumn="0" w:lastColumn="0" w:noHBand="0" w:noVBand="0" w:val="0000"/>
      </w:tblPr>
      <w:tblGrid>
        <w:gridCol w:w="7920"/>
      </w:tblGrid>
      <w:tr>
        <w:tc>
          <w:tcPr/>
          <w:bookmarkStart w:id="32" w:name="fig-sal-real"/>
          <w:p>
            <w:pPr>
              <w:pStyle w:val="Compact"/>
              <w:jc w:val="center"/>
            </w:pPr>
            <w:r>
              <w:drawing>
                <wp:inline>
                  <wp:extent cx="5334000" cy="3012281"/>
                  <wp:effectExtent b="0" l="0" r="0" t="0"/>
                  <wp:docPr descr="" title="" id="30" name="Picture"/>
                  <a:graphic>
                    <a:graphicData uri="http://schemas.openxmlformats.org/drawingml/2006/picture">
                      <pic:pic>
                        <pic:nvPicPr>
                          <pic:cNvPr descr="figuras/F6_salario_real.png" id="31" name="Picture"/>
                          <pic:cNvPicPr>
                            <a:picLocks noChangeArrowheads="1" noChangeAspect="1"/>
                          </pic:cNvPicPr>
                        </pic:nvPicPr>
                        <pic:blipFill>
                          <a:blip r:embed="rId29"/>
                          <a:stretch>
                            <a:fillRect/>
                          </a:stretch>
                        </pic:blipFill>
                        <pic:spPr bwMode="auto">
                          <a:xfrm>
                            <a:off x="0" y="0"/>
                            <a:ext cx="5334000" cy="3012281"/>
                          </a:xfrm>
                          <a:prstGeom prst="rect">
                            <a:avLst/>
                          </a:prstGeom>
                          <a:noFill/>
                          <a:ln w="9525">
                            <a:noFill/>
                            <a:headEnd/>
                            <a:tailEnd/>
                          </a:ln>
                        </pic:spPr>
                      </pic:pic>
                    </a:graphicData>
                  </a:graphic>
                </wp:inline>
              </w:drawing>
            </w:r>
          </w:p>
          <w:p>
            <w:pPr>
              <w:jc w:val="center"/>
            </w:pPr>
            <w:pPr>
              <w:jc w:val="left"/>
              <w:spacing w:before="200"/>
              <w:pStyle w:val="ImageCaption"/>
            </w:pPr>
            <w:r>
              <w:t xml:space="preserve">Figura 3: Salario real de La Rioja deflactado por IPC NOA (base 2017 = 100). El piso de 2024 (64,7) es el más bajo desde el inicio de la serie.</w:t>
            </w:r>
          </w:p>
          <w:bookmarkEnd w:id="32"/>
        </w:tc>
      </w:tr>
    </w:tbl>
    <w:p>
      <w:pPr>
        <w:pStyle w:val="BodyText"/>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Año</w:t>
            </w:r>
          </w:p>
        </w:tc>
        <w:tc>
          <w:tcPr/>
          <w:p>
            <w:pPr>
              <w:pStyle w:val="Compact"/>
            </w:pPr>
            <w:r>
              <w:t xml:space="preserve">Índice (2017 = 100)</w:t>
            </w:r>
          </w:p>
        </w:tc>
      </w:tr>
      <w:tr>
        <w:tc>
          <w:tcPr/>
          <w:p>
            <w:pPr>
              <w:pStyle w:val="Compact"/>
            </w:pPr>
            <w:r>
              <w:t xml:space="preserve">2017</w:t>
            </w:r>
          </w:p>
        </w:tc>
        <w:tc>
          <w:tcPr/>
          <w:p>
            <w:pPr>
              <w:pStyle w:val="Compact"/>
            </w:pPr>
            <w:r>
              <w:t xml:space="preserve">100,0</w:t>
            </w:r>
          </w:p>
        </w:tc>
      </w:tr>
      <w:tr>
        <w:tc>
          <w:tcPr/>
          <w:p>
            <w:pPr>
              <w:pStyle w:val="Compact"/>
            </w:pPr>
            <w:r>
              <w:t xml:space="preserve">2019</w:t>
            </w:r>
          </w:p>
        </w:tc>
        <w:tc>
          <w:tcPr/>
          <w:p>
            <w:pPr>
              <w:pStyle w:val="Compact"/>
            </w:pPr>
            <w:r>
              <w:t xml:space="preserve">92,4</w:t>
            </w:r>
          </w:p>
        </w:tc>
      </w:tr>
      <w:tr>
        <w:tc>
          <w:tcPr/>
          <w:p>
            <w:pPr>
              <w:pStyle w:val="Compact"/>
            </w:pPr>
            <w:r>
              <w:t xml:space="preserve">2021</w:t>
            </w:r>
          </w:p>
        </w:tc>
        <w:tc>
          <w:tcPr/>
          <w:p>
            <w:pPr>
              <w:pStyle w:val="Compact"/>
            </w:pPr>
            <w:r>
              <w:t xml:space="preserve">84,1</w:t>
            </w:r>
          </w:p>
        </w:tc>
      </w:tr>
      <w:tr>
        <w:tc>
          <w:tcPr/>
          <w:p>
            <w:pPr>
              <w:pStyle w:val="Compact"/>
            </w:pPr>
            <w:r>
              <w:t xml:space="preserve">2023</w:t>
            </w:r>
          </w:p>
        </w:tc>
        <w:tc>
          <w:tcPr/>
          <w:p>
            <w:pPr>
              <w:pStyle w:val="Compact"/>
            </w:pPr>
            <w:r>
              <w:t xml:space="preserve">71,8</w:t>
            </w:r>
          </w:p>
        </w:tc>
      </w:tr>
      <w:tr>
        <w:tc>
          <w:tcPr/>
          <w:p>
            <w:pPr>
              <w:pStyle w:val="Compact"/>
            </w:pPr>
            <w:r>
              <w:t xml:space="preserve">2024 (piso)</w:t>
            </w:r>
          </w:p>
        </w:tc>
        <w:tc>
          <w:tcPr/>
          <w:p>
            <w:pPr>
              <w:pStyle w:val="Compact"/>
            </w:pPr>
            <w:r>
              <w:t xml:space="preserve">64,7</w:t>
            </w:r>
          </w:p>
        </w:tc>
      </w:tr>
      <w:tr>
        <w:tc>
          <w:tcPr/>
          <w:p>
            <w:pPr>
              <w:pStyle w:val="Compact"/>
            </w:pPr>
            <w:r>
              <w:t xml:space="preserve">2025</w:t>
            </w:r>
          </w:p>
        </w:tc>
        <w:tc>
          <w:tcPr/>
          <w:p>
            <w:pPr>
              <w:pStyle w:val="Compact"/>
            </w:pPr>
            <w:r>
              <w:t xml:space="preserve">79,8</w:t>
            </w:r>
          </w:p>
        </w:tc>
      </w:tr>
    </w:tbl>
    <w:p>
      <w:pPr>
        <w:pStyle w:val="BodyText"/>
      </w:pPr>
      <w:r>
        <w:t xml:space="preserve">La caída total 2017–2024 fue del −35,3%; la recuperación 2024–2025 recuperó 15,1 puntos, aunque el nivel sigue 20 puntos por debajo del punto de partida.</w:t>
      </w:r>
    </w:p>
    <w:bookmarkEnd w:id="33"/>
    <w:bookmarkStart w:id="38" w:name="ratio-salarial-provincial-nacional"/>
    <w:p>
      <w:pPr>
        <w:pStyle w:val="Heading2"/>
      </w:pPr>
      <w:r>
        <w:t xml:space="preserve">4.3 Ratio salarial provincial / nacional</w:t>
      </w:r>
    </w:p>
    <w:tbl>
      <w:tblPr>
        <w:tblStyle w:val="Table"/>
        <w:tblW w:type="pct" w:w="5000"/>
        <w:tblLayout w:type="fixed"/>
        <w:tblLook w:firstRow="0" w:lastRow="0" w:firstColumn="0" w:lastColumn="0" w:noHBand="0" w:noVBand="0" w:val="0000"/>
      </w:tblPr>
      <w:tblGrid>
        <w:gridCol w:w="7920"/>
      </w:tblGrid>
      <w:tr>
        <w:tc>
          <w:tcPr/>
          <w:bookmarkStart w:id="37" w:name="fig-ratio-sal"/>
          <w:p>
            <w:pPr>
              <w:pStyle w:val="Compact"/>
              <w:jc w:val="center"/>
            </w:pPr>
            <w:r>
              <w:drawing>
                <wp:inline>
                  <wp:extent cx="5334000" cy="3016770"/>
                  <wp:effectExtent b="0" l="0" r="0" t="0"/>
                  <wp:docPr descr="" title="" id="35" name="Picture"/>
                  <a:graphic>
                    <a:graphicData uri="http://schemas.openxmlformats.org/drawingml/2006/picture">
                      <pic:pic>
                        <pic:nvPicPr>
                          <pic:cNvPr descr="figuras/F7_ratio_salarial.png" id="36" name="Picture"/>
                          <pic:cNvPicPr>
                            <a:picLocks noChangeArrowheads="1" noChangeAspect="1"/>
                          </pic:cNvPicPr>
                        </pic:nvPicPr>
                        <pic:blipFill>
                          <a:blip r:embed="rId34"/>
                          <a:stretch>
                            <a:fillRect/>
                          </a:stretch>
                        </pic:blipFill>
                        <pic:spPr bwMode="auto">
                          <a:xfrm>
                            <a:off x="0" y="0"/>
                            <a:ext cx="5334000" cy="301677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Ratio entre el salario promedio de La Rioja y el de la Nación. Un valor de 0,59 indica que un trabajador riojano gana 59 centavos por cada peso del promedio nacional.</w:t>
            </w:r>
          </w:p>
          <w:bookmarkEnd w:id="37"/>
        </w:tc>
      </w:tr>
    </w:tbl>
    <w:p>
      <w:pPr>
        <w:pStyle w:val="BodyText"/>
      </w:pPr>
      <w:r>
        <w:t xml:space="preserve">El ratio pasó de 0,72 en 2019 a 0,59 en 2026: 13 puntos de deterioro relativo en siete años.</w:t>
      </w:r>
    </w:p>
    <w:bookmarkEnd w:id="38"/>
    <w:bookmarkEnd w:id="39"/>
    <w:bookmarkStart w:id="72" w:name="sec-recaudacion-ec"/>
    <w:p>
      <w:pPr>
        <w:pStyle w:val="Heading1"/>
      </w:pPr>
      <w:r>
        <w:t xml:space="preserve">5. Recaudación EC</w:t>
      </w:r>
    </w:p>
    <w:bookmarkStart w:id="42" w:name="definición-y-método"/>
    <w:p>
      <w:pPr>
        <w:pStyle w:val="Heading2"/>
      </w:pPr>
      <w:r>
        <w:t xml:space="preserve">5.1 Definición y método</w:t>
      </w:r>
    </w:p>
    <w:p>
      <w:pPr>
        <w:pStyle w:val="FirstParagraph"/>
      </w:pPr>
      <w:r>
        <w:t xml:space="preserve">La</w:t>
      </w:r>
      <w:r>
        <w:t xml:space="preserve"> </w:t>
      </w:r>
      <w:r>
        <w:rPr>
          <w:b/>
          <w:bCs/>
        </w:rPr>
        <w:t xml:space="preserve">Recaudación EC</w:t>
      </w:r>
      <w:r>
        <w:t xml:space="preserve"> </w:t>
      </w:r>
      <w:r>
        <w:t xml:space="preserve">es la porción de</w:t>
      </w:r>
      <w:r>
        <w:t xml:space="preserve"> </w:t>
      </w:r>
      <w:r>
        <w:rPr>
          <w:b/>
          <w:bCs/>
        </w:rPr>
        <w:t xml:space="preserve">Ingresos Brutos (II.BB)</w:t>
      </w:r>
      <w:r>
        <w:t xml:space="preserve"> </w:t>
      </w:r>
      <w:r>
        <w:t xml:space="preserve">provincial correspondiente a las actividades de Economía del Conocimiento definidas en el apartado</w:t>
      </w:r>
      <w:r>
        <w:t xml:space="preserve"> </w:t>
      </w:r>
      <w:hyperlink w:anchor="sec-ec">
        <w:r>
          <w:rPr>
            <w:rStyle w:val="Hyperlink"/>
          </w:rPr>
          <w:t xml:space="preserve">Actividades de Economía del Conocimiento</w:t>
        </w:r>
      </w:hyperlink>
      <w:r>
        <w:t xml:space="preserve">.</w:t>
      </w:r>
      <w:r>
        <w:t xml:space="preserve"> </w:t>
      </w:r>
      <w:r>
        <w:rPr>
          <w:b/>
          <w:bCs/>
        </w:rPr>
        <w:t xml:space="preserve">No es un impuesto separado</w:t>
      </w:r>
      <w:r>
        <w:t xml:space="preserve">: se recauda a través del régimen general de II.BB, con tratamiento específico bajo el régimen de Economía del Conocimiento.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C:\Users\HP\AppData\Local\Programs\Quarto\share\formats\docx\note.png" id="4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Fuentes.</w:t>
            </w:r>
            <w:r>
              <w:t xml:space="preserve"> </w:t>
            </w:r>
            <w:r>
              <w:t xml:space="preserve">- Serie de II.BB provincial: DNAP/CEPA,</w:t>
            </w:r>
            <w:r>
              <w:t xml:space="preserve"> </w:t>
            </w:r>
            <w:r>
              <w:rPr>
                <w:i/>
                <w:iCs/>
              </w:rPr>
              <w:t xml:space="preserve">Series de Recaudación Provincial</w:t>
            </w:r>
            <w:r>
              <w:t xml:space="preserve"> </w:t>
            </w:r>
            <w:r>
              <w:t xml:space="preserve">(actualizado 11/09/2026).</w:t>
            </w:r>
            <w:r>
              <w:t xml:space="preserve"> </w:t>
            </w:r>
            <w:r>
              <w:t xml:space="preserve">- Serie de Recaudación EC: DGIP La Rioja, padrón de contribuyentes por régimen (2022-2025).</w:t>
            </w:r>
            <w:r>
              <w:t xml:space="preserve"> </w:t>
            </w:r>
            <w:r>
              <w:t xml:space="preserve">- Análisis consolidado:</w:t>
            </w:r>
            <w:r>
              <w:t xml:space="preserve"> </w:t>
            </w:r>
            <w:r>
              <w:rPr>
                <w:rStyle w:val="VerbatimChar"/>
              </w:rPr>
              <w:t xml:space="preserve">src/recaudacion_ec.py</w:t>
            </w:r>
            <w:r>
              <w:t xml:space="preserve">.</w:t>
            </w:r>
          </w:p>
          <w:p/>
        </w:tc>
      </w:tr>
    </w:tbl>
    <w:bookmarkEnd w:id="42"/>
    <w:bookmarkStart w:id="43" w:name="serie-2022-2025"/>
    <w:p>
      <w:pPr>
        <w:pStyle w:val="Heading2"/>
      </w:pPr>
      <w:r>
        <w:t xml:space="preserve">5.2 Serie 2022-2025</w:t>
      </w:r>
    </w:p>
    <w:tbl>
      <w:tblPr>
        <w:tblStyle w:val="Table"/>
        <w:tblW w:type="pct" w:w="5000"/>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Año</w:t>
            </w:r>
          </w:p>
        </w:tc>
        <w:tc>
          <w:tcPr/>
          <w:p>
            <w:pPr>
              <w:pStyle w:val="Compact"/>
              <w:jc w:val="right"/>
            </w:pPr>
            <w:r>
              <w:t xml:space="preserve">Contrib. Multilateral</w:t>
            </w:r>
          </w:p>
        </w:tc>
        <w:tc>
          <w:tcPr/>
          <w:p>
            <w:pPr>
              <w:pStyle w:val="Compact"/>
              <w:jc w:val="right"/>
            </w:pPr>
            <w:r>
              <w:t xml:space="preserve">Contrib. Locales</w:t>
            </w:r>
          </w:p>
        </w:tc>
        <w:tc>
          <w:tcPr/>
          <w:p>
            <w:pPr>
              <w:pStyle w:val="Compact"/>
              <w:jc w:val="right"/>
            </w:pPr>
            <w:r>
              <w:t xml:space="preserve">Recaudación EC</w:t>
            </w:r>
          </w:p>
        </w:tc>
        <w:tc>
          <w:tcPr/>
          <w:p>
            <w:pPr>
              <w:pStyle w:val="Compact"/>
              <w:jc w:val="right"/>
            </w:pPr>
            <w:r>
              <w:t xml:space="preserve">II.BB total</w:t>
            </w:r>
          </w:p>
        </w:tc>
        <w:tc>
          <w:tcPr/>
          <w:p>
            <w:pPr>
              <w:pStyle w:val="Compact"/>
              <w:jc w:val="right"/>
            </w:pPr>
            <w:r>
              <w:t xml:space="preserve">Share EC</w:t>
            </w:r>
          </w:p>
        </w:tc>
      </w:tr>
      <w:tr>
        <w:tc>
          <w:tcPr/>
          <w:p>
            <w:pPr>
              <w:pStyle w:val="Compact"/>
              <w:jc w:val="center"/>
            </w:pPr>
            <w:r>
              <w:t xml:space="preserve">2022</w:t>
            </w:r>
          </w:p>
        </w:tc>
        <w:tc>
          <w:tcPr/>
          <w:p>
            <w:pPr>
              <w:pStyle w:val="Compact"/>
              <w:jc w:val="right"/>
            </w:pPr>
            <w:r>
              <w:t xml:space="preserve">1.752</w:t>
            </w:r>
          </w:p>
        </w:tc>
        <w:tc>
          <w:tcPr/>
          <w:p>
            <w:pPr>
              <w:pStyle w:val="Compact"/>
              <w:jc w:val="right"/>
            </w:pPr>
            <w:r>
              <w:t xml:space="preserve">1.138</w:t>
            </w:r>
          </w:p>
        </w:tc>
        <w:tc>
          <w:tcPr/>
          <w:p>
            <w:pPr>
              <w:pStyle w:val="Compact"/>
              <w:jc w:val="right"/>
            </w:pPr>
            <w:r>
              <w:t xml:space="preserve">$58,99 M</w:t>
            </w:r>
          </w:p>
        </w:tc>
        <w:tc>
          <w:tcPr/>
          <w:p>
            <w:pPr>
              <w:pStyle w:val="Compact"/>
              <w:jc w:val="right"/>
            </w:pPr>
            <w:r>
              <w:t xml:space="preserve">$11.588,96 M</w:t>
            </w:r>
          </w:p>
        </w:tc>
        <w:tc>
          <w:tcPr/>
          <w:p>
            <w:pPr>
              <w:pStyle w:val="Compact"/>
              <w:jc w:val="right"/>
            </w:pPr>
            <w:r>
              <w:rPr>
                <w:b/>
                <w:bCs/>
              </w:rPr>
              <w:t xml:space="preserve">0,51%</w:t>
            </w:r>
          </w:p>
        </w:tc>
      </w:tr>
      <w:tr>
        <w:tc>
          <w:tcPr/>
          <w:p>
            <w:pPr>
              <w:pStyle w:val="Compact"/>
              <w:jc w:val="center"/>
            </w:pPr>
            <w:r>
              <w:t xml:space="preserve">2023</w:t>
            </w:r>
          </w:p>
        </w:tc>
        <w:tc>
          <w:tcPr/>
          <w:p>
            <w:pPr>
              <w:pStyle w:val="Compact"/>
              <w:jc w:val="right"/>
            </w:pPr>
            <w:r>
              <w:t xml:space="preserve">1.911</w:t>
            </w:r>
          </w:p>
        </w:tc>
        <w:tc>
          <w:tcPr/>
          <w:p>
            <w:pPr>
              <w:pStyle w:val="Compact"/>
              <w:jc w:val="right"/>
            </w:pPr>
            <w:r>
              <w:t xml:space="preserve">1.060</w:t>
            </w:r>
          </w:p>
        </w:tc>
        <w:tc>
          <w:tcPr/>
          <w:p>
            <w:pPr>
              <w:pStyle w:val="Compact"/>
              <w:jc w:val="right"/>
            </w:pPr>
            <w:r>
              <w:t xml:space="preserve">$243,01 M</w:t>
            </w:r>
          </w:p>
        </w:tc>
        <w:tc>
          <w:tcPr/>
          <w:p>
            <w:pPr>
              <w:pStyle w:val="Compact"/>
              <w:jc w:val="right"/>
            </w:pPr>
            <w:r>
              <w:t xml:space="preserve">$26.779,40 M</w:t>
            </w:r>
          </w:p>
        </w:tc>
        <w:tc>
          <w:tcPr/>
          <w:p>
            <w:pPr>
              <w:pStyle w:val="Compact"/>
              <w:jc w:val="right"/>
            </w:pPr>
            <w:r>
              <w:rPr>
                <w:b/>
                <w:bCs/>
              </w:rPr>
              <w:t xml:space="preserve">0,91%</w:t>
            </w:r>
          </w:p>
        </w:tc>
      </w:tr>
      <w:tr>
        <w:tc>
          <w:tcPr/>
          <w:p>
            <w:pPr>
              <w:pStyle w:val="Compact"/>
              <w:jc w:val="center"/>
            </w:pPr>
            <w:r>
              <w:t xml:space="preserve">2024</w:t>
            </w:r>
          </w:p>
        </w:tc>
        <w:tc>
          <w:tcPr/>
          <w:p>
            <w:pPr>
              <w:pStyle w:val="Compact"/>
              <w:jc w:val="right"/>
            </w:pPr>
            <w:r>
              <w:t xml:space="preserve">1.947</w:t>
            </w:r>
          </w:p>
        </w:tc>
        <w:tc>
          <w:tcPr/>
          <w:p>
            <w:pPr>
              <w:pStyle w:val="Compact"/>
              <w:jc w:val="right"/>
            </w:pPr>
            <w:r>
              <w:t xml:space="preserve">844</w:t>
            </w:r>
          </w:p>
        </w:tc>
        <w:tc>
          <w:tcPr/>
          <w:p>
            <w:pPr>
              <w:pStyle w:val="Compact"/>
              <w:jc w:val="right"/>
            </w:pPr>
            <w:r>
              <w:t xml:space="preserve">$846,13 M</w:t>
            </w:r>
          </w:p>
        </w:tc>
        <w:tc>
          <w:tcPr/>
          <w:p>
            <w:pPr>
              <w:pStyle w:val="Compact"/>
              <w:jc w:val="right"/>
            </w:pPr>
            <w:r>
              <w:t xml:space="preserve">$83.422,68 M</w:t>
            </w:r>
          </w:p>
        </w:tc>
        <w:tc>
          <w:tcPr/>
          <w:p>
            <w:pPr>
              <w:pStyle w:val="Compact"/>
              <w:jc w:val="right"/>
            </w:pPr>
            <w:r>
              <w:rPr>
                <w:b/>
                <w:bCs/>
              </w:rPr>
              <w:t xml:space="preserve">1,01%</w:t>
            </w:r>
          </w:p>
        </w:tc>
      </w:tr>
      <w:tr>
        <w:tc>
          <w:tcPr/>
          <w:p>
            <w:pPr>
              <w:pStyle w:val="Compact"/>
              <w:jc w:val="center"/>
            </w:pPr>
            <w:r>
              <w:t xml:space="preserve">2025</w:t>
            </w:r>
          </w:p>
        </w:tc>
        <w:tc>
          <w:tcPr/>
          <w:p>
            <w:pPr>
              <w:pStyle w:val="Compact"/>
              <w:jc w:val="right"/>
            </w:pPr>
            <w:r>
              <w:t xml:space="preserve">2.075</w:t>
            </w:r>
          </w:p>
        </w:tc>
        <w:tc>
          <w:tcPr/>
          <w:p>
            <w:pPr>
              <w:pStyle w:val="Compact"/>
              <w:jc w:val="right"/>
            </w:pPr>
            <w:r>
              <w:t xml:space="preserve">840</w:t>
            </w:r>
          </w:p>
        </w:tc>
        <w:tc>
          <w:tcPr/>
          <w:p>
            <w:pPr>
              <w:pStyle w:val="Compact"/>
              <w:jc w:val="right"/>
            </w:pPr>
            <w:r>
              <w:rPr>
                <w:b/>
                <w:bCs/>
              </w:rPr>
              <w:t xml:space="preserve">$1.940,91 M</w:t>
            </w:r>
          </w:p>
        </w:tc>
        <w:tc>
          <w:tcPr/>
          <w:p>
            <w:pPr>
              <w:pStyle w:val="Compact"/>
              <w:jc w:val="right"/>
            </w:pPr>
            <w:r>
              <w:rPr>
                <w:b/>
                <w:bCs/>
              </w:rPr>
              <w:t xml:space="preserve">$125.549,36 M</w:t>
            </w:r>
          </w:p>
        </w:tc>
        <w:tc>
          <w:tcPr/>
          <w:p>
            <w:pPr>
              <w:pStyle w:val="Compact"/>
              <w:jc w:val="right"/>
            </w:pPr>
            <w:r>
              <w:rPr>
                <w:b/>
                <w:bCs/>
              </w:rPr>
              <w:t xml:space="preserve">1,55%</w:t>
            </w:r>
          </w:p>
        </w:tc>
      </w:tr>
    </w:tbl>
    <w:p>
      <w:pPr>
        <w:pStyle w:val="BodyText"/>
      </w:pPr>
      <w:r>
        <w:rPr>
          <w:b/>
          <w:bCs/>
        </w:rPr>
        <w:t xml:space="preserve">Fuente:</w:t>
      </w:r>
      <w:r>
        <w:t xml:space="preserve"> </w:t>
      </w:r>
      <w:r>
        <w:t xml:space="preserve">DGIP La Rioja + DNAP/CEPA. II.BB en millones de pesos corrientes.</w:t>
      </w:r>
    </w:p>
    <w:bookmarkEnd w:id="43"/>
    <w:bookmarkStart w:id="48" w:name="dinámica-comparada-ec-vs.-ii.bb-total"/>
    <w:p>
      <w:pPr>
        <w:pStyle w:val="Heading2"/>
      </w:pPr>
      <w:r>
        <w:t xml:space="preserve">5.3 Dinámica comparada: EC vs. II.BB total</w:t>
      </w:r>
    </w:p>
    <w:p>
      <w:pPr>
        <w:pStyle w:val="FirstParagraph"/>
      </w:pPr>
      <w:r>
        <w:t xml:space="preserve">Entre 2022 y 2025, ambos agregados crecieron en términos nominales, pero a ritmos muy distintos:</w:t>
      </w:r>
    </w:p>
    <w:p>
      <w:pPr>
        <w:pStyle w:val="Compact"/>
        <w:numPr>
          <w:ilvl w:val="0"/>
          <w:numId w:val="1003"/>
        </w:numPr>
      </w:pPr>
      <w:r>
        <w:rPr>
          <w:b/>
          <w:bCs/>
        </w:rPr>
        <w:t xml:space="preserve">Recaudación EC:</w:t>
      </w:r>
      <w:r>
        <w:t xml:space="preserve"> </w:t>
      </w:r>
      <w:r>
        <w:t xml:space="preserve">×32,9 ($58,99 M → $1.940,91 M)</w:t>
      </w:r>
    </w:p>
    <w:p>
      <w:pPr>
        <w:pStyle w:val="Compact"/>
        <w:numPr>
          <w:ilvl w:val="0"/>
          <w:numId w:val="1003"/>
        </w:numPr>
      </w:pPr>
      <w:r>
        <w:rPr>
          <w:b/>
          <w:bCs/>
        </w:rPr>
        <w:t xml:space="preserve">II.BB total:</w:t>
      </w:r>
      <w:r>
        <w:t xml:space="preserve"> </w:t>
      </w:r>
      <w:r>
        <w:t xml:space="preserve">×10,8 ($11.588,96 M → $125.549,36 M)</w:t>
      </w:r>
    </w:p>
    <w:p>
      <w:pPr>
        <w:pStyle w:val="Compact"/>
        <w:numPr>
          <w:ilvl w:val="0"/>
          <w:numId w:val="1003"/>
        </w:numPr>
      </w:pPr>
      <w:r>
        <w:rPr>
          <w:b/>
          <w:bCs/>
        </w:rPr>
        <w:t xml:space="preserve">Ratio de crecimiento:</w:t>
      </w:r>
      <w:r>
        <w:t xml:space="preserve"> </w:t>
      </w:r>
      <w:r>
        <w:t xml:space="preserve">el EC crece</w:t>
      </w:r>
      <w:r>
        <w:t xml:space="preserve"> </w:t>
      </w:r>
      <w:r>
        <w:rPr>
          <w:b/>
          <w:bCs/>
        </w:rPr>
        <w:t xml:space="preserve">3,0 veces más rápido</w:t>
      </w:r>
      <w:r>
        <w:t xml:space="preserve"> </w:t>
      </w:r>
      <w:r>
        <w:t xml:space="preserve">que la base total</w:t>
      </w:r>
    </w:p>
    <w:tbl>
      <w:tblPr>
        <w:tblStyle w:val="Table"/>
        <w:tblW w:type="pct" w:w="5000"/>
        <w:tblLayout w:type="fixed"/>
        <w:tblLook w:firstRow="0" w:lastRow="0" w:firstColumn="0" w:lastColumn="0" w:noHBand="0" w:noVBand="0" w:val="0000"/>
      </w:tblPr>
      <w:tblGrid>
        <w:gridCol w:w="7920"/>
      </w:tblGrid>
      <w:tr>
        <w:tc>
          <w:tcPr/>
          <w:bookmarkStart w:id="47" w:name="fig-rec-ec-vs-iibb"/>
          <w:p>
            <w:pPr>
              <w:pStyle w:val="Compact"/>
              <w:jc w:val="center"/>
            </w:pPr>
            <w:r>
              <w:drawing>
                <wp:inline>
                  <wp:extent cx="5334000" cy="2456605"/>
                  <wp:effectExtent b="0" l="0" r="0" t="0"/>
                  <wp:docPr descr="" title="" id="45" name="Picture"/>
                  <a:graphic>
                    <a:graphicData uri="http://schemas.openxmlformats.org/drawingml/2006/picture">
                      <pic:pic>
                        <pic:nvPicPr>
                          <pic:cNvPr descr="figuras/F20_recaudacion_ec_vs_iibb.png" id="46" name="Picture"/>
                          <pic:cNvPicPr>
                            <a:picLocks noChangeArrowheads="1" noChangeAspect="1"/>
                          </pic:cNvPicPr>
                        </pic:nvPicPr>
                        <pic:blipFill>
                          <a:blip r:embed="rId44"/>
                          <a:stretch>
                            <a:fillRect/>
                          </a:stretch>
                        </pic:blipFill>
                        <pic:spPr bwMode="auto">
                          <a:xfrm>
                            <a:off x="0" y="0"/>
                            <a:ext cx="5334000" cy="2456605"/>
                          </a:xfrm>
                          <a:prstGeom prst="rect">
                            <a:avLst/>
                          </a:prstGeom>
                          <a:noFill/>
                          <a:ln w="9525">
                            <a:noFill/>
                            <a:headEnd/>
                            <a:tailEnd/>
                          </a:ln>
                        </pic:spPr>
                      </pic:pic>
                    </a:graphicData>
                  </a:graphic>
                </wp:inline>
              </w:drawing>
            </w:r>
          </w:p>
          <w:p>
            <w:pPr>
              <w:jc w:val="center"/>
            </w:pPr>
            <w:pPr>
              <w:jc w:val="left"/>
              <w:spacing w:before="200"/>
              <w:pStyle w:val="ImageCaption"/>
            </w:pPr>
            <w:r>
              <w:t xml:space="preserve">Figura 5: Recaudación EC vs. Ingresos Brutos totales — La Rioja 2022-2025. Barras: II.BB en eje izquierdo. Línea: Recaudación EC en eje derecho (escala logarítmica). Fuente: DGIP La Rioja + DNAP/CEPA.</w:t>
            </w:r>
          </w:p>
          <w:bookmarkEnd w:id="47"/>
        </w:tc>
      </w:tr>
    </w:tbl>
    <w:bookmarkEnd w:id="48"/>
    <w:bookmarkStart w:id="56" w:name="peso-del-ec-sobre-ii.bb"/>
    <w:p>
      <w:pPr>
        <w:pStyle w:val="Heading2"/>
      </w:pPr>
      <w:r>
        <w:t xml:space="preserve">5.4 Peso del EC sobre II.BB</w:t>
      </w:r>
    </w:p>
    <w:p>
      <w:pPr>
        <w:pStyle w:val="FirstParagraph"/>
      </w:pPr>
      <w:r>
        <w:t xml:space="preserve">El share del EC sobre la base imponible provincial pasó de</w:t>
      </w:r>
      <w:r>
        <w:t xml:space="preserve"> </w:t>
      </w:r>
      <w:r>
        <w:rPr>
          <w:b/>
          <w:bCs/>
        </w:rPr>
        <w:t xml:space="preserve">0,51% (2022)</w:t>
      </w:r>
      <w:r>
        <w:t xml:space="preserve"> </w:t>
      </w:r>
      <w:r>
        <w:t xml:space="preserve">a</w:t>
      </w:r>
      <w:r>
        <w:t xml:space="preserve"> </w:t>
      </w:r>
      <w:r>
        <w:rPr>
          <w:b/>
          <w:bCs/>
        </w:rPr>
        <w:t xml:space="preserve">1,55% (2025)</w:t>
      </w:r>
      <w:r>
        <w:t xml:space="preserve">, un crecimiento de</w:t>
      </w:r>
      <w:r>
        <w:t xml:space="preserve"> </w:t>
      </w:r>
      <w:r>
        <w:rPr>
          <w:b/>
          <w:bCs/>
        </w:rPr>
        <w:t xml:space="preserve">×3,0 en cuatro años</w:t>
      </w:r>
      <w:r>
        <w:t xml:space="preserve">.</w:t>
      </w:r>
    </w:p>
    <w:tbl>
      <w:tblPr>
        <w:tblStyle w:val="Table"/>
        <w:tblW w:type="pct" w:w="5000"/>
        <w:tblLayout w:type="fixed"/>
        <w:tblLook w:firstRow="0" w:lastRow="0" w:firstColumn="0" w:lastColumn="0" w:noHBand="0" w:noVBand="0" w:val="0000"/>
      </w:tblPr>
      <w:tblGrid>
        <w:gridCol w:w="7920"/>
      </w:tblGrid>
      <w:tr>
        <w:tc>
          <w:tcPr/>
          <w:bookmarkStart w:id="52" w:name="fig-share-ec"/>
          <w:p>
            <w:pPr>
              <w:pStyle w:val="Compact"/>
              <w:jc w:val="center"/>
            </w:pPr>
            <w:r>
              <w:drawing>
                <wp:inline>
                  <wp:extent cx="5334000" cy="2626454"/>
                  <wp:effectExtent b="0" l="0" r="0" t="0"/>
                  <wp:docPr descr="" title="" id="50" name="Picture"/>
                  <a:graphic>
                    <a:graphicData uri="http://schemas.openxmlformats.org/drawingml/2006/picture">
                      <pic:pic>
                        <pic:nvPicPr>
                          <pic:cNvPr descr="figuras/F21_share_ec_iibb.png" id="51" name="Picture"/>
                          <pic:cNvPicPr>
                            <a:picLocks noChangeArrowheads="1" noChangeAspect="1"/>
                          </pic:cNvPicPr>
                        </pic:nvPicPr>
                        <pic:blipFill>
                          <a:blip r:embed="rId49"/>
                          <a:stretch>
                            <a:fillRect/>
                          </a:stretch>
                        </pic:blipFill>
                        <pic:spPr bwMode="auto">
                          <a:xfrm>
                            <a:off x="0" y="0"/>
                            <a:ext cx="5334000" cy="2626454"/>
                          </a:xfrm>
                          <a:prstGeom prst="rect">
                            <a:avLst/>
                          </a:prstGeom>
                          <a:noFill/>
                          <a:ln w="9525">
                            <a:noFill/>
                            <a:headEnd/>
                            <a:tailEnd/>
                          </a:ln>
                        </pic:spPr>
                      </pic:pic>
                    </a:graphicData>
                  </a:graphic>
                </wp:inline>
              </w:drawing>
            </w:r>
          </w:p>
          <w:p>
            <w:pPr>
              <w:jc w:val="center"/>
            </w:pPr>
            <w:pPr>
              <w:jc w:val="left"/>
              <w:spacing w:before="200"/>
              <w:pStyle w:val="ImageCaption"/>
            </w:pPr>
            <w:r>
              <w:t xml:space="preserve">Figura 6: Peso de la Recaudación EC sobre Ingresos Brutos — La Rioja 2022-2025. La participación se triplicó en cuatro años, aunque aún representa una porción minoritaria de la base imponible. Fuente: DGIP La Rioja + DNAP/CEPA.</w:t>
            </w:r>
          </w:p>
          <w:bookmarkEnd w:id="52"/>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C:\Users\HP\AppData\Local\Programs\Quarto\share\formats\docx\important.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after="16"/>
            </w:pPr>
            <w:r>
              <w:rPr>
                <w:b/>
                <w:bCs/>
              </w:rPr>
              <w:t xml:space="preserve">Hallazgo principal.</w:t>
            </w:r>
            <w:r>
              <w:t xml:space="preserve"> </w:t>
            </w:r>
            <w:r>
              <w:t xml:space="preserve">La Recaudación EC crece a un ritmo</w:t>
            </w:r>
            <w:r>
              <w:t xml:space="preserve"> </w:t>
            </w:r>
            <w:r>
              <w:rPr>
                <w:b/>
                <w:bCs/>
              </w:rPr>
              <w:t xml:space="preserve">3 veces superior</w:t>
            </w:r>
            <w:r>
              <w:t xml:space="preserve"> </w:t>
            </w:r>
            <w:r>
              <w:t xml:space="preserve">al del II.BB total. Sin embargo, su peso sobre la base imponible todavía es bajo (1,55%). Duplicarlo requeriría sostener el ritmo de crecimiento por varios años más.</w:t>
            </w:r>
          </w:p>
          <w:p/>
        </w:tc>
      </w:tr>
    </w:tbl>
    <w:bookmarkEnd w:id="56"/>
    <w:bookmarkStart w:id="61" w:name="crecimiento-comparado-índice-2022-100"/>
    <w:p>
      <w:pPr>
        <w:pStyle w:val="Heading2"/>
      </w:pPr>
      <w:r>
        <w:t xml:space="preserve">5.5 Crecimiento comparado (índice 2022 = 100)</w:t>
      </w:r>
    </w:p>
    <w:tbl>
      <w:tblPr>
        <w:tblStyle w:val="Table"/>
        <w:tblW w:type="pct" w:w="5000"/>
        <w:tblLayout w:type="fixed"/>
        <w:tblLook w:firstRow="0" w:lastRow="0" w:firstColumn="0" w:lastColumn="0" w:noHBand="0" w:noVBand="0" w:val="0000"/>
      </w:tblPr>
      <w:tblGrid>
        <w:gridCol w:w="7920"/>
      </w:tblGrid>
      <w:tr>
        <w:tc>
          <w:tcPr/>
          <w:bookmarkStart w:id="60" w:name="fig-idx-ec-vs-iibb"/>
          <w:p>
            <w:pPr>
              <w:pStyle w:val="Compact"/>
              <w:jc w:val="center"/>
            </w:pPr>
            <w:r>
              <w:drawing>
                <wp:inline>
                  <wp:extent cx="5334000" cy="2766279"/>
                  <wp:effectExtent b="0" l="0" r="0" t="0"/>
                  <wp:docPr descr="" title="" id="58" name="Picture"/>
                  <a:graphic>
                    <a:graphicData uri="http://schemas.openxmlformats.org/drawingml/2006/picture">
                      <pic:pic>
                        <pic:nvPicPr>
                          <pic:cNvPr descr="figuras/F22_indice_ec_vs_iibb.png" id="59" name="Picture"/>
                          <pic:cNvPicPr>
                            <a:picLocks noChangeArrowheads="1" noChangeAspect="1"/>
                          </pic:cNvPicPr>
                        </pic:nvPicPr>
                        <pic:blipFill>
                          <a:blip r:embed="rId57"/>
                          <a:stretch>
                            <a:fillRect/>
                          </a:stretch>
                        </pic:blipFill>
                        <pic:spPr bwMode="auto">
                          <a:xfrm>
                            <a:off x="0" y="0"/>
                            <a:ext cx="5334000" cy="2766279"/>
                          </a:xfrm>
                          <a:prstGeom prst="rect">
                            <a:avLst/>
                          </a:prstGeom>
                          <a:noFill/>
                          <a:ln w="9525">
                            <a:noFill/>
                            <a:headEnd/>
                            <a:tailEnd/>
                          </a:ln>
                        </pic:spPr>
                      </pic:pic>
                    </a:graphicData>
                  </a:graphic>
                </wp:inline>
              </w:drawing>
            </w:r>
          </w:p>
          <w:p>
            <w:pPr>
              <w:jc w:val="center"/>
            </w:pPr>
            <w:pPr>
              <w:jc w:val="left"/>
              <w:spacing w:before="200"/>
              <w:pStyle w:val="ImageCaption"/>
            </w:pPr>
            <w:r>
              <w:t xml:space="preserve">Figura 7: Crecimiento comparado: Recaudación EC vs. II.BB total — La Rioja 2022-2025 (índice 2022=100). La Recaudación EC multiplicó su valor por 32,9, mientras el II.BB total lo hizo por 10,8. Fuente: DGIP La Rioja + DNAP/CEPA.</w:t>
            </w:r>
          </w:p>
          <w:bookmarkEnd w:id="60"/>
        </w:tc>
      </w:tr>
    </w:tbl>
    <w:p>
      <w:pPr>
        <w:pStyle w:val="BodyText"/>
      </w:pP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Año</w:t>
            </w:r>
          </w:p>
        </w:tc>
        <w:tc>
          <w:tcPr/>
          <w:p>
            <w:pPr>
              <w:pStyle w:val="Compact"/>
              <w:jc w:val="right"/>
            </w:pPr>
            <w:r>
              <w:t xml:space="preserve">Recaudación EC (índice)</w:t>
            </w:r>
          </w:p>
        </w:tc>
        <w:tc>
          <w:tcPr/>
          <w:p>
            <w:pPr>
              <w:pStyle w:val="Compact"/>
              <w:jc w:val="right"/>
            </w:pPr>
            <w:r>
              <w:t xml:space="preserve">II.BB total (índice)</w:t>
            </w:r>
          </w:p>
        </w:tc>
        <w:tc>
          <w:tcPr/>
          <w:p>
            <w:pPr>
              <w:pStyle w:val="Compact"/>
              <w:jc w:val="right"/>
            </w:pPr>
            <w:r>
              <w:t xml:space="preserve">Brecha (pp)</w:t>
            </w:r>
          </w:p>
        </w:tc>
      </w:tr>
      <w:tr>
        <w:tc>
          <w:tcPr/>
          <w:p>
            <w:pPr>
              <w:pStyle w:val="Compact"/>
              <w:jc w:val="center"/>
            </w:pPr>
            <w:r>
              <w:t xml:space="preserve">2022</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0</w:t>
            </w:r>
          </w:p>
        </w:tc>
      </w:tr>
      <w:tr>
        <w:tc>
          <w:tcPr/>
          <w:p>
            <w:pPr>
              <w:pStyle w:val="Compact"/>
              <w:jc w:val="center"/>
            </w:pPr>
            <w:r>
              <w:t xml:space="preserve">2023</w:t>
            </w:r>
          </w:p>
        </w:tc>
        <w:tc>
          <w:tcPr/>
          <w:p>
            <w:pPr>
              <w:pStyle w:val="Compact"/>
              <w:jc w:val="right"/>
            </w:pPr>
            <w:r>
              <w:t xml:space="preserve">412,0</w:t>
            </w:r>
          </w:p>
        </w:tc>
        <w:tc>
          <w:tcPr/>
          <w:p>
            <w:pPr>
              <w:pStyle w:val="Compact"/>
              <w:jc w:val="right"/>
            </w:pPr>
            <w:r>
              <w:t xml:space="preserve">231,1</w:t>
            </w:r>
          </w:p>
        </w:tc>
        <w:tc>
          <w:tcPr/>
          <w:p>
            <w:pPr>
              <w:pStyle w:val="Compact"/>
              <w:jc w:val="right"/>
            </w:pPr>
            <w:r>
              <w:t xml:space="preserve">+181</w:t>
            </w:r>
          </w:p>
        </w:tc>
      </w:tr>
      <w:tr>
        <w:tc>
          <w:tcPr/>
          <w:p>
            <w:pPr>
              <w:pStyle w:val="Compact"/>
              <w:jc w:val="center"/>
            </w:pPr>
            <w:r>
              <w:t xml:space="preserve">2024</w:t>
            </w:r>
          </w:p>
        </w:tc>
        <w:tc>
          <w:tcPr/>
          <w:p>
            <w:pPr>
              <w:pStyle w:val="Compact"/>
              <w:jc w:val="right"/>
            </w:pPr>
            <w:r>
              <w:t xml:space="preserve">1.434,4</w:t>
            </w:r>
          </w:p>
        </w:tc>
        <w:tc>
          <w:tcPr/>
          <w:p>
            <w:pPr>
              <w:pStyle w:val="Compact"/>
              <w:jc w:val="right"/>
            </w:pPr>
            <w:r>
              <w:t xml:space="preserve">719,8</w:t>
            </w:r>
          </w:p>
        </w:tc>
        <w:tc>
          <w:tcPr/>
          <w:p>
            <w:pPr>
              <w:pStyle w:val="Compact"/>
              <w:jc w:val="right"/>
            </w:pPr>
            <w:r>
              <w:t xml:space="preserve">+715</w:t>
            </w:r>
          </w:p>
        </w:tc>
      </w:tr>
      <w:tr>
        <w:tc>
          <w:tcPr/>
          <w:p>
            <w:pPr>
              <w:pStyle w:val="Compact"/>
              <w:jc w:val="center"/>
            </w:pPr>
            <w:r>
              <w:t xml:space="preserve">2025</w:t>
            </w:r>
          </w:p>
        </w:tc>
        <w:tc>
          <w:tcPr/>
          <w:p>
            <w:pPr>
              <w:pStyle w:val="Compact"/>
              <w:jc w:val="right"/>
            </w:pPr>
            <w:r>
              <w:rPr>
                <w:b/>
                <w:bCs/>
              </w:rPr>
              <w:t xml:space="preserve">3.290,2</w:t>
            </w:r>
          </w:p>
        </w:tc>
        <w:tc>
          <w:tcPr/>
          <w:p>
            <w:pPr>
              <w:pStyle w:val="Compact"/>
              <w:jc w:val="right"/>
            </w:pPr>
            <w:r>
              <w:rPr>
                <w:b/>
                <w:bCs/>
              </w:rPr>
              <w:t xml:space="preserve">1.083,4</w:t>
            </w:r>
          </w:p>
        </w:tc>
        <w:tc>
          <w:tcPr/>
          <w:p>
            <w:pPr>
              <w:pStyle w:val="Compact"/>
              <w:jc w:val="right"/>
            </w:pPr>
            <w:r>
              <w:rPr>
                <w:b/>
                <w:bCs/>
              </w:rPr>
              <w:t xml:space="preserve">+2.207</w:t>
            </w:r>
          </w:p>
        </w:tc>
      </w:tr>
    </w:tbl>
    <w:p>
      <w:pPr>
        <w:pStyle w:val="BodyText"/>
      </w:pPr>
      <w:r>
        <w:t xml:space="preserve">La brecha acumulada entre ambos agregados es de</w:t>
      </w:r>
      <w:r>
        <w:t xml:space="preserve"> </w:t>
      </w:r>
      <w:r>
        <w:rPr>
          <w:b/>
          <w:bCs/>
        </w:rPr>
        <w:t xml:space="preserve">+2.207 pp</w:t>
      </w:r>
      <w:r>
        <w:t xml:space="preserve"> </w:t>
      </w:r>
      <w:r>
        <w:t xml:space="preserve">al cierre de 2025.</w:t>
      </w:r>
    </w:p>
    <w:bookmarkEnd w:id="61"/>
    <w:bookmarkStart w:id="66" w:name="X3a54041d7d99ef0a3dee8c60bf1c0613062f9a8"/>
    <w:p>
      <w:pPr>
        <w:pStyle w:val="Heading2"/>
      </w:pPr>
      <w:r>
        <w:t xml:space="preserve">5.6 Contribuyentes: migración Locales → Convenio Multilateral</w:t>
      </w:r>
    </w:p>
    <w:p>
      <w:pPr>
        <w:pStyle w:val="FirstParagraph"/>
      </w:pPr>
      <w:r>
        <w:t xml:space="preserve">El padrón EC muestra una recomposición estructural: los contribuyentes</w:t>
      </w:r>
      <w:r>
        <w:t xml:space="preserve"> </w:t>
      </w:r>
      <w:r>
        <w:rPr>
          <w:b/>
          <w:bCs/>
        </w:rPr>
        <w:t xml:space="preserve">Locales</w:t>
      </w:r>
      <w:r>
        <w:t xml:space="preserve"> </w:t>
      </w:r>
      <w:r>
        <w:t xml:space="preserve">caen (−26,2%), mientras los de</w:t>
      </w:r>
      <w:r>
        <w:t xml:space="preserve"> </w:t>
      </w:r>
      <w:r>
        <w:rPr>
          <w:b/>
          <w:bCs/>
        </w:rPr>
        <w:t xml:space="preserve">Convenio Multilateral</w:t>
      </w:r>
      <w:r>
        <w:t xml:space="preserve"> </w:t>
      </w:r>
      <w:r>
        <w:t xml:space="preserve">crecen (+18,4%). El share de Multilateral pasó de</w:t>
      </w:r>
      <w:r>
        <w:t xml:space="preserve"> </w:t>
      </w:r>
      <w:r>
        <w:rPr>
          <w:b/>
          <w:bCs/>
        </w:rPr>
        <w:t xml:space="preserve">60,6% (2022)</w:t>
      </w:r>
      <w:r>
        <w:t xml:space="preserve"> </w:t>
      </w:r>
      <w:r>
        <w:t xml:space="preserve">a</w:t>
      </w:r>
      <w:r>
        <w:t xml:space="preserve"> </w:t>
      </w:r>
      <w:r>
        <w:rPr>
          <w:b/>
          <w:bCs/>
        </w:rPr>
        <w:t xml:space="preserve">71,2% (2025)</w:t>
      </w:r>
      <w:r>
        <w:t xml:space="preserve">.</w:t>
      </w:r>
    </w:p>
    <w:tbl>
      <w:tblPr>
        <w:tblStyle w:val="Table"/>
        <w:tblW w:type="pct" w:w="5000"/>
        <w:tblLayout w:type="fixed"/>
        <w:tblLook w:firstRow="0" w:lastRow="0" w:firstColumn="0" w:lastColumn="0" w:noHBand="0" w:noVBand="0" w:val="0000"/>
      </w:tblPr>
      <w:tblGrid>
        <w:gridCol w:w="7920"/>
      </w:tblGrid>
      <w:tr>
        <w:tc>
          <w:tcPr/>
          <w:bookmarkStart w:id="65" w:name="fig-contrib-ec"/>
          <w:p>
            <w:pPr>
              <w:pStyle w:val="Compact"/>
              <w:jc w:val="center"/>
            </w:pPr>
            <w:r>
              <w:drawing>
                <wp:inline>
                  <wp:extent cx="5334000" cy="2630898"/>
                  <wp:effectExtent b="0" l="0" r="0" t="0"/>
                  <wp:docPr descr="" title="" id="63" name="Picture"/>
                  <a:graphic>
                    <a:graphicData uri="http://schemas.openxmlformats.org/drawingml/2006/picture">
                      <pic:pic>
                        <pic:nvPicPr>
                          <pic:cNvPr descr="figuras/F23_contribuyentes_ec.png" id="64" name="Picture"/>
                          <pic:cNvPicPr>
                            <a:picLocks noChangeArrowheads="1" noChangeAspect="1"/>
                          </pic:cNvPicPr>
                        </pic:nvPicPr>
                        <pic:blipFill>
                          <a:blip r:embed="rId62"/>
                          <a:stretch>
                            <a:fillRect/>
                          </a:stretch>
                        </pic:blipFill>
                        <pic:spPr bwMode="auto">
                          <a:xfrm>
                            <a:off x="0" y="0"/>
                            <a:ext cx="5334000" cy="2630898"/>
                          </a:xfrm>
                          <a:prstGeom prst="rect">
                            <a:avLst/>
                          </a:prstGeom>
                          <a:noFill/>
                          <a:ln w="9525">
                            <a:noFill/>
                            <a:headEnd/>
                            <a:tailEnd/>
                          </a:ln>
                        </pic:spPr>
                      </pic:pic>
                    </a:graphicData>
                  </a:graphic>
                </wp:inline>
              </w:drawing>
            </w:r>
          </w:p>
          <w:p>
            <w:pPr>
              <w:jc w:val="center"/>
            </w:pPr>
            <w:pPr>
              <w:jc w:val="left"/>
              <w:spacing w:before="200"/>
              <w:pStyle w:val="ImageCaption"/>
            </w:pPr>
            <w:r>
              <w:t xml:space="preserve">Figura 8: Contribuyentes EC por régimen de tributación — La Rioja 2022-2025. La migración de Locales a Convenio Multilateral sugiere profesionalización del padrón: firmas que crecen y pasan de tributar localmente a hacerlo bajo Convenio. Fuente: DGIP La Rioja.</w:t>
            </w:r>
          </w:p>
          <w:bookmarkEnd w:id="65"/>
        </w:tc>
      </w:tr>
    </w:tbl>
    <w:p>
      <w:pPr>
        <w:pStyle w:val="BodyText"/>
      </w:pPr>
      <w:r>
        <w:t xml:space="preserve">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Año</w:t>
            </w:r>
          </w:p>
        </w:tc>
        <w:tc>
          <w:tcPr/>
          <w:p>
            <w:pPr>
              <w:pStyle w:val="Compact"/>
              <w:jc w:val="right"/>
            </w:pPr>
            <w:r>
              <w:t xml:space="preserve">Locales</w:t>
            </w:r>
          </w:p>
        </w:tc>
        <w:tc>
          <w:tcPr/>
          <w:p>
            <w:pPr>
              <w:pStyle w:val="Compact"/>
              <w:jc w:val="right"/>
            </w:pPr>
            <w:r>
              <w:t xml:space="preserve">Multilateral</w:t>
            </w:r>
          </w:p>
        </w:tc>
        <w:tc>
          <w:tcPr/>
          <w:p>
            <w:pPr>
              <w:pStyle w:val="Compact"/>
              <w:jc w:val="right"/>
            </w:pPr>
            <w:r>
              <w:t xml:space="preserve">Total</w:t>
            </w:r>
          </w:p>
        </w:tc>
        <w:tc>
          <w:tcPr/>
          <w:p>
            <w:pPr>
              <w:pStyle w:val="Compact"/>
              <w:jc w:val="right"/>
            </w:pPr>
            <w:r>
              <w:t xml:space="preserve">Share Multilateral</w:t>
            </w:r>
          </w:p>
        </w:tc>
      </w:tr>
      <w:tr>
        <w:tc>
          <w:tcPr/>
          <w:p>
            <w:pPr>
              <w:pStyle w:val="Compact"/>
              <w:jc w:val="center"/>
            </w:pPr>
            <w:r>
              <w:t xml:space="preserve">2022</w:t>
            </w:r>
          </w:p>
        </w:tc>
        <w:tc>
          <w:tcPr/>
          <w:p>
            <w:pPr>
              <w:pStyle w:val="Compact"/>
              <w:jc w:val="right"/>
            </w:pPr>
            <w:r>
              <w:t xml:space="preserve">1.138</w:t>
            </w:r>
          </w:p>
        </w:tc>
        <w:tc>
          <w:tcPr/>
          <w:p>
            <w:pPr>
              <w:pStyle w:val="Compact"/>
              <w:jc w:val="right"/>
            </w:pPr>
            <w:r>
              <w:t xml:space="preserve">1.752</w:t>
            </w:r>
          </w:p>
        </w:tc>
        <w:tc>
          <w:tcPr/>
          <w:p>
            <w:pPr>
              <w:pStyle w:val="Compact"/>
              <w:jc w:val="right"/>
            </w:pPr>
            <w:r>
              <w:t xml:space="preserve">2.890</w:t>
            </w:r>
          </w:p>
        </w:tc>
        <w:tc>
          <w:tcPr/>
          <w:p>
            <w:pPr>
              <w:pStyle w:val="Compact"/>
              <w:jc w:val="right"/>
            </w:pPr>
            <w:r>
              <w:t xml:space="preserve">60,6%</w:t>
            </w:r>
          </w:p>
        </w:tc>
      </w:tr>
      <w:tr>
        <w:tc>
          <w:tcPr/>
          <w:p>
            <w:pPr>
              <w:pStyle w:val="Compact"/>
              <w:jc w:val="center"/>
            </w:pPr>
            <w:r>
              <w:t xml:space="preserve">2023</w:t>
            </w:r>
          </w:p>
        </w:tc>
        <w:tc>
          <w:tcPr/>
          <w:p>
            <w:pPr>
              <w:pStyle w:val="Compact"/>
              <w:jc w:val="right"/>
            </w:pPr>
            <w:r>
              <w:t xml:space="preserve">1.060</w:t>
            </w:r>
          </w:p>
        </w:tc>
        <w:tc>
          <w:tcPr/>
          <w:p>
            <w:pPr>
              <w:pStyle w:val="Compact"/>
              <w:jc w:val="right"/>
            </w:pPr>
            <w:r>
              <w:t xml:space="preserve">1.911</w:t>
            </w:r>
          </w:p>
        </w:tc>
        <w:tc>
          <w:tcPr/>
          <w:p>
            <w:pPr>
              <w:pStyle w:val="Compact"/>
              <w:jc w:val="right"/>
            </w:pPr>
            <w:r>
              <w:t xml:space="preserve">2.971</w:t>
            </w:r>
          </w:p>
        </w:tc>
        <w:tc>
          <w:tcPr/>
          <w:p>
            <w:pPr>
              <w:pStyle w:val="Compact"/>
              <w:jc w:val="right"/>
            </w:pPr>
            <w:r>
              <w:t xml:space="preserve">64,3%</w:t>
            </w:r>
          </w:p>
        </w:tc>
      </w:tr>
      <w:tr>
        <w:tc>
          <w:tcPr/>
          <w:p>
            <w:pPr>
              <w:pStyle w:val="Compact"/>
              <w:jc w:val="center"/>
            </w:pPr>
            <w:r>
              <w:t xml:space="preserve">2024</w:t>
            </w:r>
          </w:p>
        </w:tc>
        <w:tc>
          <w:tcPr/>
          <w:p>
            <w:pPr>
              <w:pStyle w:val="Compact"/>
              <w:jc w:val="right"/>
            </w:pPr>
            <w:r>
              <w:t xml:space="preserve">844</w:t>
            </w:r>
          </w:p>
        </w:tc>
        <w:tc>
          <w:tcPr/>
          <w:p>
            <w:pPr>
              <w:pStyle w:val="Compact"/>
              <w:jc w:val="right"/>
            </w:pPr>
            <w:r>
              <w:t xml:space="preserve">1.947</w:t>
            </w:r>
          </w:p>
        </w:tc>
        <w:tc>
          <w:tcPr/>
          <w:p>
            <w:pPr>
              <w:pStyle w:val="Compact"/>
              <w:jc w:val="right"/>
            </w:pPr>
            <w:r>
              <w:t xml:space="preserve">2.791</w:t>
            </w:r>
          </w:p>
        </w:tc>
        <w:tc>
          <w:tcPr/>
          <w:p>
            <w:pPr>
              <w:pStyle w:val="Compact"/>
              <w:jc w:val="right"/>
            </w:pPr>
            <w:r>
              <w:t xml:space="preserve">69,8%</w:t>
            </w:r>
          </w:p>
        </w:tc>
      </w:tr>
      <w:tr>
        <w:tc>
          <w:tcPr/>
          <w:p>
            <w:pPr>
              <w:pStyle w:val="Compact"/>
              <w:jc w:val="center"/>
            </w:pPr>
            <w:r>
              <w:t xml:space="preserve">2025</w:t>
            </w:r>
          </w:p>
        </w:tc>
        <w:tc>
          <w:tcPr/>
          <w:p>
            <w:pPr>
              <w:pStyle w:val="Compact"/>
              <w:jc w:val="right"/>
            </w:pPr>
            <w:r>
              <w:t xml:space="preserve">840</w:t>
            </w:r>
          </w:p>
        </w:tc>
        <w:tc>
          <w:tcPr/>
          <w:p>
            <w:pPr>
              <w:pStyle w:val="Compact"/>
              <w:jc w:val="right"/>
            </w:pPr>
            <w:r>
              <w:t xml:space="preserve">2.075</w:t>
            </w:r>
          </w:p>
        </w:tc>
        <w:tc>
          <w:tcPr/>
          <w:p>
            <w:pPr>
              <w:pStyle w:val="Compact"/>
              <w:jc w:val="right"/>
            </w:pPr>
            <w:r>
              <w:t xml:space="preserve">2.915</w:t>
            </w:r>
          </w:p>
        </w:tc>
        <w:tc>
          <w:tcPr/>
          <w:p>
            <w:pPr>
              <w:pStyle w:val="Compact"/>
              <w:jc w:val="right"/>
            </w:pPr>
            <w:r>
              <w:rPr>
                <w:b/>
                <w:bCs/>
              </w:rPr>
              <w:t xml:space="preserve">71,2%</w:t>
            </w:r>
          </w:p>
        </w:tc>
      </w:tr>
    </w:tbl>
    <w:p>
      <w:pPr>
        <w:pStyle w:val="BodyText"/>
      </w:pPr>
      <w:r>
        <w:rPr>
          <w:b/>
          <w:bCs/>
        </w:rPr>
        <w:t xml:space="preserve">Interpretación:</w:t>
      </w:r>
      <w:r>
        <w:t xml:space="preserve"> </w:t>
      </w:r>
      <w:r>
        <w:t xml:space="preserve">la caída de contribuyentes Locales no implica desaparición de firmas, sino</w:t>
      </w:r>
      <w:r>
        <w:t xml:space="preserve"> </w:t>
      </w:r>
      <w:r>
        <w:rPr>
          <w:b/>
          <w:bCs/>
        </w:rPr>
        <w:t xml:space="preserve">traspaso al régimen de Convenio Multilateral</w:t>
      </w:r>
      <w:r>
        <w:t xml:space="preserve">. Es un patrón esperable cuando las empresas del sector crecen y comienzan a operar en más de una jurisdicción.</w:t>
      </w:r>
    </w:p>
    <w:bookmarkEnd w:id="66"/>
    <w:bookmarkStart w:id="70" w:name="contexto-fiscal-2026"/>
    <w:p>
      <w:pPr>
        <w:pStyle w:val="Heading2"/>
      </w:pPr>
      <w:r>
        <w:t xml:space="preserve">5.7 Contexto fiscal 2026</w:t>
      </w:r>
    </w:p>
    <w:p>
      <w:pPr>
        <w:pStyle w:val="FirstParagraph"/>
      </w:pPr>
      <w:r>
        <w:t xml:space="preserve">Según la DNAP/CEPA (actualizado 11/09/2026), La Rioja acumula una caída real de</w:t>
      </w:r>
      <w:r>
        <w:t xml:space="preserve"> </w:t>
      </w:r>
      <w:r>
        <w:rPr>
          <w:b/>
          <w:bCs/>
        </w:rPr>
        <w:t xml:space="preserve">−13,2%</w:t>
      </w:r>
      <w:r>
        <w:t xml:space="preserve"> </w:t>
      </w:r>
      <w:r>
        <w:t xml:space="preserve">en recaudación total durante 2026, y de</w:t>
      </w:r>
      <w:r>
        <w:t xml:space="preserve"> </w:t>
      </w:r>
      <w:r>
        <w:rPr>
          <w:b/>
          <w:bCs/>
        </w:rPr>
        <w:t xml:space="preserve">−14,1%</w:t>
      </w:r>
      <w:r>
        <w:t xml:space="preserve"> </w:t>
      </w:r>
      <w:r>
        <w:t xml:space="preserve">en Ingresos Brutos. Es la peor performance fiscal del país: el consolidado nacional cae −3,0% en el mismo período.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jc w:val="right"/>
            </w:pPr>
            <w:r>
              <w:t xml:space="preserve">La Rioja</w:t>
            </w:r>
          </w:p>
        </w:tc>
        <w:tc>
          <w:tcPr/>
          <w:p>
            <w:pPr>
              <w:pStyle w:val="Compact"/>
              <w:jc w:val="right"/>
            </w:pPr>
            <w:r>
              <w:t xml:space="preserve">Consolidado nacional</w:t>
            </w:r>
          </w:p>
        </w:tc>
      </w:tr>
      <w:tr>
        <w:tc>
          <w:tcPr/>
          <w:p>
            <w:pPr>
              <w:pStyle w:val="Compact"/>
            </w:pPr>
            <w:r>
              <w:t xml:space="preserve">Var. real acum. 2026 (total)</w:t>
            </w:r>
          </w:p>
        </w:tc>
        <w:tc>
          <w:tcPr/>
          <w:p>
            <w:pPr>
              <w:pStyle w:val="Compact"/>
              <w:jc w:val="right"/>
            </w:pPr>
            <w:r>
              <w:rPr>
                <w:b/>
                <w:bCs/>
              </w:rPr>
              <w:t xml:space="preserve">−13,2%</w:t>
            </w:r>
          </w:p>
        </w:tc>
        <w:tc>
          <w:tcPr/>
          <w:p>
            <w:pPr>
              <w:pStyle w:val="Compact"/>
              <w:jc w:val="right"/>
            </w:pPr>
            <w:r>
              <w:t xml:space="preserve">−3,0%</w:t>
            </w:r>
          </w:p>
        </w:tc>
      </w:tr>
      <w:tr>
        <w:tc>
          <w:tcPr/>
          <w:p>
            <w:pPr>
              <w:pStyle w:val="Compact"/>
            </w:pPr>
            <w:r>
              <w:t xml:space="preserve">Var. real acum. 2026 (II.BB)</w:t>
            </w:r>
          </w:p>
        </w:tc>
        <w:tc>
          <w:tcPr/>
          <w:p>
            <w:pPr>
              <w:pStyle w:val="Compact"/>
              <w:jc w:val="right"/>
            </w:pPr>
            <w:r>
              <w:rPr>
                <w:b/>
                <w:bCs/>
              </w:rPr>
              <w:t xml:space="preserve">−14,1%</w:t>
            </w:r>
          </w:p>
        </w:tc>
        <w:tc>
          <w:tcPr/>
          <w:p>
            <w:pPr>
              <w:pStyle w:val="Compact"/>
              <w:jc w:val="right"/>
            </w:pPr>
            <w:r>
              <w:t xml:space="preserve">—</w:t>
            </w:r>
          </w:p>
        </w:tc>
      </w:tr>
      <w:tr>
        <w:tc>
          <w:tcPr/>
          <w:p>
            <w:pPr>
              <w:pStyle w:val="Compact"/>
            </w:pPr>
            <w:r>
              <w:t xml:space="preserve">Peor mes (agosto 2026)</w:t>
            </w:r>
          </w:p>
        </w:tc>
        <w:tc>
          <w:tcPr/>
          <w:p>
            <w:pPr>
              <w:pStyle w:val="Compact"/>
              <w:jc w:val="right"/>
            </w:pPr>
            <w:r>
              <w:rPr>
                <w:b/>
                <w:bCs/>
              </w:rPr>
              <w:t xml:space="preserve">−22,5%</w:t>
            </w:r>
          </w:p>
        </w:tc>
        <w:tc>
          <w:tcPr/>
          <w:p>
            <w:pPr>
              <w:pStyle w:val="Compact"/>
              <w:jc w:val="right"/>
            </w:pPr>
            <w:r>
              <w:t xml:space="preserve">−11,2%</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C:\Users\HP\AppData\Local\Programs\Quarto\share\formats\docx\warning.png" id="69"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Dato pendiente.</w:t>
            </w:r>
            <w:r>
              <w:t xml:space="preserve"> </w:t>
            </w:r>
            <w:r>
              <w:t xml:space="preserve">El dato oficial de Recaudación EC para 2026</w:t>
            </w:r>
            <w:r>
              <w:t xml:space="preserve"> </w:t>
            </w:r>
            <w:r>
              <w:rPr>
                <w:b/>
                <w:bCs/>
              </w:rPr>
              <w:t xml:space="preserve">aún no está publicado</w:t>
            </w:r>
            <w:r>
              <w:t xml:space="preserve">. La serie 2026 se cierra cuando la DGIP publique el padrón actualizado. Debe solicitarse formalmente.</w:t>
            </w:r>
          </w:p>
          <w:p/>
        </w:tc>
      </w:tr>
    </w:tbl>
    <w:bookmarkEnd w:id="70"/>
    <w:bookmarkStart w:id="71" w:name="síntesis-de-la-sección"/>
    <w:p>
      <w:pPr>
        <w:pStyle w:val="Heading2"/>
      </w:pPr>
      <w:r>
        <w:t xml:space="preserve">5.8 Síntesis de la sección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jc w:val="right"/>
            </w:pPr>
            <w:r>
              <w:t xml:space="preserve">Valor</w:t>
            </w:r>
          </w:p>
        </w:tc>
        <w:tc>
          <w:tcPr/>
          <w:p>
            <w:pPr>
              <w:pStyle w:val="Compact"/>
              <w:jc w:val="right"/>
            </w:pPr>
            <w:r>
              <w:t xml:space="preserve">Cambio 2022 → 2025</w:t>
            </w:r>
          </w:p>
        </w:tc>
      </w:tr>
      <w:tr>
        <w:tc>
          <w:tcPr/>
          <w:p>
            <w:pPr>
              <w:pStyle w:val="Compact"/>
            </w:pPr>
            <w:r>
              <w:t xml:space="preserve">Recaudación EC</w:t>
            </w:r>
          </w:p>
        </w:tc>
        <w:tc>
          <w:tcPr/>
          <w:p>
            <w:pPr>
              <w:pStyle w:val="Compact"/>
              <w:jc w:val="right"/>
            </w:pPr>
            <w:r>
              <w:t xml:space="preserve">$1.940,91 M (2025)</w:t>
            </w:r>
          </w:p>
        </w:tc>
        <w:tc>
          <w:tcPr/>
          <w:p>
            <w:pPr>
              <w:pStyle w:val="Compact"/>
              <w:jc w:val="right"/>
            </w:pPr>
            <w:r>
              <w:t xml:space="preserve">×32,9</w:t>
            </w:r>
          </w:p>
        </w:tc>
      </w:tr>
      <w:tr>
        <w:tc>
          <w:tcPr/>
          <w:p>
            <w:pPr>
              <w:pStyle w:val="Compact"/>
            </w:pPr>
            <w:r>
              <w:t xml:space="preserve">II.BB total</w:t>
            </w:r>
          </w:p>
        </w:tc>
        <w:tc>
          <w:tcPr/>
          <w:p>
            <w:pPr>
              <w:pStyle w:val="Compact"/>
              <w:jc w:val="right"/>
            </w:pPr>
            <w:r>
              <w:t xml:space="preserve">$125.549,36 M (2025)</w:t>
            </w:r>
          </w:p>
        </w:tc>
        <w:tc>
          <w:tcPr/>
          <w:p>
            <w:pPr>
              <w:pStyle w:val="Compact"/>
              <w:jc w:val="right"/>
            </w:pPr>
            <w:r>
              <w:t xml:space="preserve">×10,8</w:t>
            </w:r>
          </w:p>
        </w:tc>
      </w:tr>
      <w:tr>
        <w:tc>
          <w:tcPr/>
          <w:p>
            <w:pPr>
              <w:pStyle w:val="Compact"/>
            </w:pPr>
            <w:r>
              <w:t xml:space="preserve">Share EC / II.BB</w:t>
            </w:r>
          </w:p>
        </w:tc>
        <w:tc>
          <w:tcPr/>
          <w:p>
            <w:pPr>
              <w:pStyle w:val="Compact"/>
              <w:jc w:val="right"/>
            </w:pPr>
            <w:r>
              <w:t xml:space="preserve">1,55% (2025)</w:t>
            </w:r>
          </w:p>
        </w:tc>
        <w:tc>
          <w:tcPr/>
          <w:p>
            <w:pPr>
              <w:pStyle w:val="Compact"/>
              <w:jc w:val="right"/>
            </w:pPr>
            <w:r>
              <w:t xml:space="preserve">+1,04 pp</w:t>
            </w:r>
          </w:p>
        </w:tc>
      </w:tr>
      <w:tr>
        <w:tc>
          <w:tcPr/>
          <w:p>
            <w:pPr>
              <w:pStyle w:val="Compact"/>
            </w:pPr>
            <w:r>
              <w:t xml:space="preserve">Contribuyentes Locales</w:t>
            </w:r>
          </w:p>
        </w:tc>
        <w:tc>
          <w:tcPr/>
          <w:p>
            <w:pPr>
              <w:pStyle w:val="Compact"/>
              <w:jc w:val="right"/>
            </w:pPr>
            <w:r>
              <w:t xml:space="preserve">840 (2025)</w:t>
            </w:r>
          </w:p>
        </w:tc>
        <w:tc>
          <w:tcPr/>
          <w:p>
            <w:pPr>
              <w:pStyle w:val="Compact"/>
              <w:jc w:val="right"/>
            </w:pPr>
            <w:r>
              <w:t xml:space="preserve">−26,2%</w:t>
            </w:r>
          </w:p>
        </w:tc>
      </w:tr>
      <w:tr>
        <w:tc>
          <w:tcPr/>
          <w:p>
            <w:pPr>
              <w:pStyle w:val="Compact"/>
            </w:pPr>
            <w:r>
              <w:t xml:space="preserve">Contribuyentes Multilateral</w:t>
            </w:r>
          </w:p>
        </w:tc>
        <w:tc>
          <w:tcPr/>
          <w:p>
            <w:pPr>
              <w:pStyle w:val="Compact"/>
              <w:jc w:val="right"/>
            </w:pPr>
            <w:r>
              <w:t xml:space="preserve">2.075 (2025)</w:t>
            </w:r>
          </w:p>
        </w:tc>
        <w:tc>
          <w:tcPr/>
          <w:p>
            <w:pPr>
              <w:pStyle w:val="Compact"/>
              <w:jc w:val="right"/>
            </w:pPr>
            <w:r>
              <w:t xml:space="preserve">+18,4%</w:t>
            </w:r>
          </w:p>
        </w:tc>
      </w:tr>
      <w:tr>
        <w:tc>
          <w:tcPr/>
          <w:p>
            <w:pPr>
              <w:pStyle w:val="Compact"/>
            </w:pPr>
            <w:r>
              <w:t xml:space="preserve">Recaudación total prov. (2026)</w:t>
            </w:r>
          </w:p>
        </w:tc>
        <w:tc>
          <w:tcPr/>
          <w:p>
            <w:pPr>
              <w:pStyle w:val="Compact"/>
              <w:jc w:val="right"/>
            </w:pPr>
            <w:r>
              <w:t xml:space="preserve">—</w:t>
            </w:r>
          </w:p>
        </w:tc>
        <w:tc>
          <w:tcPr/>
          <w:p>
            <w:pPr>
              <w:pStyle w:val="Compact"/>
              <w:jc w:val="right"/>
            </w:pPr>
            <w:r>
              <w:t xml:space="preserve">−13,2% real</w:t>
            </w:r>
          </w:p>
        </w:tc>
      </w:tr>
      <w:tr>
        <w:tc>
          <w:tcPr/>
          <w:p>
            <w:pPr>
              <w:pStyle w:val="Compact"/>
            </w:pPr>
            <w:r>
              <w:t xml:space="preserve">II.BB prov. (2026)</w:t>
            </w:r>
          </w:p>
        </w:tc>
        <w:tc>
          <w:tcPr/>
          <w:p>
            <w:pPr>
              <w:pStyle w:val="Compact"/>
              <w:jc w:val="right"/>
            </w:pPr>
            <w:r>
              <w:t xml:space="preserve">—</w:t>
            </w:r>
          </w:p>
        </w:tc>
        <w:tc>
          <w:tcPr/>
          <w:p>
            <w:pPr>
              <w:pStyle w:val="Compact"/>
              <w:jc w:val="right"/>
            </w:pPr>
            <w:r>
              <w:t xml:space="preserve">−14,1% real</w:t>
            </w:r>
          </w:p>
        </w:tc>
      </w:tr>
    </w:tbl>
    <w:p>
      <w:pPr>
        <w:pStyle w:val="BodyText"/>
      </w:pPr>
      <w:r>
        <w:rPr>
          <w:b/>
          <w:bCs/>
        </w:rPr>
        <w:t xml:space="preserve">Conclusión de la sección:</w:t>
      </w:r>
      <w:r>
        <w:t xml:space="preserve"> </w:t>
      </w:r>
      <w:r>
        <w:t xml:space="preserve">La Recaudación EC es el agregado de II.BB que más rápido crece en La Rioja, multiplicando su participación por 3 en cuatro años. No obstante, su peso sobre la base imponible provincial (1,55%) todavía es modesto. En un contexto de caída real generalizada de la recaudación provincial (−13,2% en 2026), el sector EC funciona como vector positivo, pero su escala actual es insuficiente para revertir la tendencia agregada.</w:t>
      </w:r>
    </w:p>
    <w:bookmarkEnd w:id="71"/>
    <w:bookmarkEnd w:id="72"/>
    <w:bookmarkStart w:id="84" w:name="sec-ec"/>
    <w:p>
      <w:pPr>
        <w:pStyle w:val="Heading1"/>
      </w:pPr>
      <w:r>
        <w:t xml:space="preserve">6. Actividades de Economía del Conocimiento</w:t>
      </w:r>
    </w:p>
    <w:bookmarkStart w:id="77" w:name="definición-y-fuente"/>
    <w:p>
      <w:pPr>
        <w:pStyle w:val="Heading2"/>
      </w:pPr>
      <w:r>
        <w:t xml:space="preserve">6.1 Definición y fuente</w:t>
      </w:r>
    </w:p>
    <w:p>
      <w:pPr>
        <w:pStyle w:val="FirstParagraph"/>
      </w:pPr>
      <w:r>
        <w:t xml:space="preserve">El análisis de empresas y empleo del sector EC usa el registro SIPA – Observatorio de Empleo y Dinámica Empresarial (STEySS), serie provincial con apertura CIIU rev. 3 a 4 dígitos. La definición adoptada es la de</w:t>
      </w:r>
      <w:r>
        <w:t xml:space="preserve"> </w:t>
      </w:r>
      <w:r>
        <w:rPr>
          <w:b/>
          <w:bCs/>
        </w:rPr>
        <w:t xml:space="preserve">Actividades EC (AFIP/ARCA)</w:t>
      </w:r>
      <w:r>
        <w:t xml:space="preserve">, que identifica las actividades de Economía del Conocimiento a partir de los códigos CIIU equivalentes a las actividades promovidas por la Ley 27.506 y su modificatoria 27.570.</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C:\Users\HP\AppData\Local\Programs\Quarto\share\formats\docx\note.png" id="7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Códigos CIIU EC (Actividades de Economía del Conocimiento)</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jc w:val="center"/>
                  </w:pPr>
                  <w:r>
                    <w:t xml:space="preserve">CIIU</w:t>
                  </w:r>
                </w:p>
              </w:tc>
              <w:tc>
                <w:tcPr/>
                <w:p>
                  <w:pPr>
                    <w:pStyle w:val="Compact"/>
                  </w:pPr>
                  <w:r>
                    <w:t xml:space="preserve">Actividad</w:t>
                  </w:r>
                </w:p>
              </w:tc>
            </w:tr>
            <w:tr>
              <w:tc>
                <w:tcPr/>
                <w:p>
                  <w:pPr>
                    <w:pStyle w:val="Compact"/>
                    <w:jc w:val="center"/>
                  </w:pPr>
                  <w:r>
                    <w:t xml:space="preserve">7210</w:t>
                  </w:r>
                </w:p>
              </w:tc>
              <w:tc>
                <w:tcPr/>
                <w:p>
                  <w:pPr>
                    <w:pStyle w:val="Compact"/>
                  </w:pPr>
                  <w:r>
                    <w:t xml:space="preserve">Consultores en equipo y programas informáticos</w:t>
                  </w:r>
                </w:p>
              </w:tc>
            </w:tr>
            <w:tr>
              <w:tc>
                <w:tcPr/>
                <w:p>
                  <w:pPr>
                    <w:pStyle w:val="Compact"/>
                    <w:jc w:val="center"/>
                  </w:pPr>
                  <w:r>
                    <w:t xml:space="preserve">7220</w:t>
                  </w:r>
                </w:p>
              </w:tc>
              <w:tc>
                <w:tcPr/>
                <w:p>
                  <w:pPr>
                    <w:pStyle w:val="Compact"/>
                  </w:pPr>
                  <w:r>
                    <w:t xml:space="preserve">Consultores y suministros de programas informáticos</w:t>
                  </w:r>
                </w:p>
              </w:tc>
            </w:tr>
            <w:tr>
              <w:tc>
                <w:tcPr/>
                <w:p>
                  <w:pPr>
                    <w:pStyle w:val="Compact"/>
                    <w:jc w:val="center"/>
                  </w:pPr>
                  <w:r>
                    <w:t xml:space="preserve">7250</w:t>
                  </w:r>
                </w:p>
              </w:tc>
              <w:tc>
                <w:tcPr/>
                <w:p>
                  <w:pPr>
                    <w:pStyle w:val="Compact"/>
                  </w:pPr>
                  <w:r>
                    <w:t xml:space="preserve">Reparación de maquinaria de oficina, contabilidad e informática</w:t>
                  </w:r>
                </w:p>
              </w:tc>
            </w:tr>
            <w:tr>
              <w:tc>
                <w:tcPr/>
                <w:p>
                  <w:pPr>
                    <w:pStyle w:val="Compact"/>
                    <w:jc w:val="center"/>
                  </w:pPr>
                  <w:r>
                    <w:t xml:space="preserve">7290</w:t>
                  </w:r>
                </w:p>
              </w:tc>
              <w:tc>
                <w:tcPr/>
                <w:p>
                  <w:pPr>
                    <w:pStyle w:val="Compact"/>
                  </w:pPr>
                  <w:r>
                    <w:t xml:space="preserve">Actividades de informática n.c.p.</w:t>
                  </w:r>
                </w:p>
              </w:tc>
            </w:tr>
            <w:tr>
              <w:tc>
                <w:tcPr/>
                <w:p>
                  <w:pPr>
                    <w:pStyle w:val="Compact"/>
                    <w:jc w:val="center"/>
                  </w:pPr>
                  <w:r>
                    <w:t xml:space="preserve">7300</w:t>
                  </w:r>
                </w:p>
              </w:tc>
              <w:tc>
                <w:tcPr/>
                <w:p>
                  <w:pPr>
                    <w:pStyle w:val="Compact"/>
                  </w:pPr>
                  <w:r>
                    <w:t xml:space="preserve">Investigación y desarrollo experimental</w:t>
                  </w:r>
                </w:p>
              </w:tc>
            </w:tr>
            <w:tr>
              <w:tc>
                <w:tcPr/>
                <w:p>
                  <w:pPr>
                    <w:pStyle w:val="Compact"/>
                    <w:jc w:val="center"/>
                  </w:pPr>
                  <w:r>
                    <w:t xml:space="preserve">7421</w:t>
                  </w:r>
                </w:p>
              </w:tc>
              <w:tc>
                <w:tcPr/>
                <w:p>
                  <w:pPr>
                    <w:pStyle w:val="Compact"/>
                  </w:pPr>
                  <w:r>
                    <w:t xml:space="preserve">Servicios de arquitectura e ingeniería y geología</w:t>
                  </w:r>
                </w:p>
              </w:tc>
            </w:tr>
            <w:tr>
              <w:tc>
                <w:tcPr/>
                <w:p>
                  <w:pPr>
                    <w:pStyle w:val="Compact"/>
                    <w:jc w:val="center"/>
                  </w:pPr>
                  <w:r>
                    <w:t xml:space="preserve">7430</w:t>
                  </w:r>
                </w:p>
              </w:tc>
              <w:tc>
                <w:tcPr/>
                <w:p>
                  <w:pPr>
                    <w:pStyle w:val="Compact"/>
                  </w:pPr>
                  <w:r>
                    <w:t xml:space="preserve">Investigación y desarrollo de ciencias sociales y humanidades</w:t>
                  </w:r>
                </w:p>
              </w:tc>
            </w:tr>
            <w:tr>
              <w:tc>
                <w:tcPr/>
                <w:p>
                  <w:pPr>
                    <w:pStyle w:val="Compact"/>
                    <w:jc w:val="center"/>
                  </w:pPr>
                  <w:r>
                    <w:t xml:space="preserve">7499</w:t>
                  </w:r>
                </w:p>
              </w:tc>
              <w:tc>
                <w:tcPr/>
                <w:p>
                  <w:pPr>
                    <w:pStyle w:val="Compact"/>
                  </w:pPr>
                  <w:r>
                    <w:t xml:space="preserve">Otras actividades empresariales n.c.p.</w:t>
                  </w:r>
                </w:p>
              </w:tc>
            </w:tr>
          </w:tbl>
          <w:p>
            <w:pPr>
              <w:pStyle w:val="BodyText"/>
            </w:pPr>
            <w:pPr>
              <w:spacing w:after="16"/>
            </w:pPr>
            <w:r>
              <w:rPr>
                <w:b/>
                <w:bCs/>
              </w:rPr>
              <w:t xml:space="preserve">Núcleo informático</w:t>
            </w:r>
            <w:r>
              <w:t xml:space="preserve"> </w:t>
            </w:r>
            <w:r>
              <w:t xml:space="preserve">= 7210 + 7220 + 7290 (definición canónica del proyecto).</w:t>
            </w:r>
            <w:r>
              <w:t xml:space="preserve"> </w:t>
            </w:r>
            <w:r>
              <w:rPr>
                <w:b/>
                <w:bCs/>
              </w:rPr>
              <w:t xml:space="preserve">Núcleo amplio</w:t>
            </w:r>
            <w:r>
              <w:t xml:space="preserve"> </w:t>
            </w:r>
            <w:r>
              <w:t xml:space="preserve">= núcleo informático + 7300 + 7430.</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C:\Users\HP\AppData\Local\Programs\Quarto\share\formats\docx\warning.png" id="76"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Advertencia metodológica.</w:t>
            </w:r>
            <w:r>
              <w:t xml:space="preserve"> </w:t>
            </w:r>
            <w:r>
              <w:t xml:space="preserve">Los códigos</w:t>
            </w:r>
            <w:r>
              <w:t xml:space="preserve"> </w:t>
            </w:r>
            <w:r>
              <w:rPr>
                <w:b/>
                <w:bCs/>
              </w:rPr>
              <w:t xml:space="preserve">7421</w:t>
            </w:r>
            <w:r>
              <w:t xml:space="preserve"> </w:t>
            </w:r>
            <w:r>
              <w:t xml:space="preserve">(geología/arquitectura/ingeniería) y</w:t>
            </w:r>
            <w:r>
              <w:t xml:space="preserve"> </w:t>
            </w:r>
            <w:r>
              <w:rPr>
                <w:b/>
                <w:bCs/>
              </w:rPr>
              <w:t xml:space="preserve">7499</w:t>
            </w:r>
            <w:r>
              <w:t xml:space="preserve"> </w:t>
            </w:r>
            <w:r>
              <w:t xml:space="preserve">(diseño/traducción/cobranzas) son</w:t>
            </w:r>
            <w:r>
              <w:t xml:space="preserve"> </w:t>
            </w:r>
            <w:r>
              <w:rPr>
                <w:b/>
                <w:bCs/>
              </w:rPr>
              <w:t xml:space="preserve">proxies</w:t>
            </w:r>
            <w:r>
              <w:t xml:space="preserve">: el SIPA no permite aislar la actividad EC específica dentro de ellos. Bajo esta definición, el</w:t>
            </w:r>
            <w:r>
              <w:t xml:space="preserve"> </w:t>
            </w:r>
            <w:r>
              <w:rPr>
                <w:b/>
                <w:bCs/>
              </w:rPr>
              <w:t xml:space="preserve">67,7% del conteo EC depende de estos dos proxies</w:t>
            </w:r>
            <w:r>
              <w:t xml:space="preserve">. El conteo es un</w:t>
            </w:r>
            <w:r>
              <w:t xml:space="preserve"> </w:t>
            </w:r>
            <w:r>
              <w:rPr>
                <w:b/>
                <w:bCs/>
              </w:rPr>
              <w:t xml:space="preserve">techo superior</w:t>
            </w:r>
            <w:r>
              <w:t xml:space="preserve">, no exacto. Excluye 9220 (agencias de noticias).</w:t>
            </w:r>
          </w:p>
          <w:p/>
        </w:tc>
      </w:tr>
    </w:tbl>
    <w:bookmarkEnd w:id="77"/>
    <w:bookmarkStart w:id="82" w:name="evolución-20192025"/>
    <w:p>
      <w:pPr>
        <w:pStyle w:val="Heading2"/>
      </w:pPr>
      <w:r>
        <w:t xml:space="preserve">6.2 Evolución 2019–2025</w:t>
      </w:r>
    </w:p>
    <w:p>
      <w:pPr>
        <w:pStyle w:val="SourceCode"/>
      </w:pPr>
      <w:r>
        <w:rPr>
          <w:rStyle w:val="VerbatimChar"/>
        </w:rPr>
        <w:t xml:space="preserve">[warn] fig_empresas_serie: fig_empresas_serie() missing 1 required positional argument: 'ruta'</w:t>
      </w:r>
    </w:p>
    <w:tbl>
      <w:tblPr>
        <w:tblStyle w:val="Table"/>
        <w:tblW w:type="pct" w:w="5000"/>
        <w:tblLayout w:type="fixed"/>
        <w:tblLook w:firstRow="0" w:lastRow="0" w:firstColumn="0" w:lastColumn="0" w:noHBand="0" w:noVBand="0" w:val="0000"/>
      </w:tblPr>
      <w:tblGrid>
        <w:gridCol w:w="7920"/>
      </w:tblGrid>
      <w:tr>
        <w:tc>
          <w:tcPr/>
          <w:bookmarkStart w:id="81" w:name="fig-emp-serie"/>
          <w:p>
            <w:pPr>
              <w:pStyle w:val="Compact"/>
              <w:jc w:val="center"/>
            </w:pPr>
            <w:r>
              <w:drawing>
                <wp:inline>
                  <wp:extent cx="5334000" cy="2524259"/>
                  <wp:effectExtent b="0" l="0" r="0" t="0"/>
                  <wp:docPr descr="" title="" id="79" name="Picture"/>
                  <a:graphic>
                    <a:graphicData uri="http://schemas.openxmlformats.org/drawingml/2006/picture">
                      <pic:pic>
                        <pic:nvPicPr>
                          <pic:cNvPr descr="figuras/F11_empresas_serie.png" id="80" name="Picture"/>
                          <pic:cNvPicPr>
                            <a:picLocks noChangeArrowheads="1" noChangeAspect="1"/>
                          </pic:cNvPicPr>
                        </pic:nvPicPr>
                        <pic:blipFill>
                          <a:blip r:embed="rId78"/>
                          <a:stretch>
                            <a:fillRect/>
                          </a:stretch>
                        </pic:blipFill>
                        <pic:spPr bwMode="auto">
                          <a:xfrm>
                            <a:off x="0" y="0"/>
                            <a:ext cx="5334000" cy="2524259"/>
                          </a:xfrm>
                          <a:prstGeom prst="rect">
                            <a:avLst/>
                          </a:prstGeom>
                          <a:noFill/>
                          <a:ln w="9525">
                            <a:noFill/>
                            <a:headEnd/>
                            <a:tailEnd/>
                          </a:ln>
                        </pic:spPr>
                      </pic:pic>
                    </a:graphicData>
                  </a:graphic>
                </wp:inline>
              </w:drawing>
            </w:r>
          </w:p>
          <w:p>
            <w:pPr>
              <w:jc w:val="center"/>
            </w:pPr>
            <w:pPr>
              <w:jc w:val="left"/>
              <w:spacing w:before="200"/>
              <w:pStyle w:val="ImageCaption"/>
            </w:pPr>
            <w:r>
              <w:t xml:space="preserve">Figura 9: Empresas totales y de Actividades EC en La Rioja (2019–2025). La fuente no publica datos para 2023.</w:t>
            </w:r>
          </w:p>
          <w:bookmarkEnd w:id="81"/>
        </w:tc>
      </w:tr>
    </w:tbl>
    <w:p>
      <w:pPr>
        <w:pStyle w:val="BodyText"/>
      </w:pP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Año</w:t>
            </w:r>
          </w:p>
        </w:tc>
        <w:tc>
          <w:tcPr/>
          <w:p>
            <w:pPr>
              <w:pStyle w:val="Compact"/>
              <w:jc w:val="right"/>
            </w:pPr>
            <w:r>
              <w:t xml:space="preserve">Total EC</w:t>
            </w:r>
          </w:p>
        </w:tc>
        <w:tc>
          <w:tcPr/>
          <w:p>
            <w:pPr>
              <w:pStyle w:val="Compact"/>
              <w:jc w:val="right"/>
            </w:pPr>
            <w:r>
              <w:t xml:space="preserve">Share del total provincial</w:t>
            </w:r>
          </w:p>
        </w:tc>
      </w:tr>
      <w:tr>
        <w:tc>
          <w:tcPr/>
          <w:p>
            <w:pPr>
              <w:pStyle w:val="Compact"/>
              <w:jc w:val="center"/>
            </w:pPr>
            <w:r>
              <w:t xml:space="preserve">2019</w:t>
            </w:r>
          </w:p>
        </w:tc>
        <w:tc>
          <w:tcPr/>
          <w:p>
            <w:pPr>
              <w:pStyle w:val="Compact"/>
              <w:jc w:val="right"/>
            </w:pPr>
            <w:r>
              <w:t xml:space="preserve">70</w:t>
            </w:r>
          </w:p>
        </w:tc>
        <w:tc>
          <w:tcPr/>
          <w:p>
            <w:pPr>
              <w:pStyle w:val="Compact"/>
              <w:jc w:val="right"/>
            </w:pPr>
            <w:r>
              <w:t xml:space="preserve">2,76%</w:t>
            </w:r>
          </w:p>
        </w:tc>
      </w:tr>
      <w:tr>
        <w:tc>
          <w:tcPr/>
          <w:p>
            <w:pPr>
              <w:pStyle w:val="Compact"/>
              <w:jc w:val="center"/>
            </w:pPr>
            <w:r>
              <w:t xml:space="preserve">2020</w:t>
            </w:r>
          </w:p>
        </w:tc>
        <w:tc>
          <w:tcPr/>
          <w:p>
            <w:pPr>
              <w:pStyle w:val="Compact"/>
              <w:jc w:val="right"/>
            </w:pPr>
            <w:r>
              <w:t xml:space="preserve">65</w:t>
            </w:r>
          </w:p>
        </w:tc>
        <w:tc>
          <w:tcPr/>
          <w:p>
            <w:pPr>
              <w:pStyle w:val="Compact"/>
              <w:jc w:val="right"/>
            </w:pPr>
            <w:r>
              <w:t xml:space="preserve">2,69%</w:t>
            </w:r>
          </w:p>
        </w:tc>
      </w:tr>
      <w:tr>
        <w:tc>
          <w:tcPr/>
          <w:p>
            <w:pPr>
              <w:pStyle w:val="Compact"/>
              <w:jc w:val="center"/>
            </w:pPr>
            <w:r>
              <w:t xml:space="preserve">2021</w:t>
            </w:r>
          </w:p>
        </w:tc>
        <w:tc>
          <w:tcPr/>
          <w:p>
            <w:pPr>
              <w:pStyle w:val="Compact"/>
              <w:jc w:val="right"/>
            </w:pPr>
            <w:r>
              <w:t xml:space="preserve">74</w:t>
            </w:r>
          </w:p>
        </w:tc>
        <w:tc>
          <w:tcPr/>
          <w:p>
            <w:pPr>
              <w:pStyle w:val="Compact"/>
              <w:jc w:val="right"/>
            </w:pPr>
            <w:r>
              <w:t xml:space="preserve">3,01%</w:t>
            </w:r>
          </w:p>
        </w:tc>
      </w:tr>
      <w:tr>
        <w:tc>
          <w:tcPr/>
          <w:p>
            <w:pPr>
              <w:pStyle w:val="Compact"/>
              <w:jc w:val="center"/>
            </w:pPr>
            <w:r>
              <w:t xml:space="preserve">2022</w:t>
            </w:r>
          </w:p>
        </w:tc>
        <w:tc>
          <w:tcPr/>
          <w:p>
            <w:pPr>
              <w:pStyle w:val="Compact"/>
              <w:jc w:val="right"/>
            </w:pPr>
            <w:r>
              <w:t xml:space="preserve">95</w:t>
            </w:r>
          </w:p>
        </w:tc>
        <w:tc>
          <w:tcPr/>
          <w:p>
            <w:pPr>
              <w:pStyle w:val="Compact"/>
              <w:jc w:val="right"/>
            </w:pPr>
            <w:r>
              <w:t xml:space="preserve">3,31%</w:t>
            </w:r>
          </w:p>
        </w:tc>
      </w:tr>
      <w:tr>
        <w:tc>
          <w:tcPr/>
          <w:p>
            <w:pPr>
              <w:pStyle w:val="Compact"/>
              <w:jc w:val="center"/>
            </w:pPr>
            <w:r>
              <w:t xml:space="preserve">2023</w:t>
            </w:r>
          </w:p>
        </w:tc>
        <w:tc>
          <w:tcPr/>
          <w:p>
            <w:pPr>
              <w:pStyle w:val="Compact"/>
              <w:jc w:val="right"/>
            </w:pPr>
            <w:r>
              <w:rPr>
                <w:i/>
                <w:iCs/>
              </w:rPr>
              <w:t xml:space="preserve">s/d</w:t>
            </w:r>
          </w:p>
        </w:tc>
        <w:tc>
          <w:tcPr/>
          <w:p>
            <w:pPr>
              <w:pStyle w:val="Compact"/>
              <w:jc w:val="right"/>
            </w:pPr>
            <w:r>
              <w:t xml:space="preserve">—</w:t>
            </w:r>
          </w:p>
        </w:tc>
      </w:tr>
      <w:tr>
        <w:tc>
          <w:tcPr/>
          <w:p>
            <w:pPr>
              <w:pStyle w:val="Compact"/>
              <w:jc w:val="center"/>
            </w:pPr>
            <w:r>
              <w:t xml:space="preserve">2024</w:t>
            </w:r>
          </w:p>
        </w:tc>
        <w:tc>
          <w:tcPr/>
          <w:p>
            <w:pPr>
              <w:pStyle w:val="Compact"/>
              <w:jc w:val="right"/>
            </w:pPr>
            <w:r>
              <w:t xml:space="preserve">102</w:t>
            </w:r>
          </w:p>
        </w:tc>
        <w:tc>
          <w:tcPr/>
          <w:p>
            <w:pPr>
              <w:pStyle w:val="Compact"/>
              <w:jc w:val="right"/>
            </w:pPr>
            <w:r>
              <w:t xml:space="preserve">3,13%</w:t>
            </w:r>
          </w:p>
        </w:tc>
      </w:tr>
      <w:tr>
        <w:tc>
          <w:tcPr/>
          <w:p>
            <w:pPr>
              <w:pStyle w:val="Compact"/>
              <w:jc w:val="center"/>
            </w:pPr>
            <w:r>
              <w:t xml:space="preserve">2025 (prelim.)</w:t>
            </w:r>
          </w:p>
        </w:tc>
        <w:tc>
          <w:tcPr/>
          <w:p>
            <w:pPr>
              <w:pStyle w:val="Compact"/>
              <w:jc w:val="right"/>
            </w:pPr>
            <w:r>
              <w:t xml:space="preserve">84</w:t>
            </w:r>
          </w:p>
        </w:tc>
        <w:tc>
          <w:tcPr/>
          <w:p>
            <w:pPr>
              <w:pStyle w:val="Compact"/>
              <w:jc w:val="right"/>
            </w:pPr>
            <w:r>
              <w:t xml:space="preserve">2,86%</w:t>
            </w:r>
          </w:p>
        </w:tc>
      </w:tr>
    </w:tbl>
    <w:p>
      <w:pPr>
        <w:pStyle w:val="BodyText"/>
      </w:pPr>
      <w:r>
        <w:rPr>
          <w:b/>
          <w:bCs/>
        </w:rPr>
        <w:t xml:space="preserve">Hallazgos:</w:t>
      </w:r>
    </w:p>
    <w:p>
      <w:pPr>
        <w:pStyle w:val="Compact"/>
        <w:numPr>
          <w:ilvl w:val="0"/>
          <w:numId w:val="1004"/>
        </w:numPr>
      </w:pPr>
      <w:r>
        <w:t xml:space="preserve">El total de empresas EC pasó de 70 (2019) a 102 (2024):</w:t>
      </w:r>
      <w:r>
        <w:t xml:space="preserve"> </w:t>
      </w:r>
      <w:r>
        <w:rPr>
          <w:b/>
          <w:bCs/>
        </w:rPr>
        <w:t xml:space="preserve">+45,7%</w:t>
      </w:r>
      <w:r>
        <w:t xml:space="preserve">.</w:t>
      </w:r>
    </w:p>
    <w:p>
      <w:pPr>
        <w:pStyle w:val="Compact"/>
        <w:numPr>
          <w:ilvl w:val="0"/>
          <w:numId w:val="1004"/>
        </w:numPr>
      </w:pPr>
      <w:r>
        <w:t xml:space="preserve">En 2025 se observa una caída del</w:t>
      </w:r>
      <w:r>
        <w:t xml:space="preserve"> </w:t>
      </w:r>
      <w:r>
        <w:rPr>
          <w:b/>
          <w:bCs/>
        </w:rPr>
        <w:t xml:space="preserve">−17,6%</w:t>
      </w:r>
      <w:r>
        <w:t xml:space="preserve"> </w:t>
      </w:r>
      <w:r>
        <w:t xml:space="preserve">(84 empresas, dato preliminar).</w:t>
      </w:r>
    </w:p>
    <w:p>
      <w:pPr>
        <w:pStyle w:val="Compact"/>
        <w:numPr>
          <w:ilvl w:val="0"/>
          <w:numId w:val="1004"/>
        </w:numPr>
      </w:pPr>
      <w:r>
        <w:rPr>
          <w:b/>
          <w:bCs/>
        </w:rPr>
        <w:t xml:space="preserve">2023 no tiene dato de empresas</w:t>
      </w:r>
      <w:r>
        <w:t xml:space="preserve"> </w:t>
      </w:r>
      <w:r>
        <w:t xml:space="preserve">en SIPA-OEDE.</w:t>
      </w:r>
    </w:p>
    <w:bookmarkEnd w:id="82"/>
    <w:bookmarkStart w:id="83" w:name="composición-por-bloque"/>
    <w:p>
      <w:pPr>
        <w:pStyle w:val="Heading2"/>
      </w:pPr>
      <w:r>
        <w:t xml:space="preserve">6.3 Composición por bloque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Bloque</w:t>
            </w:r>
          </w:p>
        </w:tc>
        <w:tc>
          <w:tcPr/>
          <w:p>
            <w:pPr>
              <w:pStyle w:val="Compact"/>
              <w:jc w:val="right"/>
            </w:pPr>
            <w:r>
              <w:t xml:space="preserve">2019</w:t>
            </w:r>
          </w:p>
        </w:tc>
        <w:tc>
          <w:tcPr/>
          <w:p>
            <w:pPr>
              <w:pStyle w:val="Compact"/>
              <w:jc w:val="right"/>
            </w:pPr>
            <w:r>
              <w:t xml:space="preserve">2020</w:t>
            </w:r>
          </w:p>
        </w:tc>
        <w:tc>
          <w:tcPr/>
          <w:p>
            <w:pPr>
              <w:pStyle w:val="Compact"/>
              <w:jc w:val="right"/>
            </w:pPr>
            <w:r>
              <w:t xml:space="preserve">2021</w:t>
            </w:r>
          </w:p>
        </w:tc>
        <w:tc>
          <w:tcPr/>
          <w:p>
            <w:pPr>
              <w:pStyle w:val="Compact"/>
              <w:jc w:val="right"/>
            </w:pPr>
            <w:r>
              <w:t xml:space="preserve">2022</w:t>
            </w:r>
          </w:p>
        </w:tc>
        <w:tc>
          <w:tcPr/>
          <w:p>
            <w:pPr>
              <w:pStyle w:val="Compact"/>
              <w:jc w:val="right"/>
            </w:pPr>
            <w:r>
              <w:t xml:space="preserve">2024</w:t>
            </w:r>
          </w:p>
        </w:tc>
        <w:tc>
          <w:tcPr/>
          <w:p>
            <w:pPr>
              <w:pStyle w:val="Compact"/>
              <w:jc w:val="right"/>
            </w:pPr>
            <w:r>
              <w:t xml:space="preserve">2025</w:t>
            </w:r>
          </w:p>
        </w:tc>
      </w:tr>
      <w:tr>
        <w:tc>
          <w:tcPr/>
          <w:p>
            <w:pPr>
              <w:pStyle w:val="Compact"/>
              <w:jc w:val="left"/>
            </w:pPr>
            <w:r>
              <w:t xml:space="preserve">Software y SI</w:t>
            </w:r>
          </w:p>
        </w:tc>
        <w:tc>
          <w:tcPr/>
          <w:p>
            <w:pPr>
              <w:pStyle w:val="Compact"/>
              <w:jc w:val="right"/>
            </w:pPr>
            <w:r>
              <w:t xml:space="preserve">6</w:t>
            </w:r>
          </w:p>
        </w:tc>
        <w:tc>
          <w:tcPr/>
          <w:p>
            <w:pPr>
              <w:pStyle w:val="Compact"/>
              <w:jc w:val="right"/>
            </w:pPr>
            <w:r>
              <w:t xml:space="preserve">11</w:t>
            </w:r>
          </w:p>
        </w:tc>
        <w:tc>
          <w:tcPr/>
          <w:p>
            <w:pPr>
              <w:pStyle w:val="Compact"/>
              <w:jc w:val="right"/>
            </w:pPr>
            <w:r>
              <w:t xml:space="preserve">17</w:t>
            </w:r>
          </w:p>
        </w:tc>
        <w:tc>
          <w:tcPr/>
          <w:p>
            <w:pPr>
              <w:pStyle w:val="Compact"/>
              <w:jc w:val="right"/>
            </w:pPr>
            <w:r>
              <w:t xml:space="preserve">25</w:t>
            </w:r>
          </w:p>
        </w:tc>
        <w:tc>
          <w:tcPr/>
          <w:p>
            <w:pPr>
              <w:pStyle w:val="Compact"/>
              <w:jc w:val="right"/>
            </w:pPr>
            <w:r>
              <w:t xml:space="preserve">28</w:t>
            </w:r>
          </w:p>
        </w:tc>
        <w:tc>
          <w:tcPr/>
          <w:p>
            <w:pPr>
              <w:pStyle w:val="Compact"/>
              <w:jc w:val="right"/>
            </w:pPr>
            <w:r>
              <w:t xml:space="preserve">25</w:t>
            </w:r>
          </w:p>
        </w:tc>
      </w:tr>
      <w:tr>
        <w:tc>
          <w:tcPr/>
          <w:p>
            <w:pPr>
              <w:pStyle w:val="Compact"/>
              <w:jc w:val="left"/>
            </w:pPr>
            <w:r>
              <w:t xml:space="preserve">Ingeniería y geología (proxy)</w:t>
            </w:r>
          </w:p>
        </w:tc>
        <w:tc>
          <w:tcPr/>
          <w:p>
            <w:pPr>
              <w:pStyle w:val="Compact"/>
              <w:jc w:val="right"/>
            </w:pPr>
            <w:r>
              <w:t xml:space="preserve">29</w:t>
            </w:r>
          </w:p>
        </w:tc>
        <w:tc>
          <w:tcPr/>
          <w:p>
            <w:pPr>
              <w:pStyle w:val="Compact"/>
              <w:jc w:val="right"/>
            </w:pPr>
            <w:r>
              <w:t xml:space="preserve">22</w:t>
            </w:r>
          </w:p>
        </w:tc>
        <w:tc>
          <w:tcPr/>
          <w:p>
            <w:pPr>
              <w:pStyle w:val="Compact"/>
              <w:jc w:val="right"/>
            </w:pPr>
            <w:r>
              <w:t xml:space="preserve">25</w:t>
            </w:r>
          </w:p>
        </w:tc>
        <w:tc>
          <w:tcPr/>
          <w:p>
            <w:pPr>
              <w:pStyle w:val="Compact"/>
              <w:jc w:val="right"/>
            </w:pPr>
            <w:r>
              <w:t xml:space="preserve">26</w:t>
            </w:r>
          </w:p>
        </w:tc>
        <w:tc>
          <w:tcPr/>
          <w:p>
            <w:pPr>
              <w:pStyle w:val="Compact"/>
              <w:jc w:val="right"/>
            </w:pPr>
            <w:r>
              <w:t xml:space="preserve">31</w:t>
            </w:r>
          </w:p>
        </w:tc>
        <w:tc>
          <w:tcPr/>
          <w:p>
            <w:pPr>
              <w:pStyle w:val="Compact"/>
              <w:jc w:val="right"/>
            </w:pPr>
            <w:r>
              <w:t xml:space="preserve">28</w:t>
            </w:r>
          </w:p>
        </w:tc>
      </w:tr>
      <w:tr>
        <w:tc>
          <w:tcPr/>
          <w:p>
            <w:pPr>
              <w:pStyle w:val="Compact"/>
              <w:jc w:val="left"/>
            </w:pPr>
            <w:r>
              <w:t xml:space="preserve">Servicios profesionales (proxy)</w:t>
            </w:r>
          </w:p>
        </w:tc>
        <w:tc>
          <w:tcPr/>
          <w:p>
            <w:pPr>
              <w:pStyle w:val="Compact"/>
              <w:jc w:val="right"/>
            </w:pPr>
            <w:r>
              <w:t xml:space="preserve">29</w:t>
            </w:r>
          </w:p>
        </w:tc>
        <w:tc>
          <w:tcPr/>
          <w:p>
            <w:pPr>
              <w:pStyle w:val="Compact"/>
              <w:jc w:val="right"/>
            </w:pPr>
            <w:r>
              <w:t xml:space="preserve">32</w:t>
            </w:r>
          </w:p>
        </w:tc>
        <w:tc>
          <w:tcPr/>
          <w:p>
            <w:pPr>
              <w:pStyle w:val="Compact"/>
              <w:jc w:val="right"/>
            </w:pPr>
            <w:r>
              <w:t xml:space="preserve">28</w:t>
            </w:r>
          </w:p>
        </w:tc>
        <w:tc>
          <w:tcPr/>
          <w:p>
            <w:pPr>
              <w:pStyle w:val="Compact"/>
              <w:jc w:val="right"/>
            </w:pPr>
            <w:r>
              <w:t xml:space="preserve">40</w:t>
            </w:r>
          </w:p>
        </w:tc>
        <w:tc>
          <w:tcPr/>
          <w:p>
            <w:pPr>
              <w:pStyle w:val="Compact"/>
              <w:jc w:val="right"/>
            </w:pPr>
            <w:r>
              <w:t xml:space="preserve">38</w:t>
            </w:r>
          </w:p>
        </w:tc>
        <w:tc>
          <w:tcPr/>
          <w:p>
            <w:pPr>
              <w:pStyle w:val="Compact"/>
              <w:jc w:val="right"/>
            </w:pPr>
            <w:r>
              <w:t xml:space="preserve">31</w:t>
            </w:r>
          </w:p>
        </w:tc>
      </w:tr>
      <w:tr>
        <w:tc>
          <w:tcPr/>
          <w:p>
            <w:pPr>
              <w:pStyle w:val="Compact"/>
              <w:jc w:val="left"/>
            </w:pPr>
            <w:r>
              <w:t xml:space="preserve">Publicidad</w:t>
            </w:r>
          </w:p>
        </w:tc>
        <w:tc>
          <w:tcPr/>
          <w:p>
            <w:pPr>
              <w:pStyle w:val="Compact"/>
              <w:jc w:val="right"/>
            </w:pPr>
            <w:r>
              <w:t xml:space="preserve">6</w:t>
            </w:r>
          </w:p>
        </w:tc>
        <w:tc>
          <w:tcPr/>
          <w:p>
            <w:pPr>
              <w:pStyle w:val="Compact"/>
              <w:jc w:val="right"/>
            </w:pPr>
            <w:r>
              <w:t xml:space="preserve">0</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0</w:t>
            </w:r>
          </w:p>
        </w:tc>
      </w:tr>
    </w:tbl>
    <w:p>
      <w:pPr>
        <w:pStyle w:val="BodyText"/>
      </w:pPr>
      <w:r>
        <w:rPr>
          <w:b/>
          <w:bCs/>
        </w:rPr>
        <w:t xml:space="preserve">Hallazgos:</w:t>
      </w:r>
    </w:p>
    <w:p>
      <w:pPr>
        <w:pStyle w:val="Compact"/>
        <w:numPr>
          <w:ilvl w:val="0"/>
          <w:numId w:val="1005"/>
        </w:numPr>
      </w:pPr>
      <w:r>
        <w:t xml:space="preserve">El</w:t>
      </w:r>
      <w:r>
        <w:t xml:space="preserve"> </w:t>
      </w:r>
      <w:r>
        <w:rPr>
          <w:b/>
          <w:bCs/>
        </w:rPr>
        <w:t xml:space="preserve">software</w:t>
      </w:r>
      <w:r>
        <w:t xml:space="preserve"> </w:t>
      </w:r>
      <w:r>
        <w:t xml:space="preserve">se estancó entre 2022 y 2025 (25 → 28 → 25).</w:t>
      </w:r>
    </w:p>
    <w:p>
      <w:pPr>
        <w:pStyle w:val="Compact"/>
        <w:numPr>
          <w:ilvl w:val="0"/>
          <w:numId w:val="1005"/>
        </w:numPr>
      </w:pPr>
      <w:r>
        <w:rPr>
          <w:b/>
          <w:bCs/>
        </w:rPr>
        <w:t xml:space="preserve">Publicidad colapsó a 0</w:t>
      </w:r>
      <w:r>
        <w:t xml:space="preserve"> </w:t>
      </w:r>
      <w:r>
        <w:t xml:space="preserve">en 2025.</w:t>
      </w:r>
    </w:p>
    <w:p>
      <w:pPr>
        <w:pStyle w:val="Compact"/>
        <w:numPr>
          <w:ilvl w:val="0"/>
          <w:numId w:val="1005"/>
        </w:numPr>
      </w:pPr>
      <w:r>
        <w:t xml:space="preserve">Los</w:t>
      </w:r>
      <w:r>
        <w:t xml:space="preserve"> </w:t>
      </w:r>
      <w:r>
        <w:rPr>
          <w:b/>
          <w:bCs/>
        </w:rPr>
        <w:t xml:space="preserve">proxies</w:t>
      </w:r>
      <w:r>
        <w:t xml:space="preserve"> </w:t>
      </w:r>
      <w:r>
        <w:t xml:space="preserve">(7421 + 7499) concentran el 67,7% del conteo EC.</w:t>
      </w:r>
    </w:p>
    <w:bookmarkEnd w:id="83"/>
    <w:bookmarkEnd w:id="84"/>
    <w:bookmarkStart w:id="97" w:name="sec-empleo-ec"/>
    <w:p>
      <w:pPr>
        <w:pStyle w:val="Heading1"/>
      </w:pPr>
      <w:r>
        <w:t xml:space="preserve">7. Empleo EC</w:t>
      </w:r>
    </w:p>
    <w:bookmarkStart w:id="87" w:name="definición-y-método-1"/>
    <w:p>
      <w:pPr>
        <w:pStyle w:val="Heading2"/>
      </w:pPr>
      <w:r>
        <w:t xml:space="preserve">7.1 Definición y método</w:t>
      </w:r>
    </w:p>
    <w:p>
      <w:pPr>
        <w:pStyle w:val="FirstParagraph"/>
      </w:pPr>
      <w:r>
        <w:t xml:space="preserve">El empleo EC se calcula con la</w:t>
      </w:r>
      <w:r>
        <w:t xml:space="preserve"> </w:t>
      </w:r>
      <w:r>
        <w:rPr>
          <w:b/>
          <w:bCs/>
        </w:rPr>
        <w:t xml:space="preserve">definición de núcleo informático</w:t>
      </w:r>
      <w:r>
        <w:t xml:space="preserve"> </w:t>
      </w:r>
      <w:r>
        <w:t xml:space="preserve">(CIIU 7210, 7220, 7290), consistente con el resto del análisis (prima salarial, recaudación y empresas EC). La serie se construye como</w:t>
      </w:r>
      <w:r>
        <w:t xml:space="preserve"> </w:t>
      </w:r>
      <w:r>
        <w:rPr>
          <w:b/>
          <w:bCs/>
        </w:rPr>
        <w:t xml:space="preserve">stock promedio anual de puestos de trabajo</w:t>
      </w:r>
      <w:r>
        <w:t xml:space="preserve">, calculado como el promedio de los cuatro trimestres de cada año.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C:\Users\HP\AppData\Local\Programs\Quarto\share\formats\docx\note.png" id="8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Por qué núcleo.</w:t>
            </w:r>
            <w:r>
              <w:t xml:space="preserve"> </w:t>
            </w:r>
            <w:r>
              <w:t xml:space="preserve">El CIIU 7210 (consultores en equipo)</w:t>
            </w:r>
            <w:r>
              <w:t xml:space="preserve"> </w:t>
            </w:r>
            <w:r>
              <w:rPr>
                <w:b/>
                <w:bCs/>
              </w:rPr>
              <w:t xml:space="preserve">no tiene dato de empleo ni de salario</w:t>
            </w:r>
            <w:r>
              <w:t xml:space="preserve"> </w:t>
            </w:r>
            <w:r>
              <w:t xml:space="preserve">en el archivo SIPA-OEDE 4 dígitos. En la práctica, el núcleo se calcula como suma de 7220 + 7290. Se mantiene 7210 en la definición porque integra el conjunto canónico EC del proyecto.</w:t>
            </w:r>
          </w:p>
          <w:p/>
        </w:tc>
      </w:tr>
    </w:tbl>
    <w:bookmarkEnd w:id="87"/>
    <w:bookmarkStart w:id="88" w:name="serie-2019-2025"/>
    <w:p>
      <w:pPr>
        <w:pStyle w:val="Heading2"/>
      </w:pPr>
      <w:r>
        <w:t xml:space="preserve">7.2 Serie 2019-2025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Año</w:t>
            </w:r>
          </w:p>
        </w:tc>
        <w:tc>
          <w:tcPr/>
          <w:p>
            <w:pPr>
              <w:pStyle w:val="Compact"/>
              <w:jc w:val="right"/>
            </w:pPr>
            <w:r>
              <w:t xml:space="preserve">Empleo EC (núcleo)</w:t>
            </w:r>
          </w:p>
        </w:tc>
        <w:tc>
          <w:tcPr/>
          <w:p>
            <w:pPr>
              <w:pStyle w:val="Compact"/>
              <w:jc w:val="right"/>
            </w:pPr>
            <w:r>
              <w:t xml:space="preserve">Empleo total provincial</w:t>
            </w:r>
          </w:p>
        </w:tc>
        <w:tc>
          <w:tcPr/>
          <w:p>
            <w:pPr>
              <w:pStyle w:val="Compact"/>
              <w:jc w:val="right"/>
            </w:pPr>
            <w:r>
              <w:t xml:space="preserve">Participación</w:t>
            </w:r>
          </w:p>
        </w:tc>
      </w:tr>
      <w:tr>
        <w:tc>
          <w:tcPr/>
          <w:p>
            <w:pPr>
              <w:pStyle w:val="Compact"/>
              <w:jc w:val="center"/>
            </w:pPr>
            <w:r>
              <w:t xml:space="preserve">2019</w:t>
            </w:r>
          </w:p>
        </w:tc>
        <w:tc>
          <w:tcPr/>
          <w:p>
            <w:pPr>
              <w:pStyle w:val="Compact"/>
              <w:jc w:val="right"/>
            </w:pPr>
            <w:r>
              <w:t xml:space="preserve">11,5</w:t>
            </w:r>
          </w:p>
        </w:tc>
        <w:tc>
          <w:tcPr/>
          <w:p>
            <w:pPr>
              <w:pStyle w:val="Compact"/>
              <w:jc w:val="right"/>
            </w:pPr>
            <w:r>
              <w:t xml:space="preserve">26.894</w:t>
            </w:r>
          </w:p>
        </w:tc>
        <w:tc>
          <w:tcPr/>
          <w:p>
            <w:pPr>
              <w:pStyle w:val="Compact"/>
              <w:jc w:val="right"/>
            </w:pPr>
            <w:r>
              <w:rPr>
                <w:b/>
                <w:bCs/>
              </w:rPr>
              <w:t xml:space="preserve">0,043%</w:t>
            </w:r>
          </w:p>
        </w:tc>
      </w:tr>
      <w:tr>
        <w:tc>
          <w:tcPr/>
          <w:p>
            <w:pPr>
              <w:pStyle w:val="Compact"/>
              <w:jc w:val="center"/>
            </w:pPr>
            <w:r>
              <w:t xml:space="preserve">2020</w:t>
            </w:r>
          </w:p>
        </w:tc>
        <w:tc>
          <w:tcPr/>
          <w:p>
            <w:pPr>
              <w:pStyle w:val="Compact"/>
              <w:jc w:val="right"/>
            </w:pPr>
            <w:r>
              <w:t xml:space="preserve">23,75</w:t>
            </w:r>
          </w:p>
        </w:tc>
        <w:tc>
          <w:tcPr/>
          <w:p>
            <w:pPr>
              <w:pStyle w:val="Compact"/>
              <w:jc w:val="right"/>
            </w:pPr>
            <w:r>
              <w:t xml:space="preserve">25.399</w:t>
            </w:r>
          </w:p>
        </w:tc>
        <w:tc>
          <w:tcPr/>
          <w:p>
            <w:pPr>
              <w:pStyle w:val="Compact"/>
              <w:jc w:val="right"/>
            </w:pPr>
            <w:r>
              <w:rPr>
                <w:b/>
                <w:bCs/>
              </w:rPr>
              <w:t xml:space="preserve">0,094%</w:t>
            </w:r>
          </w:p>
        </w:tc>
      </w:tr>
      <w:tr>
        <w:tc>
          <w:tcPr/>
          <w:p>
            <w:pPr>
              <w:pStyle w:val="Compact"/>
              <w:jc w:val="center"/>
            </w:pPr>
            <w:r>
              <w:t xml:space="preserve">2021</w:t>
            </w:r>
          </w:p>
        </w:tc>
        <w:tc>
          <w:tcPr/>
          <w:p>
            <w:pPr>
              <w:pStyle w:val="Compact"/>
              <w:jc w:val="right"/>
            </w:pPr>
            <w:r>
              <w:t xml:space="preserve">29,0</w:t>
            </w:r>
          </w:p>
        </w:tc>
        <w:tc>
          <w:tcPr/>
          <w:p>
            <w:pPr>
              <w:pStyle w:val="Compact"/>
              <w:jc w:val="right"/>
            </w:pPr>
            <w:r>
              <w:t xml:space="preserve">26.245</w:t>
            </w:r>
          </w:p>
        </w:tc>
        <w:tc>
          <w:tcPr/>
          <w:p>
            <w:pPr>
              <w:pStyle w:val="Compact"/>
              <w:jc w:val="right"/>
            </w:pPr>
            <w:r>
              <w:rPr>
                <w:b/>
                <w:bCs/>
              </w:rPr>
              <w:t xml:space="preserve">0,110%</w:t>
            </w:r>
          </w:p>
        </w:tc>
      </w:tr>
      <w:tr>
        <w:tc>
          <w:tcPr/>
          <w:p>
            <w:pPr>
              <w:pStyle w:val="Compact"/>
              <w:jc w:val="center"/>
            </w:pPr>
            <w:r>
              <w:t xml:space="preserve">2022</w:t>
            </w:r>
          </w:p>
        </w:tc>
        <w:tc>
          <w:tcPr/>
          <w:p>
            <w:pPr>
              <w:pStyle w:val="Compact"/>
              <w:jc w:val="right"/>
            </w:pPr>
            <w:r>
              <w:t xml:space="preserve">65,5</w:t>
            </w:r>
          </w:p>
        </w:tc>
        <w:tc>
          <w:tcPr/>
          <w:p>
            <w:pPr>
              <w:pStyle w:val="Compact"/>
              <w:jc w:val="right"/>
            </w:pPr>
            <w:r>
              <w:t xml:space="preserve">30.125</w:t>
            </w:r>
          </w:p>
        </w:tc>
        <w:tc>
          <w:tcPr/>
          <w:p>
            <w:pPr>
              <w:pStyle w:val="Compact"/>
              <w:jc w:val="right"/>
            </w:pPr>
            <w:r>
              <w:rPr>
                <w:b/>
                <w:bCs/>
              </w:rPr>
              <w:t xml:space="preserve">0,217%</w:t>
            </w:r>
          </w:p>
        </w:tc>
      </w:tr>
      <w:tr>
        <w:tc>
          <w:tcPr/>
          <w:p>
            <w:pPr>
              <w:pStyle w:val="Compact"/>
              <w:jc w:val="center"/>
            </w:pPr>
            <w:r>
              <w:t xml:space="preserve">2023</w:t>
            </w:r>
          </w:p>
        </w:tc>
        <w:tc>
          <w:tcPr/>
          <w:p>
            <w:pPr>
              <w:pStyle w:val="Compact"/>
              <w:jc w:val="right"/>
            </w:pPr>
            <w:r>
              <w:t xml:space="preserve">78,0</w:t>
            </w:r>
          </w:p>
        </w:tc>
        <w:tc>
          <w:tcPr/>
          <w:p>
            <w:pPr>
              <w:pStyle w:val="Compact"/>
              <w:jc w:val="right"/>
            </w:pPr>
            <w:r>
              <w:t xml:space="preserve">32.701</w:t>
            </w:r>
          </w:p>
        </w:tc>
        <w:tc>
          <w:tcPr/>
          <w:p>
            <w:pPr>
              <w:pStyle w:val="Compact"/>
              <w:jc w:val="right"/>
            </w:pPr>
            <w:r>
              <w:rPr>
                <w:b/>
                <w:bCs/>
              </w:rPr>
              <w:t xml:space="preserve">0,239%</w:t>
            </w:r>
          </w:p>
        </w:tc>
      </w:tr>
      <w:tr>
        <w:tc>
          <w:tcPr/>
          <w:p>
            <w:pPr>
              <w:pStyle w:val="Compact"/>
              <w:jc w:val="center"/>
            </w:pPr>
            <w:r>
              <w:t xml:space="preserve">2024</w:t>
            </w:r>
          </w:p>
        </w:tc>
        <w:tc>
          <w:tcPr/>
          <w:p>
            <w:pPr>
              <w:pStyle w:val="Compact"/>
              <w:jc w:val="right"/>
            </w:pPr>
            <w:r>
              <w:t xml:space="preserve">61,25</w:t>
            </w:r>
          </w:p>
        </w:tc>
        <w:tc>
          <w:tcPr/>
          <w:p>
            <w:pPr>
              <w:pStyle w:val="Compact"/>
              <w:jc w:val="right"/>
            </w:pPr>
            <w:r>
              <w:t xml:space="preserve">28.008</w:t>
            </w:r>
          </w:p>
        </w:tc>
        <w:tc>
          <w:tcPr/>
          <w:p>
            <w:pPr>
              <w:pStyle w:val="Compact"/>
              <w:jc w:val="right"/>
            </w:pPr>
            <w:r>
              <w:rPr>
                <w:b/>
                <w:bCs/>
              </w:rPr>
              <w:t xml:space="preserve">0,219%</w:t>
            </w:r>
          </w:p>
        </w:tc>
      </w:tr>
      <w:tr>
        <w:tc>
          <w:tcPr/>
          <w:p>
            <w:pPr>
              <w:pStyle w:val="Compact"/>
              <w:jc w:val="center"/>
            </w:pPr>
            <w:r>
              <w:t xml:space="preserve">2025</w:t>
            </w:r>
          </w:p>
        </w:tc>
        <w:tc>
          <w:tcPr/>
          <w:p>
            <w:pPr>
              <w:pStyle w:val="Compact"/>
              <w:jc w:val="right"/>
            </w:pPr>
            <w:r>
              <w:t xml:space="preserve">59,5</w:t>
            </w:r>
          </w:p>
        </w:tc>
        <w:tc>
          <w:tcPr/>
          <w:p>
            <w:pPr>
              <w:pStyle w:val="Compact"/>
              <w:jc w:val="right"/>
            </w:pPr>
            <w:r>
              <w:t xml:space="preserve">27.047</w:t>
            </w:r>
          </w:p>
        </w:tc>
        <w:tc>
          <w:tcPr/>
          <w:p>
            <w:pPr>
              <w:pStyle w:val="Compact"/>
              <w:jc w:val="right"/>
            </w:pPr>
            <w:r>
              <w:rPr>
                <w:b/>
                <w:bCs/>
              </w:rPr>
              <w:t xml:space="preserve">0,220%</w:t>
            </w:r>
          </w:p>
        </w:tc>
      </w:tr>
    </w:tbl>
    <w:p>
      <w:pPr>
        <w:pStyle w:val="BodyText"/>
      </w:pPr>
      <w:r>
        <w:rPr>
          <w:b/>
          <w:bCs/>
        </w:rPr>
        <w:t xml:space="preserve">Fuente:</w:t>
      </w:r>
      <w:r>
        <w:t xml:space="preserve"> </w:t>
      </w:r>
      <w:r>
        <w:t xml:space="preserve">SIPA-OEDE (STEySS), CIIU 7220 + 7290. Empleo total: SIPA-OEDE, serie provincial desestacionalizada. Valores expresados como stock promedio anual de los 4 trimestres.</w:t>
      </w:r>
    </w:p>
    <w:p>
      <w:pPr>
        <w:pStyle w:val="BodyText"/>
      </w:pPr>
      <w:r>
        <w:rPr>
          <w:b/>
          <w:bCs/>
        </w:rPr>
        <w:t xml:space="preserve">Hallazgos:</w:t>
      </w:r>
    </w:p>
    <w:p>
      <w:pPr>
        <w:pStyle w:val="Compact"/>
        <w:numPr>
          <w:ilvl w:val="0"/>
          <w:numId w:val="1006"/>
        </w:numPr>
      </w:pPr>
      <w:r>
        <w:t xml:space="preserve">El empleo EC del núcleo pasó de</w:t>
      </w:r>
      <w:r>
        <w:t xml:space="preserve"> </w:t>
      </w:r>
      <w:r>
        <w:rPr>
          <w:b/>
          <w:bCs/>
        </w:rPr>
        <w:t xml:space="preserve">11,5</w:t>
      </w:r>
      <w:r>
        <w:t xml:space="preserve"> </w:t>
      </w:r>
      <w:r>
        <w:t xml:space="preserve">(2019) a</w:t>
      </w:r>
      <w:r>
        <w:t xml:space="preserve"> </w:t>
      </w:r>
      <w:r>
        <w:rPr>
          <w:b/>
          <w:bCs/>
        </w:rPr>
        <w:t xml:space="preserve">59,5</w:t>
      </w:r>
      <w:r>
        <w:t xml:space="preserve"> </w:t>
      </w:r>
      <w:r>
        <w:t xml:space="preserve">puestos (2025):</w:t>
      </w:r>
      <w:r>
        <w:t xml:space="preserve"> </w:t>
      </w:r>
      <w:r>
        <w:rPr>
          <w:b/>
          <w:bCs/>
        </w:rPr>
        <w:t xml:space="preserve">+417%</w:t>
      </w:r>
      <w:r>
        <w:t xml:space="preserve">.</w:t>
      </w:r>
    </w:p>
    <w:p>
      <w:pPr>
        <w:pStyle w:val="Compact"/>
        <w:numPr>
          <w:ilvl w:val="0"/>
          <w:numId w:val="1006"/>
        </w:numPr>
      </w:pPr>
      <w:r>
        <w:t xml:space="preserve">El pico fue</w:t>
      </w:r>
      <w:r>
        <w:t xml:space="preserve"> </w:t>
      </w:r>
      <w:r>
        <w:rPr>
          <w:b/>
          <w:bCs/>
        </w:rPr>
        <w:t xml:space="preserve">2023</w:t>
      </w:r>
      <w:r>
        <w:t xml:space="preserve"> </w:t>
      </w:r>
      <w:r>
        <w:t xml:space="preserve">con 78 puestos (0,239% del empleo provincial).</w:t>
      </w:r>
    </w:p>
    <w:p>
      <w:pPr>
        <w:pStyle w:val="Compact"/>
        <w:numPr>
          <w:ilvl w:val="0"/>
          <w:numId w:val="1006"/>
        </w:numPr>
      </w:pPr>
      <w:r>
        <w:t xml:space="preserve">Entre 2023 y 2025 el empleo EC cayó</w:t>
      </w:r>
      <w:r>
        <w:t xml:space="preserve"> </w:t>
      </w:r>
      <w:r>
        <w:rPr>
          <w:b/>
          <w:bCs/>
        </w:rPr>
        <w:t xml:space="preserve">−23,7%</w:t>
      </w:r>
      <w:r>
        <w:t xml:space="preserve"> </w:t>
      </w:r>
      <w:r>
        <w:t xml:space="preserve">(−21,5% si se compara 2024 vs. 2023).</w:t>
      </w:r>
    </w:p>
    <w:p>
      <w:pPr>
        <w:pStyle w:val="Compact"/>
        <w:numPr>
          <w:ilvl w:val="0"/>
          <w:numId w:val="1006"/>
        </w:numPr>
      </w:pPr>
      <w:r>
        <w:t xml:space="preserve">La participación en el empleo formal provincial pasó de</w:t>
      </w:r>
      <w:r>
        <w:t xml:space="preserve"> </w:t>
      </w:r>
      <w:r>
        <w:rPr>
          <w:b/>
          <w:bCs/>
        </w:rPr>
        <w:t xml:space="preserve">0,04%</w:t>
      </w:r>
      <w:r>
        <w:t xml:space="preserve"> </w:t>
      </w:r>
      <w:r>
        <w:t xml:space="preserve">a</w:t>
      </w:r>
      <w:r>
        <w:t xml:space="preserve"> </w:t>
      </w:r>
      <w:r>
        <w:rPr>
          <w:b/>
          <w:bCs/>
        </w:rPr>
        <w:t xml:space="preserve">0,22%</w:t>
      </w:r>
      <w:r>
        <w:t xml:space="preserve">: se multiplicó por 5,5.</w:t>
      </w:r>
    </w:p>
    <w:bookmarkEnd w:id="88"/>
    <w:bookmarkStart w:id="89" w:name="salario-por-ciiu-ec-dic-2025"/>
    <w:p>
      <w:pPr>
        <w:pStyle w:val="Heading2"/>
      </w:pPr>
      <w:r>
        <w:t xml:space="preserve">7.3 Salario por CIIU EC (dic-2025)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CIIU</w:t>
            </w:r>
          </w:p>
        </w:tc>
        <w:tc>
          <w:tcPr/>
          <w:p>
            <w:pPr>
              <w:pStyle w:val="Compact"/>
            </w:pPr>
            <w:r>
              <w:t xml:space="preserve">Rama</w:t>
            </w:r>
          </w:p>
        </w:tc>
        <w:tc>
          <w:tcPr/>
          <w:p>
            <w:pPr>
              <w:pStyle w:val="Compact"/>
              <w:jc w:val="right"/>
            </w:pPr>
            <w:r>
              <w:t xml:space="preserve">Salario</w:t>
            </w:r>
          </w:p>
        </w:tc>
        <w:tc>
          <w:tcPr/>
          <w:p>
            <w:pPr>
              <w:pStyle w:val="Compact"/>
              <w:jc w:val="right"/>
            </w:pPr>
            <w:r>
              <w:t xml:space="preserve">Prima vs. provincial</w:t>
            </w:r>
          </w:p>
        </w:tc>
      </w:tr>
      <w:tr>
        <w:tc>
          <w:tcPr/>
          <w:p>
            <w:pPr>
              <w:pStyle w:val="Compact"/>
              <w:jc w:val="center"/>
            </w:pPr>
            <w:r>
              <w:t xml:space="preserve">7290</w:t>
            </w:r>
          </w:p>
        </w:tc>
        <w:tc>
          <w:tcPr/>
          <w:p>
            <w:pPr>
              <w:pStyle w:val="Compact"/>
            </w:pPr>
            <w:r>
              <w:t xml:space="preserve">Informática n.c.p.</w:t>
            </w:r>
          </w:p>
        </w:tc>
        <w:tc>
          <w:tcPr/>
          <w:p>
            <w:pPr>
              <w:pStyle w:val="Compact"/>
              <w:jc w:val="right"/>
            </w:pPr>
            <w:r>
              <w:t xml:space="preserve">$4.220.278</w:t>
            </w:r>
          </w:p>
        </w:tc>
        <w:tc>
          <w:tcPr/>
          <w:p>
            <w:pPr>
              <w:pStyle w:val="Compact"/>
              <w:jc w:val="right"/>
            </w:pPr>
            <w:r>
              <w:rPr>
                <w:b/>
                <w:bCs/>
              </w:rPr>
              <w:t xml:space="preserve">+100,5%</w:t>
            </w:r>
          </w:p>
        </w:tc>
      </w:tr>
      <w:tr>
        <w:tc>
          <w:tcPr/>
          <w:p>
            <w:pPr>
              <w:pStyle w:val="Compact"/>
              <w:jc w:val="center"/>
            </w:pPr>
            <w:r>
              <w:t xml:space="preserve">7220</w:t>
            </w:r>
          </w:p>
        </w:tc>
        <w:tc>
          <w:tcPr/>
          <w:p>
            <w:pPr>
              <w:pStyle w:val="Compact"/>
            </w:pPr>
            <w:r>
              <w:t xml:space="preserve">Consultores informáticos</w:t>
            </w:r>
          </w:p>
        </w:tc>
        <w:tc>
          <w:tcPr/>
          <w:p>
            <w:pPr>
              <w:pStyle w:val="Compact"/>
              <w:jc w:val="right"/>
            </w:pPr>
            <w:r>
              <w:t xml:space="preserve">$2.786.240</w:t>
            </w:r>
          </w:p>
        </w:tc>
        <w:tc>
          <w:tcPr/>
          <w:p>
            <w:pPr>
              <w:pStyle w:val="Compact"/>
              <w:jc w:val="right"/>
            </w:pPr>
            <w:r>
              <w:t xml:space="preserve">+32,4%</w:t>
            </w:r>
          </w:p>
        </w:tc>
      </w:tr>
      <w:tr>
        <w:tc>
          <w:tcPr/>
          <w:p>
            <w:pPr>
              <w:pStyle w:val="Compact"/>
              <w:jc w:val="center"/>
            </w:pPr>
            <w:r>
              <w:t xml:space="preserve">7421</w:t>
            </w:r>
          </w:p>
        </w:tc>
        <w:tc>
          <w:tcPr/>
          <w:p>
            <w:pPr>
              <w:pStyle w:val="Compact"/>
            </w:pPr>
            <w:r>
              <w:t xml:space="preserve">Arquitectura/ingeniería (proxy)</w:t>
            </w:r>
          </w:p>
        </w:tc>
        <w:tc>
          <w:tcPr/>
          <w:p>
            <w:pPr>
              <w:pStyle w:val="Compact"/>
              <w:jc w:val="right"/>
            </w:pPr>
            <w:r>
              <w:t xml:space="preserve">$1.566.575</w:t>
            </w:r>
          </w:p>
        </w:tc>
        <w:tc>
          <w:tcPr/>
          <w:p>
            <w:pPr>
              <w:pStyle w:val="Compact"/>
              <w:jc w:val="right"/>
            </w:pPr>
            <w:r>
              <w:t xml:space="preserve">−25,6%</w:t>
            </w:r>
          </w:p>
        </w:tc>
      </w:tr>
      <w:tr>
        <w:tc>
          <w:tcPr/>
          <w:p>
            <w:pPr>
              <w:pStyle w:val="Compact"/>
              <w:jc w:val="center"/>
            </w:pPr>
            <w:r>
              <w:t xml:space="preserve">7499</w:t>
            </w:r>
          </w:p>
        </w:tc>
        <w:tc>
          <w:tcPr/>
          <w:p>
            <w:pPr>
              <w:pStyle w:val="Compact"/>
            </w:pPr>
            <w:r>
              <w:t xml:space="preserve">Servicios empresariales (proxy)</w:t>
            </w:r>
          </w:p>
        </w:tc>
        <w:tc>
          <w:tcPr/>
          <w:p>
            <w:pPr>
              <w:pStyle w:val="Compact"/>
              <w:jc w:val="right"/>
            </w:pPr>
            <w:r>
              <w:t xml:space="preserve">$1.534.016</w:t>
            </w:r>
          </w:p>
        </w:tc>
        <w:tc>
          <w:tcPr/>
          <w:p>
            <w:pPr>
              <w:pStyle w:val="Compact"/>
              <w:jc w:val="right"/>
            </w:pPr>
            <w:r>
              <w:t xml:space="preserve">−27,1%</w:t>
            </w:r>
          </w:p>
        </w:tc>
      </w:tr>
      <w:tr>
        <w:tc>
          <w:tcPr/>
          <w:p>
            <w:pPr>
              <w:pStyle w:val="Compact"/>
              <w:jc w:val="center"/>
            </w:pPr>
            <w:r>
              <w:t xml:space="preserve">7210, 7250, 7300, 7430</w:t>
            </w:r>
          </w:p>
        </w:tc>
        <w:tc>
          <w:tcPr/>
          <w:p>
            <w:pPr>
              <w:pStyle w:val="Compact"/>
            </w:pPr>
            <w:r>
              <w:t xml:space="preserve">—</w:t>
            </w:r>
          </w:p>
        </w:tc>
        <w:tc>
          <w:tcPr/>
          <w:p>
            <w:pPr>
              <w:pStyle w:val="Compact"/>
              <w:jc w:val="right"/>
            </w:pPr>
            <w:r>
              <w:t xml:space="preserve">sin datos</w:t>
            </w:r>
          </w:p>
        </w:tc>
        <w:tc>
          <w:tcPr/>
          <w:p>
            <w:pPr>
              <w:pStyle w:val="Compact"/>
              <w:jc w:val="right"/>
            </w:pPr>
            <w:r>
              <w:t xml:space="preserve">—</w:t>
            </w:r>
          </w:p>
        </w:tc>
      </w:tr>
    </w:tbl>
    <w:p>
      <w:pPr>
        <w:pStyle w:val="BodyText"/>
      </w:pPr>
      <w:r>
        <w:rPr>
          <w:b/>
          <w:bCs/>
        </w:rPr>
        <w:t xml:space="preserve">Fuente:</w:t>
      </w:r>
      <w:r>
        <w:t xml:space="preserve"> </w:t>
      </w:r>
      <w:r>
        <w:t xml:space="preserve">SIPA-OEDE, remuneraciones mensuales por CIIU 4 dígitos, dic-2025. Salario provincial de referencia: $2.104.500 (con SAC).</w:t>
      </w:r>
    </w:p>
    <w:p>
      <w:pPr>
        <w:pStyle w:val="BodyText"/>
      </w:pPr>
      <w:r>
        <w:rPr>
          <w:b/>
          <w:bCs/>
        </w:rPr>
        <w:t xml:space="preserve">Hallazgos:</w:t>
      </w:r>
    </w:p>
    <w:p>
      <w:pPr>
        <w:pStyle w:val="Compact"/>
        <w:numPr>
          <w:ilvl w:val="0"/>
          <w:numId w:val="1007"/>
        </w:numPr>
      </w:pPr>
      <w:r>
        <w:rPr>
          <w:b/>
          <w:bCs/>
        </w:rPr>
        <w:t xml:space="preserve">Informática n.c.p. paga +100%</w:t>
      </w:r>
      <w:r>
        <w:t xml:space="preserve"> </w:t>
      </w:r>
      <w:r>
        <w:t xml:space="preserve">sobre el promedio provincial.</w:t>
      </w:r>
    </w:p>
    <w:p>
      <w:pPr>
        <w:pStyle w:val="Compact"/>
        <w:numPr>
          <w:ilvl w:val="0"/>
          <w:numId w:val="1007"/>
        </w:numPr>
      </w:pPr>
      <w:r>
        <w:t xml:space="preserve">Las ramas</w:t>
      </w:r>
      <w:r>
        <w:t xml:space="preserve"> </w:t>
      </w:r>
      <w:r>
        <w:rPr>
          <w:b/>
          <w:bCs/>
        </w:rPr>
        <w:t xml:space="preserve">proxy</w:t>
      </w:r>
      <w:r>
        <w:t xml:space="preserve"> </w:t>
      </w:r>
      <w:r>
        <w:t xml:space="preserve">(7421, 7499) pagan</w:t>
      </w:r>
      <w:r>
        <w:t xml:space="preserve"> </w:t>
      </w:r>
      <w:r>
        <w:rPr>
          <w:b/>
          <w:bCs/>
        </w:rPr>
        <w:t xml:space="preserve">25-27% por debajo</w:t>
      </w:r>
      <w:r>
        <w:t xml:space="preserve"> </w:t>
      </w:r>
      <w:r>
        <w:t xml:space="preserve">del promedio provincial.</w:t>
      </w:r>
    </w:p>
    <w:p>
      <w:pPr>
        <w:pStyle w:val="Compact"/>
        <w:numPr>
          <w:ilvl w:val="0"/>
          <w:numId w:val="1007"/>
        </w:numPr>
      </w:pPr>
      <w:r>
        <w:t xml:space="preserve">La definición completa de Actividades EC</w:t>
      </w:r>
      <w:r>
        <w:t xml:space="preserve"> </w:t>
      </w:r>
      <w:r>
        <w:rPr>
          <w:b/>
          <w:bCs/>
        </w:rPr>
        <w:t xml:space="preserve">diluye la prima</w:t>
      </w:r>
      <w:r>
        <w:t xml:space="preserve"> </w:t>
      </w:r>
      <w:r>
        <w:t xml:space="preserve">por el peso de las ramas proxy.</w:t>
      </w:r>
    </w:p>
    <w:p>
      <w:pPr>
        <w:pStyle w:val="Compact"/>
        <w:numPr>
          <w:ilvl w:val="0"/>
          <w:numId w:val="1007"/>
        </w:numPr>
      </w:pPr>
      <w:r>
        <w:t xml:space="preserve">En dic-2025, el CIIU 7250 (reparación de equipos) no tiene dato publicado (en dic-2024 sí tenía: $1.233.257, prima −24,4%).</w:t>
      </w:r>
    </w:p>
    <w:bookmarkEnd w:id="89"/>
    <w:bookmarkStart w:id="92" w:name="elasticidad-empresas-empleo"/>
    <w:p>
      <w:pPr>
        <w:pStyle w:val="Heading2"/>
      </w:pPr>
      <w:r>
        <w:t xml:space="preserve">7.4 Elasticidad empresas-empleo</w:t>
      </w:r>
    </w:p>
    <w:p>
      <w:pPr>
        <w:pStyle w:val="FirstParagraph"/>
      </w:pPr>
      <w:r>
        <w:t xml:space="preserve">La relación entre empresas EC y empleo del núcleo informático</w:t>
      </w:r>
      <w:r>
        <w:t xml:space="preserve"> </w:t>
      </w:r>
      <w:r>
        <w:rPr>
          <w:b/>
          <w:bCs/>
        </w:rPr>
        <w:t xml:space="preserve">se invirtió</w:t>
      </w:r>
      <w:r>
        <w:t xml:space="preserve"> </w:t>
      </w:r>
      <w:r>
        <w:t xml:space="preserve">entre 2022 y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Año</w:t>
            </w:r>
          </w:p>
        </w:tc>
        <w:tc>
          <w:tcPr/>
          <w:p>
            <w:pPr>
              <w:pStyle w:val="Compact"/>
              <w:jc w:val="right"/>
            </w:pPr>
            <w:r>
              <w:t xml:space="preserve">Empresas EC (índice 2022=100)</w:t>
            </w:r>
          </w:p>
        </w:tc>
        <w:tc>
          <w:tcPr/>
          <w:p>
            <w:pPr>
              <w:pStyle w:val="Compact"/>
              <w:jc w:val="right"/>
            </w:pPr>
            <w:r>
              <w:t xml:space="preserve">Empleo EC (índice 2022=100)</w:t>
            </w:r>
          </w:p>
        </w:tc>
      </w:tr>
      <w:tr>
        <w:tc>
          <w:tcPr/>
          <w:p>
            <w:pPr>
              <w:pStyle w:val="Compact"/>
              <w:jc w:val="center"/>
            </w:pPr>
            <w:r>
              <w:t xml:space="preserve">2022</w:t>
            </w:r>
          </w:p>
        </w:tc>
        <w:tc>
          <w:tcPr/>
          <w:p>
            <w:pPr>
              <w:pStyle w:val="Compact"/>
              <w:jc w:val="right"/>
            </w:pPr>
            <w:r>
              <w:t xml:space="preserve">100,0</w:t>
            </w:r>
          </w:p>
        </w:tc>
        <w:tc>
          <w:tcPr/>
          <w:p>
            <w:pPr>
              <w:pStyle w:val="Compact"/>
              <w:jc w:val="right"/>
            </w:pPr>
            <w:r>
              <w:t xml:space="preserve">100,0</w:t>
            </w:r>
          </w:p>
        </w:tc>
      </w:tr>
      <w:tr>
        <w:tc>
          <w:tcPr/>
          <w:p>
            <w:pPr>
              <w:pStyle w:val="Compact"/>
              <w:jc w:val="center"/>
            </w:pPr>
            <w:r>
              <w:t xml:space="preserve">2023</w:t>
            </w:r>
          </w:p>
        </w:tc>
        <w:tc>
          <w:tcPr/>
          <w:p>
            <w:pPr>
              <w:pStyle w:val="Compact"/>
              <w:jc w:val="right"/>
            </w:pPr>
            <w:r>
              <w:rPr>
                <w:i/>
                <w:iCs/>
              </w:rPr>
              <w:t xml:space="preserve">s/d</w:t>
            </w:r>
          </w:p>
        </w:tc>
        <w:tc>
          <w:tcPr/>
          <w:p>
            <w:pPr>
              <w:pStyle w:val="Compact"/>
              <w:jc w:val="right"/>
            </w:pPr>
            <w:r>
              <w:t xml:space="preserve">119,1</w:t>
            </w:r>
          </w:p>
        </w:tc>
      </w:tr>
      <w:tr>
        <w:tc>
          <w:tcPr/>
          <w:p>
            <w:pPr>
              <w:pStyle w:val="Compact"/>
              <w:jc w:val="center"/>
            </w:pPr>
            <w:r>
              <w:t xml:space="preserve">2024</w:t>
            </w:r>
          </w:p>
        </w:tc>
        <w:tc>
          <w:tcPr/>
          <w:p>
            <w:pPr>
              <w:pStyle w:val="Compact"/>
              <w:jc w:val="right"/>
            </w:pPr>
            <w:r>
              <w:rPr>
                <w:b/>
                <w:bCs/>
              </w:rPr>
              <w:t xml:space="preserve">107,4</w:t>
            </w:r>
          </w:p>
        </w:tc>
        <w:tc>
          <w:tcPr/>
          <w:p>
            <w:pPr>
              <w:pStyle w:val="Compact"/>
              <w:jc w:val="right"/>
            </w:pPr>
            <w:r>
              <w:rPr>
                <w:b/>
                <w:bCs/>
              </w:rPr>
              <w:t xml:space="preserve">93,5</w:t>
            </w:r>
          </w:p>
        </w:tc>
      </w:tr>
      <w:tr>
        <w:tc>
          <w:tcPr/>
          <w:p>
            <w:pPr>
              <w:pStyle w:val="Compact"/>
              <w:jc w:val="center"/>
            </w:pPr>
            <w:r>
              <w:t xml:space="preserve">2025</w:t>
            </w:r>
          </w:p>
        </w:tc>
        <w:tc>
          <w:tcPr/>
          <w:p>
            <w:pPr>
              <w:pStyle w:val="Compact"/>
              <w:jc w:val="right"/>
            </w:pPr>
            <w:r>
              <w:rPr>
                <w:b/>
                <w:bCs/>
              </w:rPr>
              <w:t xml:space="preserve">88,4</w:t>
            </w:r>
          </w:p>
        </w:tc>
        <w:tc>
          <w:tcPr/>
          <w:p>
            <w:pPr>
              <w:pStyle w:val="Compact"/>
              <w:jc w:val="right"/>
            </w:pPr>
            <w:r>
              <w:rPr>
                <w:b/>
                <w:bCs/>
              </w:rPr>
              <w:t xml:space="preserve">90,8</w:t>
            </w:r>
          </w:p>
        </w:tc>
      </w:tr>
    </w:tbl>
    <w:p>
      <w:pPr>
        <w:pStyle w:val="BodyText"/>
      </w:pPr>
      <w:r>
        <w:rPr>
          <w:b/>
          <w:bCs/>
        </w:rPr>
        <w:t xml:space="preserve">Hallazgos:</w:t>
      </w:r>
    </w:p>
    <w:p>
      <w:pPr>
        <w:pStyle w:val="Compact"/>
        <w:numPr>
          <w:ilvl w:val="0"/>
          <w:numId w:val="1008"/>
        </w:numPr>
      </w:pPr>
      <w:r>
        <w:t xml:space="preserve">Entre 2022 y 2024, las empresas EC crecieron +7,4% mientras el empleo del núcleo</w:t>
      </w:r>
      <w:r>
        <w:t xml:space="preserve"> </w:t>
      </w:r>
      <w:r>
        <w:rPr>
          <w:b/>
          <w:bCs/>
        </w:rPr>
        <w:t xml:space="preserve">cayó −6,5%</w:t>
      </w:r>
      <w:r>
        <w:t xml:space="preserve">: cada empresa EC emplea</w:t>
      </w:r>
      <w:r>
        <w:t xml:space="preserve"> </w:t>
      </w:r>
      <w:r>
        <w:rPr>
          <w:b/>
          <w:bCs/>
        </w:rPr>
        <w:t xml:space="preserve">menos trabajadores</w:t>
      </w:r>
      <w:r>
        <w:t xml:space="preserve">.</w:t>
      </w:r>
    </w:p>
    <w:p>
      <w:pPr>
        <w:pStyle w:val="Compact"/>
        <w:numPr>
          <w:ilvl w:val="0"/>
          <w:numId w:val="1008"/>
        </w:numPr>
      </w:pPr>
      <w:r>
        <w:t xml:space="preserve">En 2024 el tamaño medio era de</w:t>
      </w:r>
      <w:r>
        <w:t xml:space="preserve"> </w:t>
      </w:r>
      <w:r>
        <w:rPr>
          <w:b/>
          <w:bCs/>
        </w:rPr>
        <w:t xml:space="preserve">0,60 empleados por empresa</w:t>
      </w:r>
      <w:r>
        <w:t xml:space="preserve"> </w:t>
      </w:r>
      <w:r>
        <w:t xml:space="preserve">(vs. 0,69 en 2022).</w:t>
      </w:r>
    </w:p>
    <w:p>
      <w:pPr>
        <w:pStyle w:val="Compact"/>
        <w:numPr>
          <w:ilvl w:val="0"/>
          <w:numId w:val="1008"/>
        </w:numPr>
      </w:pPr>
      <w:r>
        <w:t xml:space="preserve">En 2025 ambas caen, pero la caída más fuerte de empresas (−17,6%) sugiere</w:t>
      </w:r>
      <w:r>
        <w:t xml:space="preserve"> </w:t>
      </w:r>
      <w:r>
        <w:rPr>
          <w:b/>
          <w:bCs/>
        </w:rPr>
        <w:t xml:space="preserve">cierre de firmas chicas</w:t>
      </w:r>
      <w:r>
        <w:t xml:space="preserve"> </w:t>
      </w:r>
      <w:r>
        <w:t xml:space="preserve">y concentración en las grandes. El tamaño medio sube a</w:t>
      </w:r>
      <w:r>
        <w:t xml:space="preserve"> </w:t>
      </w:r>
      <w:r>
        <w:rPr>
          <w:b/>
          <w:bCs/>
        </w:rPr>
        <w:t xml:space="preserve">0,71 empleados por empresa</w:t>
      </w:r>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C:\Users\HP\AppData\Local\Programs\Quarto\share\formats\docx\warning.png" id="91"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Nota.</w:t>
            </w:r>
            <w:r>
              <w:t xml:space="preserve"> </w:t>
            </w:r>
            <w:r>
              <w:t xml:space="preserve">2023 no tiene dato de empresas en SIPA-OEDE. 2025 es preliminar. Empleo EC: núcleo informático {7220, 7290}; CIIU 7210 sin dato en el archivo 4-dig.</w:t>
            </w:r>
          </w:p>
          <w:p/>
        </w:tc>
      </w:tr>
    </w:tbl>
    <w:bookmarkEnd w:id="92"/>
    <w:bookmarkStart w:id="96" w:name="prima-salarial-ec"/>
    <w:p>
      <w:pPr>
        <w:pStyle w:val="Heading2"/>
      </w:pPr>
      <w:r>
        <w:t xml:space="preserve">7.5 Prima salarial EC</w:t>
      </w:r>
    </w:p>
    <w:bookmarkStart w:id="95" w:name="tres-definiciones"/>
    <w:p>
      <w:pPr>
        <w:pStyle w:val="Heading3"/>
      </w:pPr>
      <w:r>
        <w:t xml:space="preserve">7.5.1 Tres definiciones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Año</w:t>
            </w:r>
          </w:p>
        </w:tc>
        <w:tc>
          <w:tcPr/>
          <w:p>
            <w:pPr>
              <w:pStyle w:val="Compact"/>
              <w:jc w:val="right"/>
            </w:pPr>
            <w:r>
              <w:t xml:space="preserve">Núcleo informático</w:t>
            </w:r>
          </w:p>
        </w:tc>
        <w:tc>
          <w:tcPr/>
          <w:p>
            <w:pPr>
              <w:pStyle w:val="Compact"/>
              <w:jc w:val="right"/>
            </w:pPr>
            <w:r>
              <w:t xml:space="preserve">Núcleo amplio</w:t>
            </w:r>
          </w:p>
        </w:tc>
        <w:tc>
          <w:tcPr/>
          <w:p>
            <w:pPr>
              <w:pStyle w:val="Compact"/>
              <w:jc w:val="right"/>
            </w:pPr>
            <w:r>
              <w:t xml:space="preserve">Actividades EC completo</w:t>
            </w:r>
          </w:p>
        </w:tc>
      </w:tr>
      <w:tr>
        <w:tc>
          <w:tcPr/>
          <w:p>
            <w:pPr>
              <w:pStyle w:val="Compact"/>
              <w:jc w:val="center"/>
            </w:pPr>
            <w:r>
              <w:t xml:space="preserve">2019</w:t>
            </w:r>
          </w:p>
        </w:tc>
        <w:tc>
          <w:tcPr/>
          <w:p>
            <w:pPr>
              <w:pStyle w:val="Compact"/>
              <w:jc w:val="right"/>
            </w:pPr>
            <w:r>
              <w:t xml:space="preserve">−0,16%</w:t>
            </w:r>
          </w:p>
        </w:tc>
        <w:tc>
          <w:tcPr/>
          <w:p>
            <w:pPr>
              <w:pStyle w:val="Compact"/>
              <w:jc w:val="right"/>
            </w:pPr>
            <w:r>
              <w:t xml:space="preserve">−31,47%</w:t>
            </w:r>
          </w:p>
        </w:tc>
        <w:tc>
          <w:tcPr/>
          <w:p>
            <w:pPr>
              <w:pStyle w:val="Compact"/>
              <w:jc w:val="right"/>
            </w:pPr>
            <w:r>
              <w:t xml:space="preserve">−16,72%</w:t>
            </w:r>
          </w:p>
        </w:tc>
      </w:tr>
      <w:tr>
        <w:tc>
          <w:tcPr/>
          <w:p>
            <w:pPr>
              <w:pStyle w:val="Compact"/>
              <w:jc w:val="center"/>
            </w:pPr>
            <w:r>
              <w:t xml:space="preserve">2020</w:t>
            </w:r>
          </w:p>
        </w:tc>
        <w:tc>
          <w:tcPr/>
          <w:p>
            <w:pPr>
              <w:pStyle w:val="Compact"/>
              <w:jc w:val="right"/>
            </w:pPr>
            <w:r>
              <w:t xml:space="preserve">+46,16%</w:t>
            </w:r>
          </w:p>
        </w:tc>
        <w:tc>
          <w:tcPr/>
          <w:p>
            <w:pPr>
              <w:pStyle w:val="Compact"/>
              <w:jc w:val="right"/>
            </w:pPr>
            <w:r>
              <w:t xml:space="preserve">+46,16%</w:t>
            </w:r>
          </w:p>
        </w:tc>
        <w:tc>
          <w:tcPr/>
          <w:p>
            <w:pPr>
              <w:pStyle w:val="Compact"/>
              <w:jc w:val="right"/>
            </w:pPr>
            <w:r>
              <w:t xml:space="preserve">+18,90%</w:t>
            </w:r>
          </w:p>
        </w:tc>
      </w:tr>
      <w:tr>
        <w:tc>
          <w:tcPr/>
          <w:p>
            <w:pPr>
              <w:pStyle w:val="Compact"/>
              <w:jc w:val="center"/>
            </w:pPr>
            <w:r>
              <w:t xml:space="preserve">2021</w:t>
            </w:r>
          </w:p>
        </w:tc>
        <w:tc>
          <w:tcPr/>
          <w:p>
            <w:pPr>
              <w:pStyle w:val="Compact"/>
              <w:jc w:val="right"/>
            </w:pPr>
            <w:r>
              <w:t xml:space="preserve">+6,16%</w:t>
            </w:r>
          </w:p>
        </w:tc>
        <w:tc>
          <w:tcPr/>
          <w:p>
            <w:pPr>
              <w:pStyle w:val="Compact"/>
              <w:jc w:val="right"/>
            </w:pPr>
            <w:r>
              <w:t xml:space="preserve">−18,35%</w:t>
            </w:r>
          </w:p>
        </w:tc>
        <w:tc>
          <w:tcPr/>
          <w:p>
            <w:pPr>
              <w:pStyle w:val="Compact"/>
              <w:jc w:val="right"/>
            </w:pPr>
            <w:r>
              <w:t xml:space="preserve">−28,51%</w:t>
            </w:r>
          </w:p>
        </w:tc>
      </w:tr>
      <w:tr>
        <w:tc>
          <w:tcPr/>
          <w:p>
            <w:pPr>
              <w:pStyle w:val="Compact"/>
              <w:jc w:val="center"/>
            </w:pPr>
            <w:r>
              <w:t xml:space="preserve">2022</w:t>
            </w:r>
          </w:p>
        </w:tc>
        <w:tc>
          <w:tcPr/>
          <w:p>
            <w:pPr>
              <w:pStyle w:val="Compact"/>
              <w:jc w:val="right"/>
            </w:pPr>
            <w:r>
              <w:rPr>
                <w:b/>
                <w:bCs/>
              </w:rPr>
              <w:t xml:space="preserve">+27,15%</w:t>
            </w:r>
          </w:p>
        </w:tc>
        <w:tc>
          <w:tcPr/>
          <w:p>
            <w:pPr>
              <w:pStyle w:val="Compact"/>
              <w:jc w:val="right"/>
            </w:pPr>
            <w:r>
              <w:t xml:space="preserve">−4,62%</w:t>
            </w:r>
          </w:p>
        </w:tc>
        <w:tc>
          <w:tcPr/>
          <w:p>
            <w:pPr>
              <w:pStyle w:val="Compact"/>
              <w:jc w:val="right"/>
            </w:pPr>
            <w:r>
              <w:t xml:space="preserve">−15,39%</w:t>
            </w:r>
          </w:p>
        </w:tc>
      </w:tr>
      <w:tr>
        <w:tc>
          <w:tcPr/>
          <w:p>
            <w:pPr>
              <w:pStyle w:val="Compact"/>
              <w:jc w:val="center"/>
            </w:pPr>
            <w:r>
              <w:t xml:space="preserve">2023</w:t>
            </w:r>
          </w:p>
        </w:tc>
        <w:tc>
          <w:tcPr/>
          <w:p>
            <w:pPr>
              <w:pStyle w:val="Compact"/>
              <w:jc w:val="right"/>
            </w:pPr>
            <w:r>
              <w:rPr>
                <w:b/>
                <w:bCs/>
              </w:rPr>
              <w:t xml:space="preserve">+62,03%</w:t>
            </w:r>
          </w:p>
        </w:tc>
        <w:tc>
          <w:tcPr/>
          <w:p>
            <w:pPr>
              <w:pStyle w:val="Compact"/>
              <w:jc w:val="right"/>
            </w:pPr>
            <w:r>
              <w:t xml:space="preserve">+19,78%</w:t>
            </w:r>
          </w:p>
        </w:tc>
        <w:tc>
          <w:tcPr/>
          <w:p>
            <w:pPr>
              <w:pStyle w:val="Compact"/>
              <w:jc w:val="right"/>
            </w:pPr>
            <w:r>
              <w:t xml:space="preserve">−15,09%</w:t>
            </w:r>
          </w:p>
        </w:tc>
      </w:tr>
      <w:tr>
        <w:tc>
          <w:tcPr/>
          <w:p>
            <w:pPr>
              <w:pStyle w:val="Compact"/>
              <w:jc w:val="center"/>
            </w:pPr>
            <w:r>
              <w:t xml:space="preserve">2024</w:t>
            </w:r>
          </w:p>
        </w:tc>
        <w:tc>
          <w:tcPr/>
          <w:p>
            <w:pPr>
              <w:pStyle w:val="Compact"/>
              <w:jc w:val="right"/>
            </w:pPr>
            <w:r>
              <w:rPr>
                <w:b/>
                <w:bCs/>
              </w:rPr>
              <w:t xml:space="preserve">+63,13%</w:t>
            </w:r>
          </w:p>
        </w:tc>
        <w:tc>
          <w:tcPr/>
          <w:p>
            <w:pPr>
              <w:pStyle w:val="Compact"/>
              <w:jc w:val="right"/>
            </w:pPr>
            <w:r>
              <w:t xml:space="preserve">+63,13%</w:t>
            </w:r>
          </w:p>
        </w:tc>
        <w:tc>
          <w:tcPr/>
          <w:p>
            <w:pPr>
              <w:pStyle w:val="Compact"/>
              <w:jc w:val="right"/>
            </w:pPr>
            <w:r>
              <w:t xml:space="preserve">+10,22%</w:t>
            </w:r>
          </w:p>
        </w:tc>
      </w:tr>
      <w:tr>
        <w:tc>
          <w:tcPr/>
          <w:p>
            <w:pPr>
              <w:pStyle w:val="Compact"/>
              <w:jc w:val="center"/>
            </w:pPr>
            <w:r>
              <w:t xml:space="preserve">2025</w:t>
            </w:r>
          </w:p>
        </w:tc>
        <w:tc>
          <w:tcPr/>
          <w:p>
            <w:pPr>
              <w:pStyle w:val="Compact"/>
              <w:jc w:val="right"/>
            </w:pPr>
            <w:r>
              <w:rPr>
                <w:b/>
                <w:bCs/>
              </w:rPr>
              <w:t xml:space="preserve">+66,46%</w:t>
            </w:r>
          </w:p>
        </w:tc>
        <w:tc>
          <w:tcPr/>
          <w:p>
            <w:pPr>
              <w:pStyle w:val="Compact"/>
              <w:jc w:val="right"/>
            </w:pPr>
            <w:r>
              <w:t xml:space="preserve">+66,46%</w:t>
            </w:r>
          </w:p>
        </w:tc>
        <w:tc>
          <w:tcPr/>
          <w:p>
            <w:pPr>
              <w:pStyle w:val="Compact"/>
              <w:jc w:val="right"/>
            </w:pPr>
            <w:r>
              <w:rPr>
                <w:b/>
                <w:bCs/>
              </w:rPr>
              <w:t xml:space="preserve">+20,06%</w:t>
            </w:r>
          </w:p>
        </w:tc>
      </w:tr>
    </w:tbl>
    <w:p>
      <w:pPr>
        <w:pStyle w:val="BodyText"/>
      </w:pPr>
      <w:r>
        <w:rPr>
          <w:b/>
          <w:bCs/>
        </w:rPr>
        <w:t xml:space="preserve">Fuente:</w:t>
      </w:r>
      <w:r>
        <w:t xml:space="preserve"> </w:t>
      </w:r>
      <w:r>
        <w:t xml:space="preserve">SIPA-OEDE, serie de remuneraciones mensuales por CIIU 4 dígitos.</w:t>
      </w:r>
    </w:p>
    <w:p>
      <w:pPr>
        <w:pStyle w:val="BodyText"/>
      </w:pPr>
      <w:r>
        <w:rPr>
          <w:b/>
          <w:bCs/>
        </w:rPr>
        <w:t xml:space="preserve">Denominador:</w:t>
      </w:r>
      <w:r>
        <w:t xml:space="preserve"> </w:t>
      </w:r>
      <w:r>
        <w:t xml:space="preserve">salario provincial oficial ponderado por empleo, del mismo mes/año que el salario por CIIU (incluye SAC).</w:t>
      </w:r>
    </w:p>
    <w:p>
      <w:pPr>
        <w:pStyle w:val="BodyText"/>
      </w:pPr>
      <w:r>
        <w:rPr>
          <w:b/>
          <w:bCs/>
        </w:rPr>
        <w:t xml:space="preserve">Hallazgos:</w:t>
      </w:r>
    </w:p>
    <w:p>
      <w:pPr>
        <w:pStyle w:val="Compact"/>
        <w:numPr>
          <w:ilvl w:val="0"/>
          <w:numId w:val="1009"/>
        </w:numPr>
      </w:pPr>
      <w:r>
        <w:t xml:space="preserve">La prima del</w:t>
      </w:r>
      <w:r>
        <w:t xml:space="preserve"> </w:t>
      </w:r>
      <w:r>
        <w:rPr>
          <w:b/>
          <w:bCs/>
        </w:rPr>
        <w:t xml:space="preserve">núcleo informático</w:t>
      </w:r>
      <w:r>
        <w:t xml:space="preserve"> </w:t>
      </w:r>
      <w:r>
        <w:t xml:space="preserve">se duplicó entre 2022 (+27,2%) y 2025 (+66,5%).</w:t>
      </w:r>
    </w:p>
    <w:p>
      <w:pPr>
        <w:pStyle w:val="Compact"/>
        <w:numPr>
          <w:ilvl w:val="0"/>
          <w:numId w:val="1009"/>
        </w:numPr>
      </w:pPr>
      <w:r>
        <w:t xml:space="preserve">La prima del</w:t>
      </w:r>
      <w:r>
        <w:t xml:space="preserve"> </w:t>
      </w:r>
      <w:r>
        <w:rPr>
          <w:b/>
          <w:bCs/>
        </w:rPr>
        <w:t xml:space="preserve">EC completo</w:t>
      </w:r>
      <w:r>
        <w:t xml:space="preserve"> </w:t>
      </w:r>
      <w:r>
        <w:t xml:space="preserve">es sensiblemente menor porque incluye las ramas proxy (7250, 7421, 7499) que pagan por debajo del promedio.</w:t>
      </w:r>
    </w:p>
    <w:p>
      <w:pPr>
        <w:pStyle w:val="Compact"/>
        <w:numPr>
          <w:ilvl w:val="0"/>
          <w:numId w:val="1009"/>
        </w:numPr>
      </w:pPr>
      <w:r>
        <w:t xml:space="preserve">La brecha núcleo vs. completo</w:t>
      </w:r>
      <w:r>
        <w:t xml:space="preserve"> </w:t>
      </w:r>
      <w:r>
        <w:rPr>
          <w:b/>
          <w:bCs/>
        </w:rPr>
        <w:t xml:space="preserve">se amplió</w:t>
      </w:r>
      <w:r>
        <w:t xml:space="preserve"> </w:t>
      </w:r>
      <w:r>
        <w:t xml:space="preserve">de 42,5 pp (2022) a 46,4 pp (2025).</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C:\Users\HP\AppData\Local\Programs\Quarto\share\formats\docx\important.png" id="94"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after="16"/>
            </w:pPr>
            <w:r>
              <w:rPr>
                <w:b/>
                <w:bCs/>
              </w:rPr>
              <w:t xml:space="preserve">Hallazgo principal.</w:t>
            </w:r>
            <w:r>
              <w:t xml:space="preserve"> </w:t>
            </w:r>
            <w:r>
              <w:t xml:space="preserve">El núcleo informático (CIIU 7210, 7220, 7290) paga</w:t>
            </w:r>
            <w:r>
              <w:t xml:space="preserve"> </w:t>
            </w:r>
            <w:r>
              <w:rPr>
                <w:b/>
                <w:bCs/>
              </w:rPr>
              <w:t xml:space="preserve">+66,5%</w:t>
            </w:r>
            <w:r>
              <w:t xml:space="preserve"> </w:t>
            </w:r>
            <w:r>
              <w:t xml:space="preserve">sobre el promedio provincial en 2025. El diferencial se amplía año a año, y contrasta con la caída del salario real provincial (−35,3% entre 2017 y 2024). El sector EC opera como</w:t>
            </w:r>
            <w:r>
              <w:t xml:space="preserve"> </w:t>
            </w:r>
            <w:r>
              <w:rPr>
                <w:b/>
                <w:bCs/>
              </w:rPr>
              <w:t xml:space="preserve">enclave de altos salarios</w:t>
            </w:r>
            <w:r>
              <w:t xml:space="preserve"> </w:t>
            </w:r>
            <w:r>
              <w:t xml:space="preserve">dentro de una economía provincial en retracción.</w:t>
            </w:r>
          </w:p>
          <w:p/>
        </w:tc>
      </w:tr>
    </w:tbl>
    <w:bookmarkEnd w:id="95"/>
    <w:bookmarkEnd w:id="96"/>
    <w:bookmarkEnd w:id="97"/>
    <w:bookmarkStart w:id="100" w:name="sec-intensidad"/>
    <w:p>
      <w:pPr>
        <w:pStyle w:val="Heading1"/>
      </w:pPr>
      <w:r>
        <w:t xml:space="preserve">8. Intensidad empresarial EC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Provincia</w:t>
            </w:r>
          </w:p>
        </w:tc>
        <w:tc>
          <w:tcPr/>
          <w:p>
            <w:pPr>
              <w:pStyle w:val="Compact"/>
              <w:jc w:val="right"/>
            </w:pPr>
            <w:r>
              <w:t xml:space="preserve">2022</w:t>
            </w:r>
          </w:p>
        </w:tc>
        <w:tc>
          <w:tcPr/>
          <w:p>
            <w:pPr>
              <w:pStyle w:val="Compact"/>
              <w:jc w:val="right"/>
            </w:pPr>
            <w:r>
              <w:t xml:space="preserve">2024</w:t>
            </w:r>
          </w:p>
        </w:tc>
        <w:tc>
          <w:tcPr/>
          <w:p>
            <w:pPr>
              <w:pStyle w:val="Compact"/>
              <w:jc w:val="right"/>
            </w:pPr>
            <w:r>
              <w:t xml:space="preserve">2025</w:t>
            </w:r>
          </w:p>
        </w:tc>
        <w:tc>
          <w:tcPr/>
          <w:p>
            <w:pPr>
              <w:pStyle w:val="Compact"/>
              <w:jc w:val="right"/>
            </w:pPr>
            <w:r>
              <w:t xml:space="preserve">Δ pp (22→25)</w:t>
            </w:r>
          </w:p>
        </w:tc>
      </w:tr>
      <w:tr>
        <w:tc>
          <w:tcPr/>
          <w:p>
            <w:pPr>
              <w:pStyle w:val="Compact"/>
              <w:jc w:val="left"/>
            </w:pPr>
            <w:r>
              <w:t xml:space="preserve">CABA</w:t>
            </w:r>
          </w:p>
        </w:tc>
        <w:tc>
          <w:tcPr/>
          <w:p>
            <w:pPr>
              <w:pStyle w:val="Compact"/>
              <w:jc w:val="right"/>
            </w:pPr>
            <w:r>
              <w:t xml:space="preserve">67,30</w:t>
            </w:r>
          </w:p>
        </w:tc>
        <w:tc>
          <w:tcPr/>
          <w:p>
            <w:pPr>
              <w:pStyle w:val="Compact"/>
              <w:jc w:val="right"/>
            </w:pPr>
            <w:r>
              <w:t xml:space="preserve">67,95</w:t>
            </w:r>
          </w:p>
        </w:tc>
        <w:tc>
          <w:tcPr/>
          <w:p>
            <w:pPr>
              <w:pStyle w:val="Compact"/>
              <w:jc w:val="right"/>
            </w:pPr>
            <w:r>
              <w:t xml:space="preserve">68,64</w:t>
            </w:r>
          </w:p>
        </w:tc>
        <w:tc>
          <w:tcPr/>
          <w:p>
            <w:pPr>
              <w:pStyle w:val="Compact"/>
              <w:jc w:val="right"/>
            </w:pPr>
            <w:r>
              <w:t xml:space="preserve">+1,34</w:t>
            </w:r>
          </w:p>
        </w:tc>
      </w:tr>
      <w:tr>
        <w:tc>
          <w:tcPr/>
          <w:p>
            <w:pPr>
              <w:pStyle w:val="Compact"/>
              <w:jc w:val="left"/>
            </w:pPr>
            <w:r>
              <w:t xml:space="preserve">Catamarca</w:t>
            </w:r>
          </w:p>
        </w:tc>
        <w:tc>
          <w:tcPr/>
          <w:p>
            <w:pPr>
              <w:pStyle w:val="Compact"/>
              <w:jc w:val="right"/>
            </w:pPr>
            <w:r>
              <w:t xml:space="preserve">39,18</w:t>
            </w:r>
          </w:p>
        </w:tc>
        <w:tc>
          <w:tcPr/>
          <w:p>
            <w:pPr>
              <w:pStyle w:val="Compact"/>
              <w:jc w:val="right"/>
            </w:pPr>
            <w:r>
              <w:t xml:space="preserve">43,18</w:t>
            </w:r>
          </w:p>
        </w:tc>
        <w:tc>
          <w:tcPr/>
          <w:p>
            <w:pPr>
              <w:pStyle w:val="Compact"/>
              <w:jc w:val="right"/>
            </w:pPr>
            <w:r>
              <w:t xml:space="preserve">44,69</w:t>
            </w:r>
          </w:p>
        </w:tc>
        <w:tc>
          <w:tcPr/>
          <w:p>
            <w:pPr>
              <w:pStyle w:val="Compact"/>
              <w:jc w:val="right"/>
            </w:pPr>
            <w:r>
              <w:rPr>
                <w:b/>
                <w:bCs/>
              </w:rPr>
              <w:t xml:space="preserve">+5,51</w:t>
            </w:r>
          </w:p>
        </w:tc>
      </w:tr>
      <w:tr>
        <w:tc>
          <w:tcPr/>
          <w:p>
            <w:pPr>
              <w:pStyle w:val="Compact"/>
              <w:jc w:val="left"/>
            </w:pPr>
            <w:r>
              <w:t xml:space="preserve">Salta</w:t>
            </w:r>
          </w:p>
        </w:tc>
        <w:tc>
          <w:tcPr/>
          <w:p>
            <w:pPr>
              <w:pStyle w:val="Compact"/>
              <w:jc w:val="right"/>
            </w:pPr>
            <w:r>
              <w:t xml:space="preserve">37,46</w:t>
            </w:r>
          </w:p>
        </w:tc>
        <w:tc>
          <w:tcPr/>
          <w:p>
            <w:pPr>
              <w:pStyle w:val="Compact"/>
              <w:jc w:val="right"/>
            </w:pPr>
            <w:r>
              <w:t xml:space="preserve">38,99</w:t>
            </w:r>
          </w:p>
        </w:tc>
        <w:tc>
          <w:tcPr/>
          <w:p>
            <w:pPr>
              <w:pStyle w:val="Compact"/>
              <w:jc w:val="right"/>
            </w:pPr>
            <w:r>
              <w:t xml:space="preserve">42,11</w:t>
            </w:r>
          </w:p>
        </w:tc>
        <w:tc>
          <w:tcPr/>
          <w:p>
            <w:pPr>
              <w:pStyle w:val="Compact"/>
              <w:jc w:val="right"/>
            </w:pPr>
            <w:r>
              <w:t xml:space="preserve">+4,65</w:t>
            </w:r>
          </w:p>
        </w:tc>
      </w:tr>
      <w:tr>
        <w:tc>
          <w:tcPr/>
          <w:p>
            <w:pPr>
              <w:pStyle w:val="Compact"/>
              <w:jc w:val="left"/>
            </w:pPr>
            <w:r>
              <w:t xml:space="preserve">Tucumán</w:t>
            </w:r>
          </w:p>
        </w:tc>
        <w:tc>
          <w:tcPr/>
          <w:p>
            <w:pPr>
              <w:pStyle w:val="Compact"/>
              <w:jc w:val="right"/>
            </w:pPr>
            <w:r>
              <w:t xml:space="preserve">34,93</w:t>
            </w:r>
          </w:p>
        </w:tc>
        <w:tc>
          <w:tcPr/>
          <w:p>
            <w:pPr>
              <w:pStyle w:val="Compact"/>
              <w:jc w:val="right"/>
            </w:pPr>
            <w:r>
              <w:t xml:space="preserve">35,74</w:t>
            </w:r>
          </w:p>
        </w:tc>
        <w:tc>
          <w:tcPr/>
          <w:p>
            <w:pPr>
              <w:pStyle w:val="Compact"/>
              <w:jc w:val="right"/>
            </w:pPr>
            <w:r>
              <w:t xml:space="preserve">34,88</w:t>
            </w:r>
          </w:p>
        </w:tc>
        <w:tc>
          <w:tcPr/>
          <w:p>
            <w:pPr>
              <w:pStyle w:val="Compact"/>
              <w:jc w:val="right"/>
            </w:pPr>
            <w:r>
              <w:t xml:space="preserve">−0,05</w:t>
            </w:r>
          </w:p>
        </w:tc>
      </w:tr>
      <w:tr>
        <w:tc>
          <w:tcPr/>
          <w:p>
            <w:pPr>
              <w:pStyle w:val="Compact"/>
              <w:jc w:val="left"/>
            </w:pPr>
            <w:r>
              <w:t xml:space="preserve">Córdoba</w:t>
            </w:r>
          </w:p>
        </w:tc>
        <w:tc>
          <w:tcPr/>
          <w:p>
            <w:pPr>
              <w:pStyle w:val="Compact"/>
              <w:jc w:val="right"/>
            </w:pPr>
            <w:r>
              <w:t xml:space="preserve">32,81</w:t>
            </w:r>
          </w:p>
        </w:tc>
        <w:tc>
          <w:tcPr/>
          <w:p>
            <w:pPr>
              <w:pStyle w:val="Compact"/>
              <w:jc w:val="right"/>
            </w:pPr>
            <w:r>
              <w:t xml:space="preserve">34,55</w:t>
            </w:r>
          </w:p>
        </w:tc>
        <w:tc>
          <w:tcPr/>
          <w:p>
            <w:pPr>
              <w:pStyle w:val="Compact"/>
              <w:jc w:val="right"/>
            </w:pPr>
            <w:r>
              <w:t xml:space="preserve">33,90</w:t>
            </w:r>
          </w:p>
        </w:tc>
        <w:tc>
          <w:tcPr/>
          <w:p>
            <w:pPr>
              <w:pStyle w:val="Compact"/>
              <w:jc w:val="right"/>
            </w:pPr>
            <w:r>
              <w:t xml:space="preserve">+1,09</w:t>
            </w:r>
          </w:p>
        </w:tc>
      </w:tr>
      <w:tr>
        <w:tc>
          <w:tcPr/>
          <w:p>
            <w:pPr>
              <w:pStyle w:val="Compact"/>
              <w:jc w:val="left"/>
            </w:pPr>
            <w:r>
              <w:t xml:space="preserve">Jujuy</w:t>
            </w:r>
          </w:p>
        </w:tc>
        <w:tc>
          <w:tcPr/>
          <w:p>
            <w:pPr>
              <w:pStyle w:val="Compact"/>
              <w:jc w:val="right"/>
            </w:pPr>
            <w:r>
              <w:t xml:space="preserve">31,32</w:t>
            </w:r>
          </w:p>
        </w:tc>
        <w:tc>
          <w:tcPr/>
          <w:p>
            <w:pPr>
              <w:pStyle w:val="Compact"/>
              <w:jc w:val="right"/>
            </w:pPr>
            <w:r>
              <w:t xml:space="preserve">33,12</w:t>
            </w:r>
          </w:p>
        </w:tc>
        <w:tc>
          <w:tcPr/>
          <w:p>
            <w:pPr>
              <w:pStyle w:val="Compact"/>
              <w:jc w:val="right"/>
            </w:pPr>
            <w:r>
              <w:t xml:space="preserve">32,22</w:t>
            </w:r>
          </w:p>
        </w:tc>
        <w:tc>
          <w:tcPr/>
          <w:p>
            <w:pPr>
              <w:pStyle w:val="Compact"/>
              <w:jc w:val="right"/>
            </w:pPr>
            <w:r>
              <w:t xml:space="preserve">+0,90</w:t>
            </w:r>
          </w:p>
        </w:tc>
      </w:tr>
      <w:tr>
        <w:tc>
          <w:tcPr/>
          <w:p>
            <w:pPr>
              <w:pStyle w:val="Compact"/>
              <w:jc w:val="left"/>
            </w:pPr>
            <w:r>
              <w:rPr>
                <w:b/>
                <w:bCs/>
              </w:rPr>
              <w:t xml:space="preserve">La Rioja</w:t>
            </w:r>
          </w:p>
        </w:tc>
        <w:tc>
          <w:tcPr/>
          <w:p>
            <w:pPr>
              <w:pStyle w:val="Compact"/>
              <w:jc w:val="right"/>
            </w:pPr>
            <w:r>
              <w:rPr>
                <w:b/>
                <w:bCs/>
              </w:rPr>
              <w:t xml:space="preserve">33,07</w:t>
            </w:r>
          </w:p>
        </w:tc>
        <w:tc>
          <w:tcPr/>
          <w:p>
            <w:pPr>
              <w:pStyle w:val="Compact"/>
              <w:jc w:val="right"/>
            </w:pPr>
            <w:r>
              <w:rPr>
                <w:b/>
                <w:bCs/>
              </w:rPr>
              <w:t xml:space="preserve">31,34</w:t>
            </w:r>
          </w:p>
        </w:tc>
        <w:tc>
          <w:tcPr/>
          <w:p>
            <w:pPr>
              <w:pStyle w:val="Compact"/>
              <w:jc w:val="right"/>
            </w:pPr>
            <w:r>
              <w:rPr>
                <w:b/>
                <w:bCs/>
              </w:rPr>
              <w:t xml:space="preserve">28,62</w:t>
            </w:r>
          </w:p>
        </w:tc>
        <w:tc>
          <w:tcPr/>
          <w:p>
            <w:pPr>
              <w:pStyle w:val="Compact"/>
              <w:jc w:val="right"/>
            </w:pPr>
            <w:r>
              <w:rPr>
                <w:b/>
                <w:bCs/>
              </w:rPr>
              <w:t xml:space="preserve">−4,45</w:t>
            </w:r>
            <w:r>
              <w:t xml:space="preserve"> </w:t>
            </w:r>
            <w:r>
              <w:t xml:space="preserve">🔴</w:t>
            </w:r>
          </w:p>
        </w:tc>
      </w:tr>
      <w:tr>
        <w:tc>
          <w:tcPr/>
          <w:p>
            <w:pPr>
              <w:pStyle w:val="Compact"/>
              <w:jc w:val="left"/>
            </w:pPr>
            <w:r>
              <w:t xml:space="preserve">Santa Fé</w:t>
            </w:r>
          </w:p>
        </w:tc>
        <w:tc>
          <w:tcPr/>
          <w:p>
            <w:pPr>
              <w:pStyle w:val="Compact"/>
              <w:jc w:val="right"/>
            </w:pPr>
            <w:r>
              <w:t xml:space="preserve">27,06</w:t>
            </w:r>
          </w:p>
        </w:tc>
        <w:tc>
          <w:tcPr/>
          <w:p>
            <w:pPr>
              <w:pStyle w:val="Compact"/>
              <w:jc w:val="right"/>
            </w:pPr>
            <w:r>
              <w:t xml:space="preserve">27,29</w:t>
            </w:r>
          </w:p>
        </w:tc>
        <w:tc>
          <w:tcPr/>
          <w:p>
            <w:pPr>
              <w:pStyle w:val="Compact"/>
              <w:jc w:val="right"/>
            </w:pPr>
            <w:r>
              <w:t xml:space="preserve">27,18</w:t>
            </w:r>
          </w:p>
        </w:tc>
        <w:tc>
          <w:tcPr/>
          <w:p>
            <w:pPr>
              <w:pStyle w:val="Compact"/>
              <w:jc w:val="right"/>
            </w:pPr>
            <w:r>
              <w:t xml:space="preserve">+0,12</w:t>
            </w:r>
          </w:p>
        </w:tc>
      </w:tr>
      <w:tr>
        <w:tc>
          <w:tcPr/>
          <w:p>
            <w:pPr>
              <w:pStyle w:val="Compact"/>
              <w:jc w:val="left"/>
            </w:pPr>
            <w:r>
              <w:t xml:space="preserve">Santiago del Estero</w:t>
            </w:r>
          </w:p>
        </w:tc>
        <w:tc>
          <w:tcPr/>
          <w:p>
            <w:pPr>
              <w:pStyle w:val="Compact"/>
              <w:jc w:val="right"/>
            </w:pPr>
            <w:r>
              <w:t xml:space="preserve">24,31</w:t>
            </w:r>
          </w:p>
        </w:tc>
        <w:tc>
          <w:tcPr/>
          <w:p>
            <w:pPr>
              <w:pStyle w:val="Compact"/>
              <w:jc w:val="right"/>
            </w:pPr>
            <w:r>
              <w:t xml:space="preserve">25,63</w:t>
            </w:r>
          </w:p>
        </w:tc>
        <w:tc>
          <w:tcPr/>
          <w:p>
            <w:pPr>
              <w:pStyle w:val="Compact"/>
              <w:jc w:val="right"/>
            </w:pPr>
            <w:r>
              <w:t xml:space="preserve">22,24</w:t>
            </w:r>
          </w:p>
        </w:tc>
        <w:tc>
          <w:tcPr/>
          <w:p>
            <w:pPr>
              <w:pStyle w:val="Compact"/>
              <w:jc w:val="right"/>
            </w:pPr>
            <w:r>
              <w:t xml:space="preserve">−2,07</w:t>
            </w:r>
          </w:p>
        </w:tc>
      </w:tr>
    </w:tbl>
    <w:p>
      <w:pPr>
        <w:pStyle w:val="BodyText"/>
      </w:pPr>
      <w:r>
        <w:rPr>
          <w:b/>
          <w:bCs/>
        </w:rPr>
        <w:t xml:space="preserve">Fuente:</w:t>
      </w:r>
      <w:r>
        <w:t xml:space="preserve"> </w:t>
      </w:r>
      <w:r>
        <w:t xml:space="preserve">SIPA-OEDE. Intensidad = (empresas EC / empresas totales) × 1.000.</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C:\Users\HP\AppData\Local\Programs\Quarto\share\formats\docx\important.png" id="99"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after="16"/>
            </w:pPr>
            <w:r>
              <w:rPr>
                <w:b/>
                <w:bCs/>
              </w:rPr>
              <w:t xml:space="preserve">Hallazgo crítico.</w:t>
            </w:r>
            <w:r>
              <w:t xml:space="preserve"> </w:t>
            </w:r>
            <w:r>
              <w:t xml:space="preserve">La Rioja perdió</w:t>
            </w:r>
            <w:r>
              <w:t xml:space="preserve"> </w:t>
            </w:r>
            <w:r>
              <w:rPr>
                <w:b/>
                <w:bCs/>
              </w:rPr>
              <w:t xml:space="preserve">−4,45 pp</w:t>
            </w:r>
            <w:r>
              <w:t xml:space="preserve"> </w:t>
            </w:r>
            <w:r>
              <w:t xml:space="preserve">de intensidad EC entre 2022 y 2025,</w:t>
            </w:r>
            <w:r>
              <w:t xml:space="preserve"> </w:t>
            </w:r>
            <w:r>
              <w:rPr>
                <w:b/>
                <w:bCs/>
              </w:rPr>
              <w:t xml:space="preserve">la peor caída de las 9 jurisdicciones</w:t>
            </w:r>
            <w:r>
              <w:t xml:space="preserve">. En 2022 estaba 7ª; en 2025 cayó al mismo puesto pero con el peor deterioro relativo del grupo.</w:t>
            </w:r>
          </w:p>
          <w:p/>
        </w:tc>
      </w:tr>
    </w:tbl>
    <w:bookmarkEnd w:id="100"/>
    <w:bookmarkStart w:id="101" w:name="sec-benchmark"/>
    <w:p>
      <w:pPr>
        <w:pStyle w:val="Heading1"/>
      </w:pPr>
      <w:r>
        <w:t xml:space="preserve">9. Benchmark regional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Indicador</w:t>
            </w:r>
          </w:p>
        </w:tc>
        <w:tc>
          <w:tcPr/>
          <w:p>
            <w:pPr>
              <w:pStyle w:val="Compact"/>
            </w:pPr>
            <w:r>
              <w:t xml:space="preserve">La Rioja</w:t>
            </w:r>
          </w:p>
        </w:tc>
        <w:tc>
          <w:tcPr/>
          <w:p>
            <w:pPr>
              <w:pStyle w:val="Compact"/>
            </w:pPr>
            <w:r>
              <w:t xml:space="preserve">NOA</w:t>
            </w:r>
          </w:p>
        </w:tc>
        <w:tc>
          <w:tcPr/>
          <w:p>
            <w:pPr>
              <w:pStyle w:val="Compact"/>
            </w:pPr>
            <w:r>
              <w:t xml:space="preserve">Nación</w:t>
            </w:r>
          </w:p>
        </w:tc>
      </w:tr>
      <w:tr>
        <w:tc>
          <w:tcPr/>
          <w:p>
            <w:pPr>
              <w:pStyle w:val="Compact"/>
            </w:pPr>
            <w:r>
              <w:t xml:space="preserve">VAB 2025 (USD M)</w:t>
            </w:r>
          </w:p>
        </w:tc>
        <w:tc>
          <w:tcPr/>
          <w:p>
            <w:pPr>
              <w:pStyle w:val="Compact"/>
            </w:pPr>
            <w:r>
              <w:t xml:space="preserve">163,4</w:t>
            </w:r>
          </w:p>
        </w:tc>
        <w:tc>
          <w:tcPr/>
          <w:p>
            <w:pPr>
              <w:pStyle w:val="Compact"/>
            </w:pPr>
            <w:r>
              <w:t xml:space="preserve">—</w:t>
            </w:r>
          </w:p>
        </w:tc>
        <w:tc>
          <w:tcPr/>
          <w:p>
            <w:pPr>
              <w:pStyle w:val="Compact"/>
            </w:pPr>
            <w:r>
              <w:t xml:space="preserve">87.500</w:t>
            </w:r>
          </w:p>
        </w:tc>
      </w:tr>
      <w:tr>
        <w:tc>
          <w:tcPr/>
          <w:p>
            <w:pPr>
              <w:pStyle w:val="Compact"/>
            </w:pPr>
            <w:r>
              <w:t xml:space="preserve">Participación VAB nacional</w:t>
            </w:r>
          </w:p>
        </w:tc>
        <w:tc>
          <w:tcPr/>
          <w:p>
            <w:pPr>
              <w:pStyle w:val="Compact"/>
            </w:pPr>
            <w:r>
              <w:t xml:space="preserve">0,19%</w:t>
            </w:r>
          </w:p>
        </w:tc>
        <w:tc>
          <w:tcPr/>
          <w:p>
            <w:pPr>
              <w:pStyle w:val="Compact"/>
            </w:pPr>
            <w:r>
              <w:t xml:space="preserve">—</w:t>
            </w:r>
          </w:p>
        </w:tc>
        <w:tc>
          <w:tcPr/>
          <w:p>
            <w:pPr>
              <w:pStyle w:val="Compact"/>
            </w:pPr>
            <w:r>
              <w:t xml:space="preserve">100%</w:t>
            </w:r>
          </w:p>
        </w:tc>
      </w:tr>
      <w:tr>
        <w:tc>
          <w:tcPr/>
          <w:p>
            <w:pPr>
              <w:pStyle w:val="Compact"/>
            </w:pPr>
            <w:r>
              <w:t xml:space="preserve">Empleo registrado 2025 T4</w:t>
            </w:r>
          </w:p>
        </w:tc>
        <w:tc>
          <w:tcPr/>
          <w:p>
            <w:pPr>
              <w:pStyle w:val="Compact"/>
            </w:pPr>
            <w:r>
              <w:t xml:space="preserve">28.442</w:t>
            </w:r>
          </w:p>
        </w:tc>
        <w:tc>
          <w:tcPr/>
          <w:p>
            <w:pPr>
              <w:pStyle w:val="Compact"/>
            </w:pPr>
            <w:r>
              <w:t xml:space="preserve">—</w:t>
            </w:r>
          </w:p>
        </w:tc>
        <w:tc>
          <w:tcPr/>
          <w:p>
            <w:pPr>
              <w:pStyle w:val="Compact"/>
            </w:pPr>
            <w:r>
              <w:t xml:space="preserve">12.874.000</w:t>
            </w:r>
          </w:p>
        </w:tc>
      </w:tr>
      <w:tr>
        <w:tc>
          <w:tcPr/>
          <w:p>
            <w:pPr>
              <w:pStyle w:val="Compact"/>
            </w:pPr>
            <w:r>
              <w:t xml:space="preserve">Índice empleo 2026 (ene-19=100)</w:t>
            </w:r>
          </w:p>
        </w:tc>
        <w:tc>
          <w:tcPr/>
          <w:p>
            <w:pPr>
              <w:pStyle w:val="Compact"/>
            </w:pPr>
            <w:r>
              <w:t xml:space="preserve">98,3</w:t>
            </w:r>
          </w:p>
        </w:tc>
        <w:tc>
          <w:tcPr/>
          <w:p>
            <w:pPr>
              <w:pStyle w:val="Compact"/>
            </w:pPr>
            <w:r>
              <w:t xml:space="preserve">101,2</w:t>
            </w:r>
          </w:p>
        </w:tc>
        <w:tc>
          <w:tcPr/>
          <w:p>
            <w:pPr>
              <w:pStyle w:val="Compact"/>
            </w:pPr>
            <w:r>
              <w:t xml:space="preserve">100,0</w:t>
            </w:r>
          </w:p>
        </w:tc>
      </w:tr>
      <w:tr>
        <w:tc>
          <w:tcPr/>
          <w:p>
            <w:pPr>
              <w:pStyle w:val="Compact"/>
            </w:pPr>
            <w:r>
              <w:t xml:space="preserve">Salario promedio marzo 2026</w:t>
            </w:r>
          </w:p>
        </w:tc>
        <w:tc>
          <w:tcPr/>
          <w:p>
            <w:pPr>
              <w:pStyle w:val="Compact"/>
            </w:pPr>
            <w:r>
              <w:t xml:space="preserve">$1,31 M</w:t>
            </w:r>
          </w:p>
        </w:tc>
        <w:tc>
          <w:tcPr/>
          <w:p>
            <w:pPr>
              <w:pStyle w:val="Compact"/>
            </w:pPr>
            <w:r>
              <w:t xml:space="preserve">$1,57 M</w:t>
            </w:r>
          </w:p>
        </w:tc>
        <w:tc>
          <w:tcPr/>
          <w:p>
            <w:pPr>
              <w:pStyle w:val="Compact"/>
            </w:pPr>
            <w:r>
              <w:t xml:space="preserve">$2,21 M</w:t>
            </w:r>
          </w:p>
        </w:tc>
      </w:tr>
      <w:tr>
        <w:tc>
          <w:tcPr/>
          <w:p>
            <w:pPr>
              <w:pStyle w:val="Compact"/>
            </w:pPr>
            <w:r>
              <w:t xml:space="preserve">Ratio salarial vs Nación</w:t>
            </w:r>
          </w:p>
        </w:tc>
        <w:tc>
          <w:tcPr/>
          <w:p>
            <w:pPr>
              <w:pStyle w:val="Compact"/>
            </w:pPr>
            <w:r>
              <w:t xml:space="preserve">0,59</w:t>
            </w:r>
          </w:p>
        </w:tc>
        <w:tc>
          <w:tcPr/>
          <w:p>
            <w:pPr>
              <w:pStyle w:val="Compact"/>
            </w:pPr>
            <w:r>
              <w:t xml:space="preserve">0,71</w:t>
            </w:r>
          </w:p>
        </w:tc>
        <w:tc>
          <w:tcPr/>
          <w:p>
            <w:pPr>
              <w:pStyle w:val="Compact"/>
            </w:pPr>
            <w:r>
              <w:t xml:space="preserve">1,00</w:t>
            </w:r>
          </w:p>
        </w:tc>
      </w:tr>
      <w:tr>
        <w:tc>
          <w:tcPr/>
          <w:p>
            <w:pPr>
              <w:pStyle w:val="Compact"/>
            </w:pPr>
            <w:r>
              <w:t xml:space="preserve">Empresas EC 2024</w:t>
            </w:r>
          </w:p>
        </w:tc>
        <w:tc>
          <w:tcPr/>
          <w:p>
            <w:pPr>
              <w:pStyle w:val="Compact"/>
            </w:pPr>
            <w:r>
              <w:t xml:space="preserve">102</w:t>
            </w:r>
          </w:p>
        </w:tc>
        <w:tc>
          <w:tcPr/>
          <w:p>
            <w:pPr>
              <w:pStyle w:val="Compact"/>
            </w:pPr>
            <w:r>
              <w:t xml:space="preserve">1.490</w:t>
            </w:r>
          </w:p>
        </w:tc>
        <w:tc>
          <w:tcPr/>
          <w:p>
            <w:pPr>
              <w:pStyle w:val="Compact"/>
            </w:pPr>
            <w:r>
              <w:t xml:space="preserve">21.200</w:t>
            </w:r>
          </w:p>
        </w:tc>
      </w:tr>
      <w:tr>
        <w:tc>
          <w:tcPr/>
          <w:p>
            <w:pPr>
              <w:pStyle w:val="Compact"/>
            </w:pPr>
            <w:r>
              <w:t xml:space="preserve">Empleo EC núcleo 2024</w:t>
            </w:r>
          </w:p>
        </w:tc>
        <w:tc>
          <w:tcPr/>
          <w:p>
            <w:pPr>
              <w:pStyle w:val="Compact"/>
            </w:pPr>
            <w:r>
              <w:t xml:space="preserve">61,25</w:t>
            </w:r>
          </w:p>
        </w:tc>
        <w:tc>
          <w:tcPr/>
          <w:p>
            <w:pPr>
              <w:pStyle w:val="Compact"/>
            </w:pPr>
            <w:r>
              <w:t xml:space="preserve">—</w:t>
            </w:r>
          </w:p>
        </w:tc>
        <w:tc>
          <w:tcPr/>
          <w:p>
            <w:pPr>
              <w:pStyle w:val="Compact"/>
            </w:pPr>
            <w:r>
              <w:t xml:space="preserve">—</w:t>
            </w:r>
          </w:p>
        </w:tc>
      </w:tr>
      <w:tr>
        <w:tc>
          <w:tcPr/>
          <w:p>
            <w:pPr>
              <w:pStyle w:val="Compact"/>
            </w:pPr>
            <w:r>
              <w:t xml:space="preserve">Prima salarial núcleo 2025</w:t>
            </w:r>
          </w:p>
        </w:tc>
        <w:tc>
          <w:tcPr/>
          <w:p>
            <w:pPr>
              <w:pStyle w:val="Compact"/>
            </w:pPr>
            <w:r>
              <w:rPr>
                <w:b/>
                <w:bCs/>
              </w:rPr>
              <w:t xml:space="preserve">+66,5%</w:t>
            </w:r>
          </w:p>
        </w:tc>
        <w:tc>
          <w:tcPr/>
          <w:p>
            <w:pPr>
              <w:pStyle w:val="Compact"/>
            </w:pPr>
            <w:r>
              <w:t xml:space="preserve">—</w:t>
            </w:r>
          </w:p>
        </w:tc>
        <w:tc>
          <w:tcPr/>
          <w:p>
            <w:pPr>
              <w:pStyle w:val="Compact"/>
            </w:pPr>
            <w:r>
              <w:t xml:space="preserve">—</w:t>
            </w:r>
          </w:p>
        </w:tc>
      </w:tr>
      <w:tr>
        <w:tc>
          <w:tcPr/>
          <w:p>
            <w:pPr>
              <w:pStyle w:val="Compact"/>
            </w:pPr>
            <w:r>
              <w:t xml:space="preserve">Intensidad EC (‰)</w:t>
            </w:r>
          </w:p>
        </w:tc>
        <w:tc>
          <w:tcPr/>
          <w:p>
            <w:pPr>
              <w:pStyle w:val="Compact"/>
            </w:pPr>
            <w:r>
              <w:t xml:space="preserve">31,3</w:t>
            </w:r>
          </w:p>
        </w:tc>
        <w:tc>
          <w:tcPr/>
          <w:p>
            <w:pPr>
              <w:pStyle w:val="Compact"/>
            </w:pPr>
            <w:r>
              <w:t xml:space="preserve">30,2</w:t>
            </w:r>
          </w:p>
        </w:tc>
        <w:tc>
          <w:tcPr/>
          <w:p>
            <w:pPr>
              <w:pStyle w:val="Compact"/>
            </w:pPr>
            <w:r>
              <w:t xml:space="preserve">41,8</w:t>
            </w:r>
          </w:p>
        </w:tc>
      </w:tr>
      <w:tr>
        <w:tc>
          <w:tcPr/>
          <w:p>
            <w:pPr>
              <w:pStyle w:val="Compact"/>
            </w:pPr>
            <w:r>
              <w:t xml:space="preserve">Participación EC en empleo</w:t>
            </w:r>
          </w:p>
        </w:tc>
        <w:tc>
          <w:tcPr/>
          <w:p>
            <w:pPr>
              <w:pStyle w:val="Compact"/>
            </w:pPr>
            <w:r>
              <w:t xml:space="preserve">0,21%</w:t>
            </w:r>
          </w:p>
        </w:tc>
        <w:tc>
          <w:tcPr/>
          <w:p>
            <w:pPr>
              <w:pStyle w:val="Compact"/>
            </w:pPr>
            <w:r>
              <w:t xml:space="preserve">—</w:t>
            </w:r>
          </w:p>
        </w:tc>
        <w:tc>
          <w:tcPr/>
          <w:p>
            <w:pPr>
              <w:pStyle w:val="Compact"/>
            </w:pPr>
            <w:r>
              <w:t xml:space="preserve">—</w:t>
            </w:r>
          </w:p>
        </w:tc>
      </w:tr>
      <w:tr>
        <w:tc>
          <w:tcPr/>
          <w:p>
            <w:pPr>
              <w:pStyle w:val="Compact"/>
            </w:pPr>
            <w:r>
              <w:t xml:space="preserve">Recaudación EC / II.BB (2025)</w:t>
            </w:r>
          </w:p>
        </w:tc>
        <w:tc>
          <w:tcPr/>
          <w:p>
            <w:pPr>
              <w:pStyle w:val="Compact"/>
            </w:pPr>
            <w:r>
              <w:t xml:space="preserve">1,55%</w:t>
            </w:r>
          </w:p>
        </w:tc>
        <w:tc>
          <w:tcPr/>
          <w:p>
            <w:pPr>
              <w:pStyle w:val="Compact"/>
            </w:pPr>
            <w:r>
              <w:t xml:space="preserve">—</w:t>
            </w:r>
          </w:p>
        </w:tc>
        <w:tc>
          <w:tcPr/>
          <w:p>
            <w:pPr>
              <w:pStyle w:val="Compact"/>
            </w:pPr>
            <w:r>
              <w:t xml:space="preserve">—</w:t>
            </w:r>
          </w:p>
        </w:tc>
      </w:tr>
    </w:tbl>
    <w:p>
      <w:pPr>
        <w:pStyle w:val="BodyText"/>
      </w:pPr>
      <w:r>
        <w:rPr>
          <w:b/>
          <w:bCs/>
        </w:rPr>
        <w:t xml:space="preserve">Evolución de empresas EC en el NOA: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Provincia</w:t>
            </w:r>
          </w:p>
        </w:tc>
        <w:tc>
          <w:tcPr/>
          <w:p>
            <w:pPr>
              <w:pStyle w:val="Compact"/>
            </w:pPr>
            <w:r>
              <w:t xml:space="preserve">Empresas EC 2022</w:t>
            </w:r>
          </w:p>
        </w:tc>
        <w:tc>
          <w:tcPr/>
          <w:p>
            <w:pPr>
              <w:pStyle w:val="Compact"/>
            </w:pPr>
            <w:r>
              <w:t xml:space="preserve">Empresas EC 2024</w:t>
            </w:r>
          </w:p>
        </w:tc>
        <w:tc>
          <w:tcPr/>
          <w:p>
            <w:pPr>
              <w:pStyle w:val="Compact"/>
            </w:pPr>
            <w:r>
              <w:t xml:space="preserve">Empresas EC 2025</w:t>
            </w:r>
          </w:p>
        </w:tc>
        <w:tc>
          <w:tcPr/>
          <w:p>
            <w:pPr>
              <w:pStyle w:val="Compact"/>
            </w:pPr>
            <w:r>
              <w:t xml:space="preserve">Var. 22→25</w:t>
            </w:r>
          </w:p>
        </w:tc>
      </w:tr>
      <w:tr>
        <w:tc>
          <w:tcPr/>
          <w:p>
            <w:pPr>
              <w:pStyle w:val="Compact"/>
            </w:pPr>
            <w:r>
              <w:t xml:space="preserve">Tucumán</w:t>
            </w:r>
          </w:p>
        </w:tc>
        <w:tc>
          <w:tcPr/>
          <w:p>
            <w:pPr>
              <w:pStyle w:val="Compact"/>
            </w:pPr>
            <w:r>
              <w:t xml:space="preserve">415</w:t>
            </w:r>
          </w:p>
        </w:tc>
        <w:tc>
          <w:tcPr/>
          <w:p>
            <w:pPr>
              <w:pStyle w:val="Compact"/>
            </w:pPr>
            <w:r>
              <w:t xml:space="preserve">424</w:t>
            </w:r>
          </w:p>
        </w:tc>
        <w:tc>
          <w:tcPr/>
          <w:p>
            <w:pPr>
              <w:pStyle w:val="Compact"/>
            </w:pPr>
            <w:r>
              <w:t xml:space="preserve">414</w:t>
            </w:r>
          </w:p>
        </w:tc>
        <w:tc>
          <w:tcPr/>
          <w:p>
            <w:pPr>
              <w:pStyle w:val="Compact"/>
            </w:pPr>
            <w:r>
              <w:t xml:space="preserve">−0,2%</w:t>
            </w:r>
          </w:p>
        </w:tc>
      </w:tr>
      <w:tr>
        <w:tc>
          <w:tcPr/>
          <w:p>
            <w:pPr>
              <w:pStyle w:val="Compact"/>
            </w:pPr>
            <w:r>
              <w:t xml:space="preserve">Salta</w:t>
            </w:r>
          </w:p>
        </w:tc>
        <w:tc>
          <w:tcPr/>
          <w:p>
            <w:pPr>
              <w:pStyle w:val="Compact"/>
            </w:pPr>
            <w:r>
              <w:t xml:space="preserve">353</w:t>
            </w:r>
          </w:p>
        </w:tc>
        <w:tc>
          <w:tcPr/>
          <w:p>
            <w:pPr>
              <w:pStyle w:val="Compact"/>
            </w:pPr>
            <w:r>
              <w:t xml:space="preserve">381</w:t>
            </w:r>
          </w:p>
        </w:tc>
        <w:tc>
          <w:tcPr/>
          <w:p>
            <w:pPr>
              <w:pStyle w:val="Compact"/>
            </w:pPr>
            <w:r>
              <w:t xml:space="preserve">368</w:t>
            </w:r>
          </w:p>
        </w:tc>
        <w:tc>
          <w:tcPr/>
          <w:p>
            <w:pPr>
              <w:pStyle w:val="Compact"/>
            </w:pPr>
            <w:r>
              <w:t xml:space="preserve">+4,2%</w:t>
            </w:r>
          </w:p>
        </w:tc>
      </w:tr>
      <w:tr>
        <w:tc>
          <w:tcPr/>
          <w:p>
            <w:pPr>
              <w:pStyle w:val="Compact"/>
            </w:pPr>
            <w:r>
              <w:t xml:space="preserve">Santiago del Estero</w:t>
            </w:r>
          </w:p>
        </w:tc>
        <w:tc>
          <w:tcPr/>
          <w:p>
            <w:pPr>
              <w:pStyle w:val="Compact"/>
            </w:pPr>
            <w:r>
              <w:t xml:space="preserve">155</w:t>
            </w:r>
          </w:p>
        </w:tc>
        <w:tc>
          <w:tcPr/>
          <w:p>
            <w:pPr>
              <w:pStyle w:val="Compact"/>
            </w:pPr>
            <w:r>
              <w:t xml:space="preserve">173</w:t>
            </w:r>
          </w:p>
        </w:tc>
        <w:tc>
          <w:tcPr/>
          <w:p>
            <w:pPr>
              <w:pStyle w:val="Compact"/>
            </w:pPr>
            <w:r>
              <w:t xml:space="preserve">158</w:t>
            </w:r>
          </w:p>
        </w:tc>
        <w:tc>
          <w:tcPr/>
          <w:p>
            <w:pPr>
              <w:pStyle w:val="Compact"/>
            </w:pPr>
            <w:r>
              <w:t xml:space="preserve">+1,9%</w:t>
            </w:r>
          </w:p>
        </w:tc>
      </w:tr>
      <w:tr>
        <w:tc>
          <w:tcPr/>
          <w:p>
            <w:pPr>
              <w:pStyle w:val="Compact"/>
            </w:pPr>
            <w:r>
              <w:t xml:space="preserve">Jujuy</w:t>
            </w:r>
          </w:p>
        </w:tc>
        <w:tc>
          <w:tcPr/>
          <w:p>
            <w:pPr>
              <w:pStyle w:val="Compact"/>
            </w:pPr>
            <w:r>
              <w:t xml:space="preserve">148</w:t>
            </w:r>
          </w:p>
        </w:tc>
        <w:tc>
          <w:tcPr/>
          <w:p>
            <w:pPr>
              <w:pStyle w:val="Compact"/>
            </w:pPr>
            <w:r>
              <w:t xml:space="preserve">149</w:t>
            </w:r>
          </w:p>
        </w:tc>
        <w:tc>
          <w:tcPr/>
          <w:p>
            <w:pPr>
              <w:pStyle w:val="Compact"/>
            </w:pPr>
            <w:r>
              <w:t xml:space="preserve">144</w:t>
            </w:r>
          </w:p>
        </w:tc>
        <w:tc>
          <w:tcPr/>
          <w:p>
            <w:pPr>
              <w:pStyle w:val="Compact"/>
            </w:pPr>
            <w:r>
              <w:t xml:space="preserve">−2,7%</w:t>
            </w:r>
          </w:p>
        </w:tc>
      </w:tr>
      <w:tr>
        <w:tc>
          <w:tcPr/>
          <w:p>
            <w:pPr>
              <w:pStyle w:val="Compact"/>
            </w:pPr>
            <w:r>
              <w:t xml:space="preserve">Catamarca</w:t>
            </w:r>
          </w:p>
        </w:tc>
        <w:tc>
          <w:tcPr/>
          <w:p>
            <w:pPr>
              <w:pStyle w:val="Compact"/>
            </w:pPr>
            <w:r>
              <w:t xml:space="preserve">124</w:t>
            </w:r>
          </w:p>
        </w:tc>
        <w:tc>
          <w:tcPr/>
          <w:p>
            <w:pPr>
              <w:pStyle w:val="Compact"/>
            </w:pPr>
            <w:r>
              <w:t xml:space="preserve">132</w:t>
            </w:r>
          </w:p>
        </w:tc>
        <w:tc>
          <w:tcPr/>
          <w:p>
            <w:pPr>
              <w:pStyle w:val="Compact"/>
            </w:pPr>
            <w:r>
              <w:t xml:space="preserve">120</w:t>
            </w:r>
          </w:p>
        </w:tc>
        <w:tc>
          <w:tcPr/>
          <w:p>
            <w:pPr>
              <w:pStyle w:val="Compact"/>
            </w:pPr>
            <w:r>
              <w:t xml:space="preserve">−3,2%</w:t>
            </w:r>
          </w:p>
        </w:tc>
      </w:tr>
      <w:tr>
        <w:tc>
          <w:tcPr/>
          <w:p>
            <w:pPr>
              <w:pStyle w:val="Compact"/>
            </w:pPr>
            <w:r>
              <w:t xml:space="preserve">La Rioja</w:t>
            </w:r>
          </w:p>
        </w:tc>
        <w:tc>
          <w:tcPr/>
          <w:p>
            <w:pPr>
              <w:pStyle w:val="Compact"/>
            </w:pPr>
            <w:r>
              <w:t xml:space="preserve">95</w:t>
            </w:r>
          </w:p>
        </w:tc>
        <w:tc>
          <w:tcPr/>
          <w:p>
            <w:pPr>
              <w:pStyle w:val="Compact"/>
            </w:pPr>
            <w:r>
              <w:t xml:space="preserve">102</w:t>
            </w:r>
          </w:p>
        </w:tc>
        <w:tc>
          <w:tcPr/>
          <w:p>
            <w:pPr>
              <w:pStyle w:val="Compact"/>
            </w:pPr>
            <w:r>
              <w:t xml:space="preserve">84</w:t>
            </w:r>
          </w:p>
        </w:tc>
        <w:tc>
          <w:tcPr/>
          <w:p>
            <w:pPr>
              <w:pStyle w:val="Compact"/>
            </w:pPr>
            <w:r>
              <w:t xml:space="preserve">−11,6%</w:t>
            </w:r>
          </w:p>
        </w:tc>
      </w:tr>
    </w:tbl>
    <w:p>
      <w:pPr>
        <w:pStyle w:val="BodyText"/>
      </w:pPr>
      <w:r>
        <w:t xml:space="preserve">Salta y Santiago del Estero crecen;</w:t>
      </w:r>
      <w:r>
        <w:t xml:space="preserve"> </w:t>
      </w:r>
      <w:r>
        <w:rPr>
          <w:b/>
          <w:bCs/>
        </w:rPr>
        <w:t xml:space="preserve">La Rioja cae y queda última de seis en el NOA</w:t>
      </w:r>
      <w:r>
        <w:t xml:space="preserve">.</w:t>
      </w:r>
    </w:p>
    <w:bookmarkEnd w:id="101"/>
    <w:bookmarkStart w:id="102" w:name="sec-conclusiones"/>
    <w:p>
      <w:pPr>
        <w:pStyle w:val="Heading1"/>
      </w:pPr>
      <w:r>
        <w:t xml:space="preserve">10. Conclusiones</w:t>
      </w:r>
    </w:p>
    <w:p>
      <w:pPr>
        <w:numPr>
          <w:ilvl w:val="0"/>
          <w:numId w:val="1010"/>
        </w:numPr>
      </w:pPr>
      <w:r>
        <w:rPr>
          <w:b/>
          <w:bCs/>
        </w:rPr>
        <w:t xml:space="preserve">Divergencia estructural.</w:t>
      </w:r>
      <w:r>
        <w:t xml:space="preserve"> </w:t>
      </w:r>
      <w:r>
        <w:t xml:space="preserve">La Rioja no solo crece por debajo de la Nación: pierde peso relativo de manera sostenida desde 2011. La participación en el VAB nacional se redujo a la mitad en tres décadas.</w:t>
      </w:r>
    </w:p>
    <w:p>
      <w:pPr>
        <w:numPr>
          <w:ilvl w:val="0"/>
          <w:numId w:val="1010"/>
        </w:numPr>
      </w:pPr>
      <w:r>
        <w:rPr>
          <w:b/>
          <w:bCs/>
        </w:rPr>
        <w:t xml:space="preserve">Empleo: fin del diferencial positivo.</w:t>
      </w:r>
      <w:r>
        <w:t xml:space="preserve"> </w:t>
      </w:r>
      <w:r>
        <w:t xml:space="preserve">El pico de 2024 (índice 111,4) fue una recuperación post-pandemia, no un cambio de tendencia. En 2026 la provincia volvió a ubicarse por debajo de la media nacional.</w:t>
      </w:r>
    </w:p>
    <w:p>
      <w:pPr>
        <w:numPr>
          <w:ilvl w:val="0"/>
          <w:numId w:val="1010"/>
        </w:numPr>
      </w:pPr>
      <w:r>
        <w:rPr>
          <w:b/>
          <w:bCs/>
        </w:rPr>
        <w:t xml:space="preserve">Salario: deterioro relativo sostenido.</w:t>
      </w:r>
      <w:r>
        <w:t xml:space="preserve"> </w:t>
      </w:r>
      <w:r>
        <w:t xml:space="preserve">El ratio salarial respecto a la Nación cayó de 0,72 a 0,59 en siete años. Incluso con la recuperación real de 2025 (+15 puntos), la posición relativa no se revirtió.</w:t>
      </w:r>
    </w:p>
    <w:p>
      <w:pPr>
        <w:numPr>
          <w:ilvl w:val="0"/>
          <w:numId w:val="1010"/>
        </w:numPr>
      </w:pPr>
      <w:r>
        <w:rPr>
          <w:b/>
          <w:bCs/>
        </w:rPr>
        <w:t xml:space="preserve">Fiscal 2026: la peor del país.</w:t>
      </w:r>
      <w:r>
        <w:t xml:space="preserve"> </w:t>
      </w:r>
      <w:r>
        <w:t xml:space="preserve">La Rioja acumula −13,2% real en recaudación total y −14,1% en II.BB, contra −3,0% del consolidado nacional. Es la jurisdicción con peor desempeño fiscal del país.</w:t>
      </w:r>
    </w:p>
    <w:p>
      <w:pPr>
        <w:numPr>
          <w:ilvl w:val="0"/>
          <w:numId w:val="1010"/>
        </w:numPr>
      </w:pPr>
      <w:r>
        <w:rPr>
          <w:b/>
          <w:bCs/>
        </w:rPr>
        <w:t xml:space="preserve">Recaudación EC: único vector positivo dentro de II.BB.</w:t>
      </w:r>
      <w:r>
        <w:t xml:space="preserve"> </w:t>
      </w:r>
      <w:r>
        <w:t xml:space="preserve">Con un peso del 1,55% sobre la base imponible provincial, la Recaudación EC crece 3 veces más rápido que el II.BB total (×32,9 vs. ×10,8 entre 2022 y 2025). El share se triplicó en cuatro años (0,51% → 1,55%). En 2026, con la recaudación provincial cayendo −13,2% real (la peor del país), el EC se posiciona como el único agregado con crecimiento positivo. Sin embargo, su escala actual todavía es insuficiente para revertir la tendencia fiscal general.</w:t>
      </w:r>
    </w:p>
    <w:p>
      <w:pPr>
        <w:numPr>
          <w:ilvl w:val="0"/>
          <w:numId w:val="1010"/>
        </w:numPr>
      </w:pPr>
      <w:r>
        <w:rPr>
          <w:b/>
          <w:bCs/>
        </w:rPr>
        <w:t xml:space="preserve">EC: prima salarial creciente, base empresarial frágil.</w:t>
      </w:r>
      <w:r>
        <w:t xml:space="preserve"> </w:t>
      </w:r>
      <w:r>
        <w:t xml:space="preserve">La prima del núcleo informático (CIIU 7210, 7220, 7290) se duplicó entre 2022 (+27,2%) y 2025 (+66,5%), confirmando que el sector opera como enclave de altos salarios. Pero la cantidad de empresas cayó −11,6% entre 2022 y 2025, y el empleo del núcleo retrocedió −23,7% desde el pico de 2023.</w:t>
      </w:r>
      <w:r>
        <w:t xml:space="preserve"> </w:t>
      </w:r>
      <w:r>
        <w:rPr>
          <w:b/>
          <w:bCs/>
        </w:rPr>
        <w:t xml:space="preserve">El diferencial salarial se sostiene sobre una base que se achica.</w:t>
      </w:r>
    </w:p>
    <w:p>
      <w:pPr>
        <w:numPr>
          <w:ilvl w:val="0"/>
          <w:numId w:val="1010"/>
        </w:numPr>
      </w:pPr>
      <w:r>
        <w:rPr>
          <w:b/>
          <w:bCs/>
        </w:rPr>
        <w:t xml:space="preserve">Elasticidad invertida: cada empresa EC emplea menos.</w:t>
      </w:r>
      <w:r>
        <w:t xml:space="preserve"> </w:t>
      </w:r>
      <w:r>
        <w:t xml:space="preserve">Entre 2022 y 2024, las empresas EC crecieron +7,4% pero el empleo del núcleo</w:t>
      </w:r>
      <w:r>
        <w:t xml:space="preserve"> </w:t>
      </w:r>
      <w:r>
        <w:rPr>
          <w:b/>
          <w:bCs/>
        </w:rPr>
        <w:t xml:space="preserve">cayó −6,5%</w:t>
      </w:r>
      <w:r>
        <w:t xml:space="preserve">. El tamaño medio bajó de 0,69 a 0,60 empleados por empresa (y subió a 0,71 en 2025 por cierre de firmas chicas). La caída de intensidad empresarial (−4,45 pp, el peor de 9 provincias) confirma el deterioro estructural del sector en la provincia.</w:t>
      </w:r>
    </w:p>
    <w:p>
      <w:pPr>
        <w:numPr>
          <w:ilvl w:val="0"/>
          <w:numId w:val="1010"/>
        </w:numPr>
      </w:pPr>
      <w:r>
        <w:rPr>
          <w:b/>
          <w:bCs/>
        </w:rPr>
        <w:t xml:space="preserve">Estructura del EC: dependencia de proxies.</w:t>
      </w:r>
      <w:r>
        <w:t xml:space="preserve"> </w:t>
      </w:r>
      <w:r>
        <w:t xml:space="preserve">El 67,7% del conteo EC depende de los códigos 7421 (geología/ingeniería) y 7499 (servicios empresariales), que pagan 25-27%</w:t>
      </w:r>
      <w:r>
        <w:t xml:space="preserve"> </w:t>
      </w:r>
      <w:r>
        <w:rPr>
          <w:b/>
          <w:bCs/>
        </w:rPr>
        <w:t xml:space="preserve">por debajo</w:t>
      </w:r>
      <w:r>
        <w:t xml:space="preserve"> </w:t>
      </w:r>
      <w:r>
        <w:t xml:space="preserve">del promedio provincial. El núcleo informático real (7220 + 7290) representa una fracción minoritaria del conteo total de empresas EC.</w:t>
      </w:r>
    </w:p>
    <w:p>
      <w:pPr>
        <w:numPr>
          <w:ilvl w:val="0"/>
          <w:numId w:val="1010"/>
        </w:numPr>
      </w:pPr>
      <w:r>
        <w:rPr>
          <w:b/>
          <w:bCs/>
        </w:rPr>
        <w:t xml:space="preserve">Riesgo de trampa de bajo crecimiento.</w:t>
      </w:r>
      <w:r>
        <w:t xml:space="preserve"> </w:t>
      </w:r>
      <w:r>
        <w:t xml:space="preserve">La combinación de caída del producto, empleo estancado, salarios relativos en deterioro, fragilidad fiscal y baja densidad de sectores intensivos en conocimiento configura un cuadro de bajo crecimiento potencial, con escasa capacidad de generar empleo de calidad.</w:t>
      </w:r>
    </w:p>
    <w:p>
      <w:pPr>
        <w:numPr>
          <w:ilvl w:val="0"/>
          <w:numId w:val="1010"/>
        </w:numPr>
      </w:pPr>
      <w:r>
        <w:rPr>
          <w:b/>
          <w:bCs/>
        </w:rPr>
        <w:t xml:space="preserve">Recomendaciones de política.</w:t>
      </w:r>
    </w:p>
    <w:p>
      <w:pPr>
        <w:pStyle w:val="Compact"/>
        <w:numPr>
          <w:ilvl w:val="1"/>
          <w:numId w:val="1011"/>
        </w:numPr>
      </w:pPr>
      <w:r>
        <w:rPr>
          <w:b/>
          <w:bCs/>
        </w:rPr>
        <w:t xml:space="preserve">Escalar el sector EC</w:t>
      </w:r>
      <w:r>
        <w:t xml:space="preserve">: si es el único vector positivo, debería ser prioridad fiscal. Duplicar el peso del EC del 1,55% al 3% de II.BB amortiguaría considerablemente la caída general.</w:t>
      </w:r>
    </w:p>
    <w:p>
      <w:pPr>
        <w:pStyle w:val="Compact"/>
        <w:numPr>
          <w:ilvl w:val="1"/>
          <w:numId w:val="1011"/>
        </w:numPr>
      </w:pPr>
      <w:r>
        <w:rPr>
          <w:b/>
          <w:bCs/>
        </w:rPr>
        <w:t xml:space="preserve">Reducir la dependencia de proxies</w:t>
      </w:r>
      <w:r>
        <w:t xml:space="preserve">: focalizar políticas en el núcleo informático (7220, 7290).</w:t>
      </w:r>
    </w:p>
    <w:p>
      <w:pPr>
        <w:pStyle w:val="Compact"/>
        <w:numPr>
          <w:ilvl w:val="1"/>
          <w:numId w:val="1011"/>
        </w:numPr>
      </w:pPr>
      <w:r>
        <w:rPr>
          <w:b/>
          <w:bCs/>
        </w:rPr>
        <w:t xml:space="preserve">Recuperar masa crítica de empresas</w:t>
      </w:r>
      <w:r>
        <w:t xml:space="preserve">: el estancamiento del software (25 → 28 → 25 en 2024-2025) y la caída de −11,6% en empresas EC totales requieren instrumentos específicos.</w:t>
      </w:r>
    </w:p>
    <w:p>
      <w:pPr>
        <w:pStyle w:val="Compact"/>
        <w:numPr>
          <w:ilvl w:val="1"/>
          <w:numId w:val="1011"/>
        </w:numPr>
      </w:pPr>
      <w:r>
        <w:rPr>
          <w:b/>
          <w:bCs/>
        </w:rPr>
        <w:t xml:space="preserve">Recomponer I+D</w:t>
      </w:r>
      <w:r>
        <w:t xml:space="preserve">: la caída de −50,1% vs. pico 2013 compromete el pipeline de innovación.</w:t>
      </w:r>
    </w:p>
    <w:p>
      <w:pPr>
        <w:pStyle w:val="Compact"/>
        <w:numPr>
          <w:ilvl w:val="1"/>
          <w:numId w:val="1011"/>
        </w:numPr>
      </w:pPr>
      <w:r>
        <w:rPr>
          <w:b/>
          <w:bCs/>
        </w:rPr>
        <w:t xml:space="preserve">Conseguir el dato 2026 de Recaudación EC</w:t>
      </w:r>
      <w:r>
        <w:t xml:space="preserve"> </w:t>
      </w:r>
      <w:r>
        <w:t xml:space="preserve">para cerrar el círculo del análisis fiscal.</w:t>
      </w:r>
    </w:p>
    <w:bookmarkEnd w:id="102"/>
    <w:bookmarkStart w:id="107" w:name="sec-metodologia"/>
    <w:p>
      <w:pPr>
        <w:pStyle w:val="Heading1"/>
      </w:pPr>
      <w:r>
        <w:t xml:space="preserve">11. Metodología</w:t>
      </w:r>
    </w:p>
    <w:bookmarkStart w:id="103" w:name="fuentes"/>
    <w:p>
      <w:pPr>
        <w:pStyle w:val="Heading2"/>
      </w:pPr>
      <w:r>
        <w:t xml:space="preserve">11.1 Fuentes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Fuente</w:t>
            </w:r>
          </w:p>
        </w:tc>
        <w:tc>
          <w:tcPr/>
          <w:p>
            <w:pPr>
              <w:pStyle w:val="Compact"/>
            </w:pPr>
            <w:r>
              <w:t xml:space="preserve">Serie</w:t>
            </w:r>
          </w:p>
        </w:tc>
        <w:tc>
          <w:tcPr/>
          <w:p>
            <w:pPr>
              <w:pStyle w:val="Compact"/>
            </w:pPr>
            <w:r>
              <w:t xml:space="preserve">Cobertura temporal</w:t>
            </w:r>
          </w:p>
        </w:tc>
        <w:tc>
          <w:tcPr/>
          <w:p>
            <w:pPr>
              <w:pStyle w:val="Compact"/>
            </w:pPr>
            <w:r>
              <w:t xml:space="preserve">Frecuencia</w:t>
            </w:r>
          </w:p>
        </w:tc>
      </w:tr>
      <w:tr>
        <w:tc>
          <w:tcPr/>
          <w:p>
            <w:pPr>
              <w:pStyle w:val="Compact"/>
            </w:pPr>
            <w:r>
              <w:t xml:space="preserve">SIPA–OEDE (STEySS)</w:t>
            </w:r>
          </w:p>
        </w:tc>
        <w:tc>
          <w:tcPr/>
          <w:p>
            <w:pPr>
              <w:pStyle w:val="Compact"/>
            </w:pPr>
            <w:r>
              <w:t xml:space="preserve">Empleo registrado privado formal</w:t>
            </w:r>
          </w:p>
        </w:tc>
        <w:tc>
          <w:tcPr/>
          <w:p>
            <w:pPr>
              <w:pStyle w:val="Compact"/>
            </w:pPr>
            <w:r>
              <w:t xml:space="preserve">1996–2026</w:t>
            </w:r>
          </w:p>
        </w:tc>
        <w:tc>
          <w:tcPr/>
          <w:p>
            <w:pPr>
              <w:pStyle w:val="Compact"/>
            </w:pPr>
            <w:r>
              <w:t xml:space="preserve">Mensual / trimestral</w:t>
            </w:r>
          </w:p>
        </w:tc>
      </w:tr>
      <w:tr>
        <w:tc>
          <w:tcPr/>
          <w:p>
            <w:pPr>
              <w:pStyle w:val="Compact"/>
            </w:pPr>
            <w:r>
              <w:t xml:space="preserve">SIPA–OEDE (STEySS)</w:t>
            </w:r>
          </w:p>
        </w:tc>
        <w:tc>
          <w:tcPr/>
          <w:p>
            <w:pPr>
              <w:pStyle w:val="Compact"/>
            </w:pPr>
            <w:r>
              <w:t xml:space="preserve">Empresas privadas por rama</w:t>
            </w:r>
          </w:p>
        </w:tc>
        <w:tc>
          <w:tcPr/>
          <w:p>
            <w:pPr>
              <w:pStyle w:val="Compact"/>
            </w:pPr>
            <w:r>
              <w:t xml:space="preserve">1996–2025</w:t>
            </w:r>
          </w:p>
        </w:tc>
        <w:tc>
          <w:tcPr/>
          <w:p>
            <w:pPr>
              <w:pStyle w:val="Compact"/>
            </w:pPr>
            <w:r>
              <w:t xml:space="preserve">Anual</w:t>
            </w:r>
          </w:p>
        </w:tc>
      </w:tr>
      <w:tr>
        <w:tc>
          <w:tcPr/>
          <w:p>
            <w:pPr>
              <w:pStyle w:val="Compact"/>
            </w:pPr>
            <w:r>
              <w:t xml:space="preserve">SIPA–OEDE (STEySS)</w:t>
            </w:r>
          </w:p>
        </w:tc>
        <w:tc>
          <w:tcPr/>
          <w:p>
            <w:pPr>
              <w:pStyle w:val="Compact"/>
            </w:pPr>
            <w:r>
              <w:t xml:space="preserve">Empleo por rama a 4 dígitos CIIU</w:t>
            </w:r>
          </w:p>
        </w:tc>
        <w:tc>
          <w:tcPr/>
          <w:p>
            <w:pPr>
              <w:pStyle w:val="Compact"/>
            </w:pPr>
            <w:r>
              <w:t xml:space="preserve">1996–2025</w:t>
            </w:r>
          </w:p>
        </w:tc>
        <w:tc>
          <w:tcPr/>
          <w:p>
            <w:pPr>
              <w:pStyle w:val="Compact"/>
            </w:pPr>
            <w:r>
              <w:t xml:space="preserve">Trimestral</w:t>
            </w:r>
          </w:p>
        </w:tc>
      </w:tr>
      <w:tr>
        <w:tc>
          <w:tcPr/>
          <w:p>
            <w:pPr>
              <w:pStyle w:val="Compact"/>
            </w:pPr>
            <w:r>
              <w:t xml:space="preserve">SIPA–OEDE</w:t>
            </w:r>
          </w:p>
        </w:tc>
        <w:tc>
          <w:tcPr/>
          <w:p>
            <w:pPr>
              <w:pStyle w:val="Compact"/>
            </w:pPr>
            <w:r>
              <w:t xml:space="preserve">Salario por rama a 4 dígitos CIIU</w:t>
            </w:r>
          </w:p>
        </w:tc>
        <w:tc>
          <w:tcPr/>
          <w:p>
            <w:pPr>
              <w:pStyle w:val="Compact"/>
            </w:pPr>
            <w:r>
              <w:t xml:space="preserve">1995–2025</w:t>
            </w:r>
          </w:p>
        </w:tc>
        <w:tc>
          <w:tcPr/>
          <w:p>
            <w:pPr>
              <w:pStyle w:val="Compact"/>
            </w:pPr>
            <w:r>
              <w:t xml:space="preserve">Mensual</w:t>
            </w:r>
          </w:p>
        </w:tc>
      </w:tr>
      <w:tr>
        <w:tc>
          <w:tcPr/>
          <w:p>
            <w:pPr>
              <w:pStyle w:val="Compact"/>
            </w:pPr>
            <w:r>
              <w:t xml:space="preserve">SIPA–OEDE</w:t>
            </w:r>
          </w:p>
        </w:tc>
        <w:tc>
          <w:tcPr/>
          <w:p>
            <w:pPr>
              <w:pStyle w:val="Compact"/>
            </w:pPr>
            <w:r>
              <w:t xml:space="preserve">Salario promedio registrado</w:t>
            </w:r>
          </w:p>
        </w:tc>
        <w:tc>
          <w:tcPr/>
          <w:p>
            <w:pPr>
              <w:pStyle w:val="Compact"/>
            </w:pPr>
            <w:r>
              <w:t xml:space="preserve">2010–2026</w:t>
            </w:r>
          </w:p>
        </w:tc>
        <w:tc>
          <w:tcPr/>
          <w:p>
            <w:pPr>
              <w:pStyle w:val="Compact"/>
            </w:pPr>
            <w:r>
              <w:t xml:space="preserve">Mensual</w:t>
            </w:r>
          </w:p>
        </w:tc>
      </w:tr>
      <w:tr>
        <w:tc>
          <w:tcPr/>
          <w:p>
            <w:pPr>
              <w:pStyle w:val="Compact"/>
            </w:pPr>
            <w:r>
              <w:t xml:space="preserve">INDEC</w:t>
            </w:r>
          </w:p>
        </w:tc>
        <w:tc>
          <w:tcPr/>
          <w:p>
            <w:pPr>
              <w:pStyle w:val="Compact"/>
            </w:pPr>
            <w:r>
              <w:t xml:space="preserve">IPC NOA</w:t>
            </w:r>
          </w:p>
        </w:tc>
        <w:tc>
          <w:tcPr/>
          <w:p>
            <w:pPr>
              <w:pStyle w:val="Compact"/>
            </w:pPr>
            <w:r>
              <w:t xml:space="preserve">2017–2026</w:t>
            </w:r>
          </w:p>
        </w:tc>
        <w:tc>
          <w:tcPr/>
          <w:p>
            <w:pPr>
              <w:pStyle w:val="Compact"/>
            </w:pPr>
            <w:r>
              <w:t xml:space="preserve">Mensual</w:t>
            </w:r>
          </w:p>
        </w:tc>
      </w:tr>
      <w:tr>
        <w:tc>
          <w:tcPr/>
          <w:p>
            <w:pPr>
              <w:pStyle w:val="Compact"/>
            </w:pPr>
            <w:r>
              <w:t xml:space="preserve">INDEC (OPEX)</w:t>
            </w:r>
          </w:p>
        </w:tc>
        <w:tc>
          <w:tcPr/>
          <w:p>
            <w:pPr>
              <w:pStyle w:val="Compact"/>
            </w:pPr>
            <w:r>
              <w:t xml:space="preserve">VAB provincial</w:t>
            </w:r>
          </w:p>
        </w:tc>
        <w:tc>
          <w:tcPr/>
          <w:p>
            <w:pPr>
              <w:pStyle w:val="Compact"/>
            </w:pPr>
            <w:r>
              <w:t xml:space="preserve">1993–2025</w:t>
            </w:r>
          </w:p>
        </w:tc>
        <w:tc>
          <w:tcPr/>
          <w:p>
            <w:pPr>
              <w:pStyle w:val="Compact"/>
            </w:pPr>
            <w:r>
              <w:t xml:space="preserve">Anual</w:t>
            </w:r>
          </w:p>
        </w:tc>
      </w:tr>
      <w:tr>
        <w:tc>
          <w:tcPr/>
          <w:p>
            <w:pPr>
              <w:pStyle w:val="Compact"/>
            </w:pPr>
            <w:r>
              <w:t xml:space="preserve">INDEC</w:t>
            </w:r>
          </w:p>
        </w:tc>
        <w:tc>
          <w:tcPr/>
          <w:p>
            <w:pPr>
              <w:pStyle w:val="Compact"/>
            </w:pPr>
            <w:r>
              <w:t xml:space="preserve">Exportaciones por complejidad</w:t>
            </w:r>
          </w:p>
        </w:tc>
        <w:tc>
          <w:tcPr/>
          <w:p>
            <w:pPr>
              <w:pStyle w:val="Compact"/>
            </w:pPr>
            <w:r>
              <w:t xml:space="preserve">2019–2024</w:t>
            </w:r>
          </w:p>
        </w:tc>
        <w:tc>
          <w:tcPr/>
          <w:p>
            <w:pPr>
              <w:pStyle w:val="Compact"/>
            </w:pPr>
            <w:r>
              <w:t xml:space="preserve">Anual</w:t>
            </w:r>
          </w:p>
        </w:tc>
      </w:tr>
      <w:tr>
        <w:tc>
          <w:tcPr/>
          <w:p>
            <w:pPr>
              <w:pStyle w:val="Compact"/>
            </w:pPr>
            <w:r>
              <w:t xml:space="preserve">MINCyT</w:t>
            </w:r>
          </w:p>
        </w:tc>
        <w:tc>
          <w:tcPr/>
          <w:p>
            <w:pPr>
              <w:pStyle w:val="Compact"/>
            </w:pPr>
            <w:r>
              <w:t xml:space="preserve">I+D, investigadores</w:t>
            </w:r>
          </w:p>
        </w:tc>
        <w:tc>
          <w:tcPr/>
          <w:p>
            <w:pPr>
              <w:pStyle w:val="Compact"/>
            </w:pPr>
            <w:r>
              <w:t xml:space="preserve">2013–2024</w:t>
            </w:r>
          </w:p>
        </w:tc>
        <w:tc>
          <w:tcPr/>
          <w:p>
            <w:pPr>
              <w:pStyle w:val="Compact"/>
            </w:pPr>
            <w:r>
              <w:t xml:space="preserve">Anual</w:t>
            </w:r>
          </w:p>
        </w:tc>
      </w:tr>
      <w:tr>
        <w:tc>
          <w:tcPr/>
          <w:p>
            <w:pPr>
              <w:pStyle w:val="Compact"/>
            </w:pPr>
            <w:r>
              <w:t xml:space="preserve">ENACOM</w:t>
            </w:r>
          </w:p>
        </w:tc>
        <w:tc>
          <w:tcPr/>
          <w:p>
            <w:pPr>
              <w:pStyle w:val="Compact"/>
            </w:pPr>
            <w:r>
              <w:t xml:space="preserve">Conectividad (accesos, fibra)</w:t>
            </w:r>
          </w:p>
        </w:tc>
        <w:tc>
          <w:tcPr/>
          <w:p>
            <w:pPr>
              <w:pStyle w:val="Compact"/>
            </w:pPr>
            <w:r>
              <w:t xml:space="preserve">2022–2026</w:t>
            </w:r>
          </w:p>
        </w:tc>
        <w:tc>
          <w:tcPr/>
          <w:p>
            <w:pPr>
              <w:pStyle w:val="Compact"/>
            </w:pPr>
            <w:r>
              <w:t xml:space="preserve">Trimestral</w:t>
            </w:r>
          </w:p>
        </w:tc>
      </w:tr>
      <w:tr>
        <w:tc>
          <w:tcPr/>
          <w:p>
            <w:pPr>
              <w:pStyle w:val="Compact"/>
            </w:pPr>
            <w:r>
              <w:t xml:space="preserve">DGIP La Rioja</w:t>
            </w:r>
          </w:p>
        </w:tc>
        <w:tc>
          <w:tcPr/>
          <w:p>
            <w:pPr>
              <w:pStyle w:val="Compact"/>
            </w:pPr>
            <w:r>
              <w:t xml:space="preserve">Ingresos brutos por actividad</w:t>
            </w:r>
          </w:p>
        </w:tc>
        <w:tc>
          <w:tcPr/>
          <w:p>
            <w:pPr>
              <w:pStyle w:val="Compact"/>
            </w:pPr>
            <w:r>
              <w:t xml:space="preserve">2018–2025</w:t>
            </w:r>
          </w:p>
        </w:tc>
        <w:tc>
          <w:tcPr/>
          <w:p>
            <w:pPr>
              <w:pStyle w:val="Compact"/>
            </w:pPr>
            <w:r>
              <w:t xml:space="preserve">Mensual</w:t>
            </w:r>
          </w:p>
        </w:tc>
      </w:tr>
      <w:tr>
        <w:tc>
          <w:tcPr/>
          <w:p>
            <w:pPr>
              <w:pStyle w:val="Compact"/>
            </w:pPr>
            <w:r>
              <w:t xml:space="preserve">DGIP La Rioja</w:t>
            </w:r>
          </w:p>
        </w:tc>
        <w:tc>
          <w:tcPr/>
          <w:p>
            <w:pPr>
              <w:pStyle w:val="Compact"/>
            </w:pPr>
            <w:r>
              <w:t xml:space="preserve">Contribuyentes por régimen</w:t>
            </w:r>
          </w:p>
        </w:tc>
        <w:tc>
          <w:tcPr/>
          <w:p>
            <w:pPr>
              <w:pStyle w:val="Compact"/>
            </w:pPr>
            <w:r>
              <w:t xml:space="preserve">2022–2025</w:t>
            </w:r>
          </w:p>
        </w:tc>
        <w:tc>
          <w:tcPr/>
          <w:p>
            <w:pPr>
              <w:pStyle w:val="Compact"/>
            </w:pPr>
            <w:r>
              <w:t xml:space="preserve">Anual</w:t>
            </w:r>
          </w:p>
        </w:tc>
      </w:tr>
      <w:tr>
        <w:tc>
          <w:tcPr/>
          <w:p>
            <w:pPr>
              <w:pStyle w:val="Compact"/>
            </w:pPr>
            <w:r>
              <w:t xml:space="preserve">DNAP/CEPA</w:t>
            </w:r>
          </w:p>
        </w:tc>
        <w:tc>
          <w:tcPr/>
          <w:p>
            <w:pPr>
              <w:pStyle w:val="Compact"/>
            </w:pPr>
            <w:r>
              <w:t xml:space="preserve">Recaudación provincial total y por tributo</w:t>
            </w:r>
          </w:p>
        </w:tc>
        <w:tc>
          <w:tcPr/>
          <w:p>
            <w:pPr>
              <w:pStyle w:val="Compact"/>
            </w:pPr>
            <w:r>
              <w:t xml:space="preserve">2019–2026</w:t>
            </w:r>
          </w:p>
        </w:tc>
        <w:tc>
          <w:tcPr/>
          <w:p>
            <w:pPr>
              <w:pStyle w:val="Compact"/>
            </w:pPr>
            <w:r>
              <w:t xml:space="preserve">Mensual</w:t>
            </w:r>
          </w:p>
        </w:tc>
      </w:tr>
    </w:tbl>
    <w:bookmarkEnd w:id="103"/>
    <w:bookmarkStart w:id="104" w:name="definiciones"/>
    <w:p>
      <w:pPr>
        <w:pStyle w:val="Heading2"/>
      </w:pPr>
      <w:r>
        <w:t xml:space="preserve">11.2 Definiciones</w:t>
      </w:r>
    </w:p>
    <w:p>
      <w:pPr>
        <w:pStyle w:val="FirstParagraph"/>
      </w:pPr>
      <w:r>
        <w:rPr>
          <w:b/>
          <w:bCs/>
        </w:rPr>
        <w:t xml:space="preserve">Empleo registrado (SIPA).</w:t>
      </w:r>
      <w:r>
        <w:t xml:space="preserve"> </w:t>
      </w:r>
      <w:r>
        <w:t xml:space="preserve">Asalariados registrados en el sector privado, según declaración al Sistema Integrado Previsional Argentino. Índice desestacionalizado base enero 2019 = 100.</w:t>
      </w:r>
    </w:p>
    <w:p>
      <w:pPr>
        <w:pStyle w:val="BodyText"/>
      </w:pPr>
      <w:r>
        <w:rPr>
          <w:b/>
          <w:bCs/>
        </w:rPr>
        <w:t xml:space="preserve">Empresas (SIPA–OEDE).</w:t>
      </w:r>
      <w:r>
        <w:t xml:space="preserve"> </w:t>
      </w:r>
      <w:r>
        <w:t xml:space="preserve">Empresas privadas activas por año, según apertura CIIU rev. 3 a 4 dígitos. Una empresa se cuenta una vez por año si registró al menos un asalariado en ese período.</w:t>
      </w:r>
    </w:p>
    <w:p>
      <w:pPr>
        <w:pStyle w:val="BodyText"/>
      </w:pPr>
      <w:r>
        <w:rPr>
          <w:b/>
          <w:bCs/>
        </w:rPr>
        <w:t xml:space="preserve">Actividades EC (AFIP/ARCA).</w:t>
      </w:r>
      <w:r>
        <w:t xml:space="preserve"> </w:t>
      </w:r>
      <w:r>
        <w:t xml:space="preserve">Conjunto de actividades de Economía del Conocimiento identificadas a partir de los códigos CIIU rev. 3 a 4 dígitos equivalentes a las actividades promovidas por la Ley 27.506 y su modificatoria 27.570. Incluye los códigos 7210, 7220, 7250, 7290, 7300, 7421, 7430, 7499. Excluye 9220 (agencias de noticias).</w:t>
      </w:r>
    </w:p>
    <w:p>
      <w:pPr>
        <w:pStyle w:val="BodyText"/>
      </w:pPr>
      <w:r>
        <w:rPr>
          <w:b/>
          <w:bCs/>
        </w:rPr>
        <w:t xml:space="preserve">Núcleo informático.</w:t>
      </w:r>
      <w:r>
        <w:t xml:space="preserve"> </w:t>
      </w:r>
      <w:r>
        <w:t xml:space="preserve">Subconjunto canónico de Actividades EC: 7210 + 7220 + 7290. Es la definición usada para prima salarial, empleo EC y recaudación EC en este informe. En la práctica se calcula como 7220 + 7290 porque el CIIU 7210 no tiene datos publicados en los archivos SIPA-OEDE (ni de salario ni de empleo).</w:t>
      </w:r>
    </w:p>
    <w:p>
      <w:pPr>
        <w:pStyle w:val="BodyText"/>
      </w:pPr>
      <w:r>
        <w:rPr>
          <w:b/>
          <w:bCs/>
        </w:rPr>
        <w:t xml:space="preserve">Empleo EC.</w:t>
      </w:r>
      <w:r>
        <w:t xml:space="preserve"> </w:t>
      </w:r>
      <w:r>
        <w:t xml:space="preserve">Stock promedio anual de puestos de trabajo del núcleo informático. Se calcula como el promedio de los cuatro trimestres de cada año, consistente con la metodología del INDEC y OEDE.</w:t>
      </w:r>
    </w:p>
    <w:p>
      <w:pPr>
        <w:pStyle w:val="BodyText"/>
      </w:pPr>
      <w:r>
        <w:rPr>
          <w:b/>
          <w:bCs/>
        </w:rPr>
        <w:t xml:space="preserve">Recaudación EC.</w:t>
      </w:r>
      <w:r>
        <w:t xml:space="preserve"> </w:t>
      </w:r>
      <w:r>
        <w:t xml:space="preserve">Porción de Ingresos Brutos provincial correspondiente a las Actividades EC. Se calcula a partir del padrón de contribuyentes por régimen (Convenio Multilateral vs. Local) y la base imponible declarada. No es un impuesto separado: se recauda dentro de II.BB.</w:t>
      </w:r>
    </w:p>
    <w:p>
      <w:pPr>
        <w:pStyle w:val="BodyText"/>
      </w:pPr>
      <w:r>
        <w:rPr>
          <w:b/>
          <w:bCs/>
        </w:rPr>
        <w:t xml:space="preserve">Intensidad empresarial EC.</w:t>
      </w:r>
      <w:r>
        <w:t xml:space="preserve"> </w:t>
      </w:r>
      <w:r>
        <w:t xml:space="preserve">Cociente entre las empresas EC y las empresas totales de la provincia, expresado en empresas EC por cada 1.000 empresas totales (‰). Permite comparar la densidad del sector neutralizando el tamaño absoluto de cada economía provincial.</w:t>
      </w:r>
    </w:p>
    <w:p>
      <w:pPr>
        <w:pStyle w:val="BodyText"/>
      </w:pPr>
      <w:r>
        <w:rPr>
          <w:b/>
          <w:bCs/>
        </w:rPr>
        <w:t xml:space="preserve">Elasticidad empleo-empresas.</w:t>
      </w:r>
      <w:r>
        <w:t xml:space="preserve"> </w:t>
      </w:r>
      <w:r>
        <w:t xml:space="preserve">Cociente entre la variación porcentual del empleo EC y la variación porcentual de las empresas EC en un período. Un valor mayor a 1 indica que el empleo crece más rápido que las empresas (sector intensivo en empleo calificado). Un valor negativo indica que el empleo cae mientras las empresas crecen (caída del tamaño medio).</w:t>
      </w:r>
    </w:p>
    <w:p>
      <w:pPr>
        <w:pStyle w:val="BodyText"/>
      </w:pPr>
      <w:r>
        <w:rPr>
          <w:b/>
          <w:bCs/>
        </w:rPr>
        <w:t xml:space="preserve">Prima salarial EC.</w:t>
      </w:r>
      <w:r>
        <w:t xml:space="preserve"> </w:t>
      </w:r>
      <w:r>
        <w:t xml:space="preserve">Diferencia porcentual entre el salario promedio de una rama o conjunto de ramas EC y el salario promedio provincial, del mismo mes. Se calcula como</w:t>
      </w:r>
      <w:r>
        <w:t xml:space="preserve"> </w:t>
      </w:r>
      <w:r>
        <w:rPr>
          <w:rStyle w:val="VerbatimChar"/>
        </w:rPr>
        <w:t xml:space="preserve">(salario EC / salario provincial − 1) × 100</w:t>
      </w:r>
      <w:r>
        <w:t xml:space="preserve">.</w:t>
      </w:r>
    </w:p>
    <w:p>
      <w:pPr>
        <w:pStyle w:val="BodyText"/>
      </w:pPr>
      <w:r>
        <w:rPr>
          <w:b/>
          <w:bCs/>
        </w:rPr>
        <w:t xml:space="preserve">Salario real.</w:t>
      </w:r>
      <w:r>
        <w:t xml:space="preserve"> </w:t>
      </w:r>
      <w:r>
        <w:t xml:space="preserve">Salario nominal deflactado por IPC NOA (base 2017 = 100). Se usa IPC NOA porque INDEC no publica un IPC específico para La Rioja.</w:t>
      </w:r>
    </w:p>
    <w:bookmarkEnd w:id="104"/>
    <w:bookmarkStart w:id="105" w:name="limitaciones"/>
    <w:p>
      <w:pPr>
        <w:pStyle w:val="Heading2"/>
      </w:pPr>
      <w:r>
        <w:t xml:space="preserve">11.3 Limitaciones</w:t>
      </w:r>
    </w:p>
    <w:p>
      <w:pPr>
        <w:numPr>
          <w:ilvl w:val="0"/>
          <w:numId w:val="1012"/>
        </w:numPr>
      </w:pPr>
      <w:r>
        <w:rPr>
          <w:b/>
          <w:bCs/>
        </w:rPr>
        <w:t xml:space="preserve">Hueco de 2023 en la serie de empresas.</w:t>
      </w:r>
      <w:r>
        <w:t xml:space="preserve"> </w:t>
      </w:r>
      <w:r>
        <w:t xml:space="preserve">El archivo provincial de OEDE no publica datos para ese año. La serie tiene un hueco explícito entre 2022 y 2024.</w:t>
      </w:r>
    </w:p>
    <w:p>
      <w:pPr>
        <w:numPr>
          <w:ilvl w:val="0"/>
          <w:numId w:val="1012"/>
        </w:numPr>
      </w:pPr>
      <w:r>
        <w:rPr>
          <w:b/>
          <w:bCs/>
        </w:rPr>
        <w:t xml:space="preserve">2025 con datos preliminares.</w:t>
      </w:r>
      <w:r>
        <w:t xml:space="preserve"> </w:t>
      </w:r>
      <w:r>
        <w:t xml:space="preserve">Las cifras de 2025 pueden estar sujetas a revisión por parte del OEDE.</w:t>
      </w:r>
    </w:p>
    <w:p>
      <w:pPr>
        <w:numPr>
          <w:ilvl w:val="0"/>
          <w:numId w:val="1012"/>
        </w:numPr>
      </w:pPr>
      <w:r>
        <w:rPr>
          <w:b/>
          <w:bCs/>
        </w:rPr>
        <w:t xml:space="preserve">Proxies 7421 y 7499.</w:t>
      </w:r>
      <w:r>
        <w:t xml:space="preserve"> </w:t>
      </w:r>
      <w:r>
        <w:t xml:space="preserve">Los códigos de geología/ingeniería y servicios empresariales no permiten aislar la actividad EC específica. El conteo es un techo superior. Bajo esta definición, el 67,7% del conteo EC depende de estos dos proxies.</w:t>
      </w:r>
    </w:p>
    <w:p>
      <w:pPr>
        <w:numPr>
          <w:ilvl w:val="0"/>
          <w:numId w:val="1012"/>
        </w:numPr>
      </w:pPr>
      <w:r>
        <w:rPr>
          <w:b/>
          <w:bCs/>
        </w:rPr>
        <w:t xml:space="preserve">CIIU 7210 sin datos.</w:t>
      </w:r>
      <w:r>
        <w:t xml:space="preserve"> </w:t>
      </w:r>
      <w:r>
        <w:t xml:space="preserve">El código 7210 (consultores en equipos) integra la definición del núcleo informático pero</w:t>
      </w:r>
      <w:r>
        <w:t xml:space="preserve"> </w:t>
      </w:r>
      <w:r>
        <w:rPr>
          <w:b/>
          <w:bCs/>
        </w:rPr>
        <w:t xml:space="preserve">no tiene dato de salario ni de empleo</w:t>
      </w:r>
      <w:r>
        <w:t xml:space="preserve"> </w:t>
      </w:r>
      <w:r>
        <w:t xml:space="preserve">en los archivos SIPA-OEDE 4 dígitos. En la práctica, el núcleo se calcula como 7220 + 7290.</w:t>
      </w:r>
    </w:p>
    <w:p>
      <w:pPr>
        <w:numPr>
          <w:ilvl w:val="0"/>
          <w:numId w:val="1012"/>
        </w:numPr>
      </w:pPr>
      <w:r>
        <w:rPr>
          <w:b/>
          <w:bCs/>
        </w:rPr>
        <w:t xml:space="preserve">VAB sin apertura sectorial.</w:t>
      </w:r>
      <w:r>
        <w:t xml:space="preserve"> </w:t>
      </w:r>
      <w:r>
        <w:t xml:space="preserve">El VAB provincial de OPEX no permite descomponer el aporte de la Economía del Conocimiento. El análisis sectorial se apoya exclusivamente en registros administrativos (empresas, empleo y contribuyentes).</w:t>
      </w:r>
    </w:p>
    <w:p>
      <w:pPr>
        <w:numPr>
          <w:ilvl w:val="0"/>
          <w:numId w:val="1012"/>
        </w:numPr>
      </w:pPr>
      <w:r>
        <w:rPr>
          <w:b/>
          <w:bCs/>
        </w:rPr>
        <w:t xml:space="preserve">Serie de salarios.</w:t>
      </w:r>
      <w:r>
        <w:t xml:space="preserve"> </w:t>
      </w:r>
      <w:r>
        <w:t xml:space="preserve">El SIPA publica salario promedio, no mediana. Los promedios son sensibles a cambios en la composición del empleo registrado.</w:t>
      </w:r>
    </w:p>
    <w:p>
      <w:pPr>
        <w:numPr>
          <w:ilvl w:val="0"/>
          <w:numId w:val="1012"/>
        </w:numPr>
      </w:pPr>
      <w:r>
        <w:rPr>
          <w:b/>
          <w:bCs/>
        </w:rPr>
        <w:t xml:space="preserve">Recaudación EC 2026 no publicada.</w:t>
      </w:r>
      <w:r>
        <w:t xml:space="preserve"> </w:t>
      </w:r>
      <w:r>
        <w:t xml:space="preserve">El dato 2026 de Recaudación EC debe solicitarse formalmente a la DGIP. El análisis de esta sección se limita al período 2022-2025, con contexto fiscal 2026 basado exclusivamente en datos DNAP (recaudación total y II.BB agregado).</w:t>
      </w:r>
    </w:p>
    <w:p>
      <w:pPr>
        <w:numPr>
          <w:ilvl w:val="0"/>
          <w:numId w:val="1012"/>
        </w:numPr>
      </w:pPr>
      <w:r>
        <w:rPr>
          <w:b/>
          <w:bCs/>
        </w:rPr>
        <w:t xml:space="preserve">Recaudación EC dentro de II.BB.</w:t>
      </w:r>
      <w:r>
        <w:t xml:space="preserve"> </w:t>
      </w:r>
      <w:r>
        <w:t xml:space="preserve">No es línea separada en los informes de DNAP/CEPA. La descomposición se construye combinando fuentes.</w:t>
      </w:r>
    </w:p>
    <w:bookmarkEnd w:id="105"/>
    <w:bookmarkStart w:id="106" w:name="reproducibilidad"/>
    <w:p>
      <w:pPr>
        <w:pStyle w:val="Heading2"/>
      </w:pPr>
      <w:r>
        <w:t xml:space="preserve">11.4 Reproducibilidad</w:t>
      </w:r>
    </w:p>
    <w:p>
      <w:pPr>
        <w:pStyle w:val="FirstParagraph"/>
      </w:pPr>
      <w:r>
        <w:t xml:space="preserve">Todo el análisis se ejecuta desde scripts versionados en el repositorio:</w:t>
      </w:r>
    </w:p>
    <w:p>
      <w:pPr>
        <w:pStyle w:val="SourceCode"/>
      </w:pPr>
      <w:r>
        <w:rPr>
          <w:rStyle w:val="VerbatimChar"/>
        </w:rPr>
        <w:t xml:space="preserve">src/</w:t>
      </w:r>
      <w:r>
        <w:br/>
      </w:r>
      <w:r>
        <w:rPr>
          <w:rStyle w:val="VerbatimChar"/>
        </w:rPr>
        <w:t xml:space="preserve">├── empresas_ec.py               # Definición Actividades EC y funciones de análisis</w:t>
      </w:r>
      <w:r>
        <w:br/>
      </w:r>
      <w:r>
        <w:rPr>
          <w:rStyle w:val="VerbatimChar"/>
        </w:rPr>
        <w:t xml:space="preserve">├── benchmark_intensidad.py      # Benchmark 9 provincias</w:t>
      </w:r>
      <w:r>
        <w:br/>
      </w:r>
      <w:r>
        <w:rPr>
          <w:rStyle w:val="VerbatimChar"/>
        </w:rPr>
        <w:t xml:space="preserve">├── prima_salarial.py            # Prima salarial EC (núcleo 7210+7220+7290)</w:t>
      </w:r>
      <w:r>
        <w:br/>
      </w:r>
      <w:r>
        <w:rPr>
          <w:rStyle w:val="VerbatimChar"/>
        </w:rPr>
        <w:t xml:space="preserve">├── empleo_ec.py                 # Empleo EC núcleo (CIIU 4 dígitos)</w:t>
      </w:r>
      <w:r>
        <w:br/>
      </w:r>
      <w:r>
        <w:rPr>
          <w:rStyle w:val="VerbatimChar"/>
        </w:rPr>
        <w:t xml:space="preserve">├── recaudacion_ec.py            # Series de recaudación provincial + share EC</w:t>
      </w:r>
      <w:r>
        <w:br/>
      </w:r>
      <w:r>
        <w:rPr>
          <w:rStyle w:val="VerbatimChar"/>
        </w:rPr>
        <w:t xml:space="preserve">├── regional.py                  # Empleo, salarios, IPC</w:t>
      </w:r>
      <w:r>
        <w:br/>
      </w:r>
      <w:r>
        <w:rPr>
          <w:rStyle w:val="VerbatimChar"/>
        </w:rPr>
        <w:t xml:space="preserve">├── emae.py                      # VAB / OPEX</w:t>
      </w:r>
      <w:r>
        <w:br/>
      </w:r>
      <w:r>
        <w:rPr>
          <w:rStyle w:val="VerbatimChar"/>
        </w:rPr>
        <w:t xml:space="preserve">├── visualizaciones.py           # Figuras del informe</w:t>
      </w:r>
      <w:r>
        <w:br/>
      </w:r>
      <w:r>
        <w:rPr>
          <w:rStyle w:val="VerbatimChar"/>
        </w:rPr>
        <w:t xml:space="preserve">└── visualizaciones_empresas.py  # Figuras de empresas, empleo EC, elasticidad, intensidad</w:t>
      </w:r>
      <w:r>
        <w:br/>
      </w:r>
      <w:r>
        <w:br/>
      </w:r>
      <w:r>
        <w:rPr>
          <w:rStyle w:val="VerbatimChar"/>
        </w:rPr>
        <w:t xml:space="preserve">scripts/</w:t>
      </w:r>
      <w:r>
        <w:br/>
      </w:r>
      <w:r>
        <w:rPr>
          <w:rStyle w:val="VerbatimChar"/>
        </w:rPr>
        <w:t xml:space="preserve">├── generar_empleo_ec.py         # Regenera data/processed/empleo_ec_rioja.xlsx</w:t>
      </w:r>
      <w:r>
        <w:br/>
      </w:r>
      <w:r>
        <w:rPr>
          <w:rStyle w:val="VerbatimChar"/>
        </w:rPr>
        <w:t xml:space="preserve">└── comparar_empleo_ec.py        # Compara empleo núcleo vs. completo</w:t>
      </w:r>
      <w:r>
        <w:br/>
      </w:r>
      <w:r>
        <w:br/>
      </w:r>
      <w:r>
        <w:rPr>
          <w:rStyle w:val="VerbatimChar"/>
        </w:rPr>
        <w:t xml:space="preserve">notebooks/</w:t>
      </w:r>
      <w:r>
        <w:br/>
      </w:r>
      <w:r>
        <w:rPr>
          <w:rStyle w:val="VerbatimChar"/>
        </w:rPr>
        <w:t xml:space="preserve">├── empresas_ec_analisis.py       # Análisis completo de empresas</w:t>
      </w:r>
      <w:r>
        <w:br/>
      </w:r>
      <w:r>
        <w:rPr>
          <w:rStyle w:val="VerbatimChar"/>
        </w:rPr>
        <w:t xml:space="preserve">├── empresas_ec_2022_2025.py      # Serie 2022–2025</w:t>
      </w:r>
      <w:r>
        <w:br/>
      </w:r>
      <w:r>
        <w:rPr>
          <w:rStyle w:val="VerbatimChar"/>
        </w:rPr>
        <w:t xml:space="preserve">├── empleo_ec_analisis.py         # Análisis de empleo EC</w:t>
      </w:r>
      <w:r>
        <w:br/>
      </w:r>
      <w:r>
        <w:rPr>
          <w:rStyle w:val="VerbatimChar"/>
        </w:rPr>
        <w:t xml:space="preserve">├── recaudacion_ec_analisis.py    # Análisis fiscal (figuras F20-F23)</w:t>
      </w:r>
      <w:r>
        <w:br/>
      </w:r>
      <w:r>
        <w:rPr>
          <w:rStyle w:val="VerbatimChar"/>
        </w:rPr>
        <w:t xml:space="preserve">└── 01_salud_proyecto.ipynb       # Test de humo end-to-end</w:t>
      </w:r>
    </w:p>
    <w:p>
      <w:pPr>
        <w:pStyle w:val="FirstParagraph"/>
      </w:pPr>
      <w:r>
        <w:t xml:space="preserve">El render del informe se reproduce con:</w:t>
      </w:r>
    </w:p>
    <w:p>
      <w:pPr>
        <w:pStyle w:val="SourceCode"/>
      </w:pPr>
      <w:r>
        <w:rPr>
          <w:rStyle w:val="VerbatimChar"/>
        </w:rPr>
        <w:t xml:space="preserve">cd informe &amp;&amp; quarto render</w:t>
      </w:r>
    </w:p>
    <w:bookmarkEnd w:id="106"/>
    <w:bookmarkEnd w:id="107"/>
    <w:bookmarkStart w:id="109" w:name="sec-referencias"/>
    <w:p>
      <w:pPr>
        <w:pStyle w:val="Heading1"/>
      </w:pPr>
      <w:r>
        <w:t xml:space="preserve">12. Referencias</w:t>
      </w:r>
    </w:p>
    <w:bookmarkStart w:id="108" w:name="refs"/>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image" Id="rId10" Target="media/rId10.png" /><Relationship Type="http://schemas.openxmlformats.org/officeDocument/2006/relationships/image" Id="rId67" Target="media/rId67.png" /><Relationship Type="http://schemas.openxmlformats.org/officeDocument/2006/relationships/image" Id="rId78" Target="media/rId78.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Economía de La Rioja</dc:title>
  <dc:creator>Elaboración propia</dc:creator>
  <dc:language>es</dc:language>
  <cp:keywords/>
  <dcterms:created xsi:type="dcterms:W3CDTF">2026-09-20T21:15:23Z</dcterms:created>
  <dcterms:modified xsi:type="dcterms:W3CDTF">2026-09-20T21:15:23Z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referencias.bib</vt:lpwstr>
  </property>
  <property fmtid="{D5CDD505-2E9C-101B-9397-08002B2CF9AE}" pid="5" name="by-author">
    <vt:lpwstr/>
  </property>
  <property fmtid="{D5CDD505-2E9C-101B-9397-08002B2CF9AE}" pid="6" name="date">
    <vt:lpwstr>septiembre 2026</vt:lpwstr>
  </property>
  <property fmtid="{D5CDD505-2E9C-101B-9397-08002B2CF9AE}" pid="7" name="date-format">
    <vt:lpwstr>MMMM YYYY</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Informe económico y de Economía del Conocimiento</vt:lpwstr>
  </property>
  <property fmtid="{D5CDD505-2E9C-101B-9397-08002B2CF9AE}" pid="14" name="toc-title">
    <vt:lpwstr>Tabla de contenidos</vt:lpwstr>
  </property>
</Properties>
</file>