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0.png" ContentType="image/png"/>
  <Override PartName="/word/media/rId14.png" ContentType="image/png"/>
  <Override PartName="/word/media/rId40.png" ContentType="image/png"/>
  <Override PartName="/word/media/rId45.png" ContentType="image/png"/>
  <Override PartName="/word/media/rId20.png" ContentType="image/png"/>
  <Override PartName="/word/media/rId51.png" ContentType="image/png"/>
  <Override PartName="/word/media/rId5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 empleo en la Economía del Conocimiento de La Rioja</w:t>
      </w:r>
    </w:p>
    <w:p>
      <w:pPr>
        <w:pStyle w:val="Subtitle"/>
      </w:pPr>
      <w:r>
        <w:t xml:space="preserve">Diagnóstico 2019-2026</w:t>
      </w:r>
    </w:p>
    <w:p>
      <w:pPr>
        <w:pStyle w:val="Author"/>
      </w:pPr>
      <w:r>
        <w:t xml:space="preserve">Lic. en Economía</w:t>
      </w:r>
    </w:p>
    <w:p>
      <w:pPr>
        <w:pStyle w:val="Date"/>
      </w:pPr>
      <w:r>
        <w:t xml:space="preserve">septiembre 2026</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"1-2" \h \z \u</w:instrText>
            <w:fldChar w:fldCharType="separate"/>
            <w:fldChar w:fldCharType="end"/>
          </w:r>
        </w:p>
      </w:sdtContent>
    </w:sdt>
    <w:bookmarkStart w:id="9" w:name="sec-resumen"/>
    <w:p>
      <w:pPr>
        <w:pStyle w:val="Heading1"/>
      </w:pPr>
      <w:r>
        <w:t xml:space="preserve">1. Resumen ejecutivo</w:t>
      </w:r>
    </w:p>
    <w:p>
      <w:pPr>
        <w:pStyle w:val="FirstParagraph"/>
      </w:pPr>
      <w:r>
        <w:t xml:space="preserve">El empleo de la Economía del Conocimiento (EC) en La Rioja alcanzó</w:t>
      </w:r>
      <w:r>
        <w:t xml:space="preserve"> </w:t>
      </w:r>
      <w:r>
        <w:rPr>
          <w:b/>
          <w:bCs/>
        </w:rPr>
        <w:t xml:space="preserve">521 puestos en 2025</w:t>
      </w:r>
      <w:r>
        <w:t xml:space="preserve">, equivalente al</w:t>
      </w:r>
      <w:r>
        <w:t xml:space="preserve"> </w:t>
      </w:r>
      <w:r>
        <w:rPr>
          <w:b/>
          <w:bCs/>
        </w:rPr>
        <w:t xml:space="preserve">1,93% del empleo formal privado provincial</w:t>
      </w:r>
      <w:r>
        <w:t xml:space="preserve">. Sin embargo, de esos 521 puestos, solo</w:t>
      </w:r>
      <w:r>
        <w:t xml:space="preserve"> </w:t>
      </w:r>
      <w:r>
        <w:rPr>
          <w:b/>
          <w:bCs/>
        </w:rPr>
        <w:t xml:space="preserve">63,8 corresponden al núcleo software puro</w:t>
      </w:r>
      <w:r>
        <w:t xml:space="preserve"> </w:t>
      </w:r>
      <w:r>
        <w:t xml:space="preserve">(consultoría informática, desarrollo y reparación). El resto (457,6) son</w:t>
      </w:r>
      <w:r>
        <w:t xml:space="preserve"> </w:t>
      </w:r>
      <w:r>
        <w:rPr>
          <w:b/>
          <w:bCs/>
        </w:rPr>
        <w:t xml:space="preserve">proxies</w:t>
      </w:r>
      <w:r>
        <w:t xml:space="preserve">: arquitectura, ingeniería y servicios empresariales.</w:t>
      </w:r>
    </w:p>
    <w:p>
      <w:pPr>
        <w:pStyle w:val="BodyText"/>
      </w:pPr>
      <w:r>
        <w:t xml:space="preserve">Cinco hallazgos principales:</w:t>
      </w:r>
    </w:p>
    <w:p>
      <w:pPr>
        <w:numPr>
          <w:ilvl w:val="0"/>
          <w:numId w:val="1001"/>
        </w:numPr>
      </w:pPr>
      <w:r>
        <w:rPr>
          <w:b/>
          <w:bCs/>
        </w:rPr>
        <w:t xml:space="preserve">Empleo EC: 521 puestos en 2025 (1,93% del total provincial).</w:t>
      </w:r>
      <w:r>
        <w:t xml:space="preserve"> </w:t>
      </w:r>
      <w:r>
        <w:t xml:space="preserve">Crecimiento de +46,4% respecto a 2019, pero con pico en 2023 (513) y meseta posterior.</w:t>
      </w:r>
    </w:p>
    <w:p>
      <w:pPr>
        <w:numPr>
          <w:ilvl w:val="0"/>
          <w:numId w:val="1001"/>
        </w:numPr>
      </w:pPr>
      <w:r>
        <w:rPr>
          <w:b/>
          <w:bCs/>
        </w:rPr>
        <w:t xml:space="preserve">Núcleo software: solo 63,8 puestos (12,2% del EC).</w:t>
      </w:r>
      <w:r>
        <w:t xml:space="preserve"> </w:t>
      </w:r>
      <w:r>
        <w:t xml:space="preserve">El 87,8% restante son proxies que no son Economía del Conocimiento en sentido estricto.</w:t>
      </w:r>
    </w:p>
    <w:p>
      <w:pPr>
        <w:numPr>
          <w:ilvl w:val="0"/>
          <w:numId w:val="1001"/>
        </w:numPr>
      </w:pPr>
      <w:r>
        <w:rPr>
          <w:b/>
          <w:bCs/>
        </w:rPr>
        <w:t xml:space="preserve">Prima salarial: +29,0% sobre el promedio provincial (2025).</w:t>
      </w:r>
      <w:r>
        <w:t xml:space="preserve"> </w:t>
      </w:r>
      <w:r>
        <w:t xml:space="preserve">El núcleo software paga consistentemente por encima del promedio, con picos de +53,7% (2022) y +45,8% (2024).</w:t>
      </w:r>
    </w:p>
    <w:p>
      <w:pPr>
        <w:numPr>
          <w:ilvl w:val="0"/>
          <w:numId w:val="1001"/>
        </w:numPr>
      </w:pPr>
      <w:r>
        <w:rPr>
          <w:b/>
          <w:bCs/>
        </w:rPr>
        <w:t xml:space="preserve">El EC resiste mejor la recesión.</w:t>
      </w:r>
      <w:r>
        <w:t xml:space="preserve"> </w:t>
      </w:r>
      <w:r>
        <w:t xml:space="preserve">En 2025 el empleo EC creció +3,0% mientras el empleo provincial cayó −3,4%. La participación EC subió de 1,32% (2019) a 1,93% (2025).</w:t>
      </w:r>
    </w:p>
    <w:p>
      <w:pPr>
        <w:numPr>
          <w:ilvl w:val="0"/>
          <w:numId w:val="1001"/>
        </w:numPr>
      </w:pPr>
      <w:r>
        <w:rPr>
          <w:b/>
          <w:bCs/>
        </w:rPr>
        <w:t xml:space="preserve">Peor desempeño federal en intensidad.</w:t>
      </w:r>
      <w:r>
        <w:t xml:space="preserve"> </w:t>
      </w:r>
      <w:r>
        <w:t xml:space="preserve">La Rioja perdió −4,45 pp de intensidad empresarial EC entre 2022 y 2025, la peor caída de 9 jurisdicciones comparadas.</w:t>
      </w:r>
    </w:p>
    <w:p>
      <w:pPr>
        <w:pStyle w:val="FirstParagraph"/>
      </w:pPr>
      <w:r>
        <w:rPr>
          <w:b/>
          <w:bCs/>
        </w:rPr>
        <w:t xml:space="preserve">Diagnóstico general.</w:t>
      </w:r>
      <w:r>
        <w:t xml:space="preserve"> </w:t>
      </w:r>
      <w:r>
        <w:t xml:space="preserve">El empleo EC de La Rioja tiene un núcleo de alta calidad (los mejores salarios de la provincia) pero baja escala (63,8 puestos reales). El desafío no es crear el sector desde cero, sino escalar las firmas existentes y frenar la pérdida de masa crítica.</w:t>
      </w:r>
    </w:p>
    <w:bookmarkEnd w:id="9"/>
    <w:bookmarkStart w:id="19" w:name="sec-definicion"/>
    <w:p>
      <w:pPr>
        <w:pStyle w:val="Heading1"/>
      </w:pPr>
      <w:r>
        <w:t xml:space="preserve">2. Definición y metodología</w:t>
      </w:r>
    </w:p>
    <w:bookmarkStart w:id="13" w:name="qué-es-la-economía-del-conocimiento"/>
    <w:p>
      <w:pPr>
        <w:pStyle w:val="Heading2"/>
      </w:pPr>
      <w:r>
        <w:t xml:space="preserve">2.1 Qué es la Economía del Conocimiento</w:t>
      </w:r>
    </w:p>
    <w:p>
      <w:pPr>
        <w:pStyle w:val="FirstParagraph"/>
      </w:pPr>
      <w:r>
        <w:t xml:space="preserve">La definición utilizada en este informe es la del</w:t>
      </w:r>
      <w:r>
        <w:t xml:space="preserve"> </w:t>
      </w:r>
      <w:r>
        <w:rPr>
          <w:b/>
          <w:bCs/>
        </w:rPr>
        <w:t xml:space="preserve">Régimen de Promoción de la Economía del Conocimiento</w:t>
      </w:r>
      <w:r>
        <w:t xml:space="preserve">, creado por la</w:t>
      </w:r>
      <w:r>
        <w:t xml:space="preserve"> </w:t>
      </w:r>
      <w:r>
        <w:rPr>
          <w:b/>
          <w:bCs/>
        </w:rPr>
        <w:t xml:space="preserve">Ley 27.506 (2019)</w:t>
      </w:r>
      <w:r>
        <w:t xml:space="preserve"> </w:t>
      </w:r>
      <w:r>
        <w:t xml:space="preserve">y modificado por la</w:t>
      </w:r>
      <w:r>
        <w:t xml:space="preserve"> </w:t>
      </w:r>
      <w:r>
        <w:rPr>
          <w:b/>
          <w:bCs/>
        </w:rPr>
        <w:t xml:space="preserve">Ley 27.570 (2020)</w:t>
      </w:r>
      <w:r>
        <w:t xml:space="preserve">. Esta ley identifica las actividades promovidas a partir de códigos de actividad de la</w:t>
      </w:r>
      <w:r>
        <w:t xml:space="preserve"> </w:t>
      </w:r>
      <w:r>
        <w:rPr>
          <w:b/>
          <w:bCs/>
        </w:rPr>
        <w:t xml:space="preserve">Agencia de Recaudación y Control Aduanero (ARCA)</w:t>
      </w:r>
      <w:r>
        <w:t xml:space="preserve"> </w:t>
      </w:r>
      <w:r>
        <w:t xml:space="preserve">— ex AFIP — y establece beneficios fiscales para las empresas del sector.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Users\HP\AppData\Local\Program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Actualización normativa.</w:t>
            </w:r>
            <w:r>
              <w:t xml:space="preserve"> </w:t>
            </w:r>
            <w:r>
              <w:t xml:space="preserve">A partir de octubre de 2024, la AFIP fue disuelta y reemplazada por ARCA (Decreto 953/2024). ARCA es su continuadora jurídica. La definición del sector EC sigue rigiéndose por la Ley 27.506, sin cambios.</w:t>
            </w:r>
          </w:p>
          <w:p/>
        </w:tc>
      </w:tr>
    </w:tbl>
    <w:bookmarkEnd w:id="13"/>
    <w:bookmarkStart w:id="17" w:name="los-8-códigos-ciiu-utilizados"/>
    <w:p>
      <w:pPr>
        <w:pStyle w:val="Heading2"/>
      </w:pPr>
      <w:r>
        <w:t xml:space="preserve">2.2 Los 8 códigos CIIU utilizados</w:t>
      </w:r>
    </w:p>
    <w:p>
      <w:pPr>
        <w:pStyle w:val="FirstParagraph"/>
      </w:pPr>
      <w:r>
        <w:t xml:space="preserve">Para poder cruzar la definición legal con las estadísticas provinciales disponibles, se tradujeron los códigos ARCA a los códigos</w:t>
      </w:r>
      <w:r>
        <w:t xml:space="preserve"> </w:t>
      </w:r>
      <w:r>
        <w:rPr>
          <w:b/>
          <w:bCs/>
        </w:rPr>
        <w:t xml:space="preserve">CIIU rev. 3</w:t>
      </w:r>
      <w:r>
        <w:t xml:space="preserve"> </w:t>
      </w:r>
      <w:r>
        <w:t xml:space="preserve">(Clasificador Industrial Internacional Uniforme) que usa el SIPA-OEDE.</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CIIU</w:t>
            </w:r>
          </w:p>
        </w:tc>
        <w:tc>
          <w:tcPr/>
          <w:p>
            <w:pPr>
              <w:pStyle w:val="Compact"/>
            </w:pPr>
            <w:r>
              <w:t xml:space="preserve">Rama</w:t>
            </w:r>
          </w:p>
        </w:tc>
        <w:tc>
          <w:tcPr/>
          <w:p>
            <w:pPr>
              <w:pStyle w:val="Compact"/>
            </w:pPr>
            <w:r>
              <w:t xml:space="preserve">Tipo</w:t>
            </w:r>
          </w:p>
        </w:tc>
        <w:tc>
          <w:tcPr/>
          <w:p>
            <w:pPr>
              <w:pStyle w:val="Compact"/>
              <w:jc w:val="center"/>
            </w:pPr>
            <w:r>
              <w:t xml:space="preserve">Datos en La Rioja</w:t>
            </w:r>
          </w:p>
        </w:tc>
      </w:tr>
      <w:tr>
        <w:tc>
          <w:tcPr/>
          <w:p>
            <w:pPr>
              <w:pStyle w:val="Compact"/>
              <w:jc w:val="center"/>
            </w:pPr>
            <w:r>
              <w:t xml:space="preserve">7210</w:t>
            </w:r>
          </w:p>
        </w:tc>
        <w:tc>
          <w:tcPr/>
          <w:p>
            <w:pPr>
              <w:pStyle w:val="Compact"/>
            </w:pPr>
            <w:r>
              <w:t xml:space="preserve">Consultores en equipo de informática</w:t>
            </w:r>
          </w:p>
        </w:tc>
        <w:tc>
          <w:tcPr/>
          <w:p>
            <w:pPr>
              <w:pStyle w:val="Compact"/>
            </w:pPr>
            <w:r>
              <w:t xml:space="preserve">Núcleo</w:t>
            </w:r>
          </w:p>
        </w:tc>
        <w:tc>
          <w:tcPr/>
          <w:p>
            <w:pPr>
              <w:pStyle w:val="Compact"/>
              <w:jc w:val="center"/>
            </w:pPr>
            <w:r>
              <w:t xml:space="preserve">s/d</w:t>
            </w:r>
          </w:p>
        </w:tc>
      </w:tr>
      <w:tr>
        <w:tc>
          <w:tcPr/>
          <w:p>
            <w:pPr>
              <w:pStyle w:val="Compact"/>
              <w:jc w:val="center"/>
            </w:pPr>
            <w:r>
              <w:t xml:space="preserve">7220</w:t>
            </w:r>
          </w:p>
        </w:tc>
        <w:tc>
          <w:tcPr/>
          <w:p>
            <w:pPr>
              <w:pStyle w:val="Compact"/>
            </w:pPr>
            <w:r>
              <w:t xml:space="preserve">Consultores en informática y suministro de programas</w:t>
            </w:r>
          </w:p>
        </w:tc>
        <w:tc>
          <w:tcPr/>
          <w:p>
            <w:pPr>
              <w:pStyle w:val="Compact"/>
            </w:pPr>
            <w:r>
              <w:t xml:space="preserve">Núcleo SW</w:t>
            </w:r>
          </w:p>
        </w:tc>
        <w:tc>
          <w:tcPr/>
          <w:p>
            <w:pPr>
              <w:pStyle w:val="Compact"/>
              <w:jc w:val="center"/>
            </w:pPr>
            <w:r>
              <w:t xml:space="preserve">✅</w:t>
            </w:r>
          </w:p>
        </w:tc>
      </w:tr>
      <w:tr>
        <w:tc>
          <w:tcPr/>
          <w:p>
            <w:pPr>
              <w:pStyle w:val="Compact"/>
              <w:jc w:val="center"/>
            </w:pPr>
            <w:r>
              <w:t xml:space="preserve">7250</w:t>
            </w:r>
          </w:p>
        </w:tc>
        <w:tc>
          <w:tcPr/>
          <w:p>
            <w:pPr>
              <w:pStyle w:val="Compact"/>
            </w:pPr>
            <w:r>
              <w:t xml:space="preserve">Mantenimiento y reparación de maq. oficina/informática</w:t>
            </w:r>
          </w:p>
        </w:tc>
        <w:tc>
          <w:tcPr/>
          <w:p>
            <w:pPr>
              <w:pStyle w:val="Compact"/>
            </w:pPr>
            <w:r>
              <w:t xml:space="preserve">Núcleo SW</w:t>
            </w:r>
          </w:p>
        </w:tc>
        <w:tc>
          <w:tcPr/>
          <w:p>
            <w:pPr>
              <w:pStyle w:val="Compact"/>
              <w:jc w:val="center"/>
            </w:pPr>
            <w:r>
              <w:t xml:space="preserve">✅</w:t>
            </w:r>
          </w:p>
        </w:tc>
      </w:tr>
      <w:tr>
        <w:tc>
          <w:tcPr/>
          <w:p>
            <w:pPr>
              <w:pStyle w:val="Compact"/>
              <w:jc w:val="center"/>
            </w:pPr>
            <w:r>
              <w:t xml:space="preserve">7290</w:t>
            </w:r>
          </w:p>
        </w:tc>
        <w:tc>
          <w:tcPr/>
          <w:p>
            <w:pPr>
              <w:pStyle w:val="Compact"/>
            </w:pPr>
            <w:r>
              <w:t xml:space="preserve">Actividades de informática n.c.p.</w:t>
            </w:r>
          </w:p>
        </w:tc>
        <w:tc>
          <w:tcPr/>
          <w:p>
            <w:pPr>
              <w:pStyle w:val="Compact"/>
            </w:pPr>
            <w:r>
              <w:t xml:space="preserve">Núcleo SW</w:t>
            </w:r>
          </w:p>
        </w:tc>
        <w:tc>
          <w:tcPr/>
          <w:p>
            <w:pPr>
              <w:pStyle w:val="Compact"/>
              <w:jc w:val="center"/>
            </w:pPr>
            <w:r>
              <w:t xml:space="preserve">✅</w:t>
            </w:r>
          </w:p>
        </w:tc>
      </w:tr>
      <w:tr>
        <w:tc>
          <w:tcPr/>
          <w:p>
            <w:pPr>
              <w:pStyle w:val="Compact"/>
              <w:jc w:val="center"/>
            </w:pPr>
            <w:r>
              <w:t xml:space="preserve">7300</w:t>
            </w:r>
          </w:p>
        </w:tc>
        <w:tc>
          <w:tcPr/>
          <w:p>
            <w:pPr>
              <w:pStyle w:val="Compact"/>
            </w:pPr>
            <w:r>
              <w:t xml:space="preserve">Investigación y desarrollo</w:t>
            </w:r>
          </w:p>
        </w:tc>
        <w:tc>
          <w:tcPr/>
          <w:p>
            <w:pPr>
              <w:pStyle w:val="Compact"/>
            </w:pPr>
            <w:r>
              <w:t xml:space="preserve">Núcleo amplio</w:t>
            </w:r>
          </w:p>
        </w:tc>
        <w:tc>
          <w:tcPr/>
          <w:p>
            <w:pPr>
              <w:pStyle w:val="Compact"/>
              <w:jc w:val="center"/>
            </w:pPr>
            <w:r>
              <w:t xml:space="preserve">s/d</w:t>
            </w:r>
          </w:p>
        </w:tc>
      </w:tr>
      <w:tr>
        <w:tc>
          <w:tcPr/>
          <w:p>
            <w:pPr>
              <w:pStyle w:val="Compact"/>
              <w:jc w:val="center"/>
            </w:pPr>
            <w:r>
              <w:t xml:space="preserve">7421</w:t>
            </w:r>
          </w:p>
        </w:tc>
        <w:tc>
          <w:tcPr/>
          <w:p>
            <w:pPr>
              <w:pStyle w:val="Compact"/>
            </w:pPr>
            <w:r>
              <w:t xml:space="preserve">Arquitectura e ingeniería</w:t>
            </w:r>
          </w:p>
        </w:tc>
        <w:tc>
          <w:tcPr/>
          <w:p>
            <w:pPr>
              <w:pStyle w:val="Compact"/>
            </w:pPr>
            <w:r>
              <w:t xml:space="preserve">Proxy</w:t>
            </w:r>
          </w:p>
        </w:tc>
        <w:tc>
          <w:tcPr/>
          <w:p>
            <w:pPr>
              <w:pStyle w:val="Compact"/>
              <w:jc w:val="center"/>
            </w:pPr>
            <w:r>
              <w:t xml:space="preserve">✅</w:t>
            </w:r>
          </w:p>
        </w:tc>
      </w:tr>
      <w:tr>
        <w:tc>
          <w:tcPr/>
          <w:p>
            <w:pPr>
              <w:pStyle w:val="Compact"/>
              <w:jc w:val="center"/>
            </w:pPr>
            <w:r>
              <w:t xml:space="preserve">7430</w:t>
            </w:r>
          </w:p>
        </w:tc>
        <w:tc>
          <w:tcPr/>
          <w:p>
            <w:pPr>
              <w:pStyle w:val="Compact"/>
            </w:pPr>
            <w:r>
              <w:t xml:space="preserve">Servicios de publicidad</w:t>
            </w:r>
          </w:p>
        </w:tc>
        <w:tc>
          <w:tcPr/>
          <w:p>
            <w:pPr>
              <w:pStyle w:val="Compact"/>
            </w:pPr>
            <w:r>
              <w:t xml:space="preserve">Núcleo amplio</w:t>
            </w:r>
          </w:p>
        </w:tc>
        <w:tc>
          <w:tcPr/>
          <w:p>
            <w:pPr>
              <w:pStyle w:val="Compact"/>
              <w:jc w:val="center"/>
            </w:pPr>
            <w:r>
              <w:t xml:space="preserve">s/d</w:t>
            </w:r>
          </w:p>
        </w:tc>
      </w:tr>
      <w:tr>
        <w:tc>
          <w:tcPr/>
          <w:p>
            <w:pPr>
              <w:pStyle w:val="Compact"/>
              <w:jc w:val="center"/>
            </w:pPr>
            <w:r>
              <w:t xml:space="preserve">7499</w:t>
            </w:r>
          </w:p>
        </w:tc>
        <w:tc>
          <w:tcPr/>
          <w:p>
            <w:pPr>
              <w:pStyle w:val="Compact"/>
            </w:pPr>
            <w:r>
              <w:t xml:space="preserve">Servicios empresariales n.c.p.</w:t>
            </w:r>
          </w:p>
        </w:tc>
        <w:tc>
          <w:tcPr/>
          <w:p>
            <w:pPr>
              <w:pStyle w:val="Compact"/>
            </w:pPr>
            <w:r>
              <w:t xml:space="preserve">Proxy</w:t>
            </w:r>
          </w:p>
        </w:tc>
        <w:tc>
          <w:tcPr/>
          <w:p>
            <w:pPr>
              <w:pStyle w:val="Compact"/>
              <w:jc w:val="center"/>
            </w:pPr>
            <w:r>
              <w:t xml:space="preserve">✅</w:t>
            </w:r>
          </w:p>
        </w:tc>
      </w:tr>
    </w:tbl>
    <w:p>
      <w:pPr>
        <w:pStyle w:val="BodyText"/>
      </w:pPr>
      <w:r>
        <w:rPr>
          <w:b/>
          <w:bCs/>
        </w:rPr>
        <w:t xml:space="preserve">Tipos</w:t>
      </w:r>
      <w:r>
        <w:t xml:space="preserve">:</w:t>
      </w:r>
      <w:r>
        <w:t xml:space="preserve"> </w:t>
      </w:r>
      <w:r>
        <w:t xml:space="preserve">-</w:t>
      </w:r>
      <w:r>
        <w:t xml:space="preserve"> </w:t>
      </w:r>
      <w:r>
        <w:rPr>
          <w:b/>
          <w:bCs/>
        </w:rPr>
        <w:t xml:space="preserve">Núcleo software</w:t>
      </w:r>
      <w:r>
        <w:t xml:space="preserve"> </w:t>
      </w:r>
      <w:r>
        <w:t xml:space="preserve">(7220 + 7250 + 7290): definición canónica para análisis de empleo calificado.</w:t>
      </w:r>
      <w:r>
        <w:t xml:space="preserve"> </w:t>
      </w:r>
      <w:r>
        <w:t xml:space="preserve">-</w:t>
      </w:r>
      <w:r>
        <w:t xml:space="preserve"> </w:t>
      </w:r>
      <w:r>
        <w:rPr>
          <w:b/>
          <w:bCs/>
        </w:rPr>
        <w:t xml:space="preserve">Núcleo amplio</w:t>
      </w:r>
      <w:r>
        <w:t xml:space="preserve"> </w:t>
      </w:r>
      <w:r>
        <w:t xml:space="preserve">(+ 7300 + 7430): agrega I+D y publicidad.</w:t>
      </w:r>
      <w:r>
        <w:t xml:space="preserve"> </w:t>
      </w:r>
      <w:r>
        <w:t xml:space="preserve">-</w:t>
      </w:r>
      <w:r>
        <w:t xml:space="preserve"> </w:t>
      </w:r>
      <w:r>
        <w:rPr>
          <w:b/>
          <w:bCs/>
        </w:rPr>
        <w:t xml:space="preserve">Proxies</w:t>
      </w:r>
      <w:r>
        <w:t xml:space="preserve"> </w:t>
      </w:r>
      <w:r>
        <w:t xml:space="preserve">(7421 + 7499): agrupan actividades que van más allá de la EC estricta.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C:\Users\HP\AppData\Local\Program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Advertencia metodológica.</w:t>
            </w:r>
            <w:r>
              <w:t xml:space="preserve"> </w:t>
            </w:r>
            <w:r>
              <w:t xml:space="preserve">Los códigos</w:t>
            </w:r>
            <w:r>
              <w:t xml:space="preserve"> </w:t>
            </w:r>
            <w:r>
              <w:rPr>
                <w:b/>
                <w:bCs/>
              </w:rPr>
              <w:t xml:space="preserve">7421</w:t>
            </w:r>
            <w:r>
              <w:t xml:space="preserve"> </w:t>
            </w:r>
            <w:r>
              <w:t xml:space="preserve">(arquitectura, ingeniería, geología) y</w:t>
            </w:r>
            <w:r>
              <w:t xml:space="preserve"> </w:t>
            </w:r>
            <w:r>
              <w:rPr>
                <w:b/>
                <w:bCs/>
              </w:rPr>
              <w:t xml:space="preserve">7499</w:t>
            </w:r>
            <w:r>
              <w:t xml:space="preserve"> </w:t>
            </w:r>
            <w:r>
              <w:t xml:space="preserve">(servicios empresariales: diseño, traducción, cobranzas) son</w:t>
            </w:r>
            <w:r>
              <w:t xml:space="preserve"> </w:t>
            </w:r>
            <w:r>
              <w:rPr>
                <w:b/>
                <w:bCs/>
              </w:rPr>
              <w:t xml:space="preserve">proxies</w:t>
            </w:r>
            <w:r>
              <w:t xml:space="preserve">: el SIPA no permite aislar la actividad EC específica dentro de ellos. Bajo la definición amplia, el</w:t>
            </w:r>
            <w:r>
              <w:t xml:space="preserve"> </w:t>
            </w:r>
            <w:r>
              <w:rPr>
                <w:b/>
                <w:bCs/>
              </w:rPr>
              <w:t xml:space="preserve">87,8% del empleo EC depende de estos dos códigos</w:t>
            </w:r>
            <w:r>
              <w:t xml:space="preserve">. El conteo es un</w:t>
            </w:r>
            <w:r>
              <w:t xml:space="preserve"> </w:t>
            </w:r>
            <w:r>
              <w:rPr>
                <w:b/>
                <w:bCs/>
              </w:rPr>
              <w:t xml:space="preserve">techo superior</w:t>
            </w:r>
            <w:r>
              <w:t xml:space="preserve">, no un número exacto.</w:t>
            </w:r>
          </w:p>
          <w:p/>
        </w:tc>
      </w:tr>
    </w:tbl>
    <w:bookmarkEnd w:id="17"/>
    <w:bookmarkStart w:id="18" w:name="fuente-de-datos"/>
    <w:p>
      <w:pPr>
        <w:pStyle w:val="Heading2"/>
      </w:pPr>
      <w:r>
        <w:t xml:space="preserve">2.3 Fuente de datos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Detalle</w:t>
            </w:r>
          </w:p>
        </w:tc>
      </w:tr>
      <w:tr>
        <w:tc>
          <w:tcPr/>
          <w:p>
            <w:pPr>
              <w:pStyle w:val="Compact"/>
            </w:pPr>
            <w:r>
              <w:rPr>
                <w:b/>
                <w:bCs/>
              </w:rPr>
              <w:t xml:space="preserve">Organismo</w:t>
            </w:r>
          </w:p>
        </w:tc>
        <w:tc>
          <w:tcPr/>
          <w:p>
            <w:pPr>
              <w:pStyle w:val="Compact"/>
            </w:pPr>
            <w:r>
              <w:t xml:space="preserve">SIPA-OEDE (Observatorio de Empleo y Dinámica Empresarial)</w:t>
            </w:r>
          </w:p>
        </w:tc>
      </w:tr>
      <w:tr>
        <w:tc>
          <w:tcPr/>
          <w:p>
            <w:pPr>
              <w:pStyle w:val="Compact"/>
            </w:pPr>
            <w:r>
              <w:rPr>
                <w:b/>
                <w:bCs/>
              </w:rPr>
              <w:t xml:space="preserve">Dependencia</w:t>
            </w:r>
          </w:p>
        </w:tc>
        <w:tc>
          <w:tcPr/>
          <w:p>
            <w:pPr>
              <w:pStyle w:val="Compact"/>
            </w:pPr>
            <w:r>
              <w:t xml:space="preserve">Secretaría de Trabajo, Empleo y Seguridad Social (STEySS)</w:t>
            </w:r>
          </w:p>
        </w:tc>
      </w:tr>
      <w:tr>
        <w:tc>
          <w:tcPr/>
          <w:p>
            <w:pPr>
              <w:pStyle w:val="Compact"/>
            </w:pPr>
            <w:r>
              <w:rPr>
                <w:b/>
                <w:bCs/>
              </w:rPr>
              <w:t xml:space="preserve">Sistema</w:t>
            </w:r>
          </w:p>
        </w:tc>
        <w:tc>
          <w:tcPr/>
          <w:p>
            <w:pPr>
              <w:pStyle w:val="Compact"/>
            </w:pPr>
            <w:r>
              <w:t xml:space="preserve">Sistema Integrado Previsional Argentino (SIPA)</w:t>
            </w:r>
          </w:p>
        </w:tc>
      </w:tr>
      <w:tr>
        <w:tc>
          <w:tcPr/>
          <w:p>
            <w:pPr>
              <w:pStyle w:val="Compact"/>
            </w:pPr>
            <w:r>
              <w:rPr>
                <w:b/>
                <w:bCs/>
              </w:rPr>
              <w:t xml:space="preserve">Archivo</w:t>
            </w:r>
          </w:p>
        </w:tc>
        <w:tc>
          <w:tcPr/>
          <w:p>
            <w:pPr>
              <w:pStyle w:val="Compact"/>
            </w:pPr>
            <w:r>
              <w:rPr>
                <w:rStyle w:val="VerbatimChar"/>
              </w:rPr>
              <w:t xml:space="preserve">provinciales_serie_empleo_trimestral_4dig_7.xlsx</w:t>
            </w:r>
          </w:p>
        </w:tc>
      </w:tr>
      <w:tr>
        <w:tc>
          <w:tcPr/>
          <w:p>
            <w:pPr>
              <w:pStyle w:val="Compact"/>
            </w:pPr>
            <w:r>
              <w:rPr>
                <w:b/>
                <w:bCs/>
              </w:rPr>
              <w:t xml:space="preserve">Hoja</w:t>
            </w:r>
          </w:p>
        </w:tc>
        <w:tc>
          <w:tcPr/>
          <w:p>
            <w:pPr>
              <w:pStyle w:val="Compact"/>
            </w:pPr>
            <w:r>
              <w:t xml:space="preserve">“La Rioja”</w:t>
            </w:r>
          </w:p>
        </w:tc>
      </w:tr>
      <w:tr>
        <w:tc>
          <w:tcPr/>
          <w:p>
            <w:pPr>
              <w:pStyle w:val="Compact"/>
            </w:pPr>
            <w:r>
              <w:rPr>
                <w:b/>
                <w:bCs/>
              </w:rPr>
              <w:t xml:space="preserve">Cobertura</w:t>
            </w:r>
          </w:p>
        </w:tc>
        <w:tc>
          <w:tcPr/>
          <w:p>
            <w:pPr>
              <w:pStyle w:val="Compact"/>
            </w:pPr>
            <w:r>
              <w:t xml:space="preserve">1° Trim 1996 – 4° Trim 2025</w:t>
            </w:r>
          </w:p>
        </w:tc>
      </w:tr>
      <w:tr>
        <w:tc>
          <w:tcPr/>
          <w:p>
            <w:pPr>
              <w:pStyle w:val="Compact"/>
            </w:pPr>
            <w:r>
              <w:rPr>
                <w:b/>
                <w:bCs/>
              </w:rPr>
              <w:t xml:space="preserve">Unidad</w:t>
            </w:r>
          </w:p>
        </w:tc>
        <w:tc>
          <w:tcPr/>
          <w:p>
            <w:pPr>
              <w:pStyle w:val="Compact"/>
            </w:pPr>
            <w:r>
              <w:t xml:space="preserve">Puestos de trabajo (stock al cierre del trimestre)</w:t>
            </w:r>
          </w:p>
        </w:tc>
      </w:tr>
    </w:tbl>
    <w:p>
      <w:pPr>
        <w:pStyle w:val="BodyText"/>
      </w:pPr>
      <w:r>
        <w:t xml:space="preserve">El SIPA es un</w:t>
      </w:r>
      <w:r>
        <w:t xml:space="preserve"> </w:t>
      </w:r>
      <w:r>
        <w:rPr>
          <w:b/>
          <w:bCs/>
        </w:rPr>
        <w:t xml:space="preserve">registro administrativo</w:t>
      </w:r>
      <w:r>
        <w:t xml:space="preserve">: todas las empresas registradas presentan declaraciones juradas mensuales con su personal en relación de dependencia. No es una encuesta, por lo que tiene cobertura casi universal del empleo formal.</w:t>
      </w:r>
    </w:p>
    <w:bookmarkEnd w:id="18"/>
    <w:bookmarkEnd w:id="19"/>
    <w:bookmarkStart w:id="35" w:name="sec-cuanto"/>
    <w:p>
      <w:pPr>
        <w:pStyle w:val="Heading1"/>
      </w:pPr>
      <w:r>
        <w:t xml:space="preserve">3. Cuánto empleo EC hay</w:t>
      </w:r>
    </w:p>
    <w:bookmarkStart w:id="27" w:name="serie-histórica-2019-2025"/>
    <w:p>
      <w:pPr>
        <w:pStyle w:val="Heading2"/>
      </w:pPr>
      <w:r>
        <w:t xml:space="preserve">3.1 Serie histórica 2019-2025</w:t>
      </w:r>
    </w:p>
    <w:tbl>
      <w:tblPr>
        <w:tblStyle w:val="Table"/>
        <w:tblW w:type="pct" w:w="5000"/>
        <w:tblLayout w:type="fixed"/>
        <w:tblLook w:firstRow="0" w:lastRow="0" w:firstColumn="0" w:lastColumn="0" w:noHBand="0" w:noVBand="0" w:val="0000"/>
      </w:tblPr>
      <w:tblGrid>
        <w:gridCol w:w="7920"/>
      </w:tblGrid>
      <w:tr>
        <w:tc>
          <w:tcPr/>
          <w:bookmarkStart w:id="23" w:name="fig-emp-share"/>
          <w:p>
            <w:pPr>
              <w:pStyle w:val="Compact"/>
              <w:jc w:val="center"/>
            </w:pPr>
            <w:r>
              <w:drawing>
                <wp:inline>
                  <wp:extent cx="5334000" cy="3172958"/>
                  <wp:effectExtent b="0" l="0" r="0" t="0"/>
                  <wp:docPr descr="" title="" id="21" name="Picture"/>
                  <a:graphic>
                    <a:graphicData uri="http://schemas.openxmlformats.org/drawingml/2006/picture">
                      <pic:pic>
                        <pic:nvPicPr>
                          <pic:cNvPr descr="figuras/F36_empleo_share.png" id="22" name="Picture"/>
                          <pic:cNvPicPr>
                            <a:picLocks noChangeArrowheads="1" noChangeAspect="1"/>
                          </pic:cNvPicPr>
                        </pic:nvPicPr>
                        <pic:blipFill>
                          <a:blip r:embed="rId20"/>
                          <a:stretch>
                            <a:fillRect/>
                          </a:stretch>
                        </pic:blipFill>
                        <pic:spPr bwMode="auto">
                          <a:xfrm>
                            <a:off x="0" y="0"/>
                            <a:ext cx="5334000" cy="3172958"/>
                          </a:xfrm>
                          <a:prstGeom prst="rect">
                            <a:avLst/>
                          </a:prstGeom>
                          <a:noFill/>
                          <a:ln w="9525">
                            <a:noFill/>
                            <a:headEnd/>
                            <a:tailEnd/>
                          </a:ln>
                        </pic:spPr>
                      </pic:pic>
                    </a:graphicData>
                  </a:graphic>
                </wp:inline>
              </w:drawing>
            </w:r>
          </w:p>
          <w:p>
            <w:pPr>
              <w:jc w:val="center"/>
            </w:pPr>
            <w:pPr>
              <w:jc w:val="left"/>
              <w:spacing w:before="200"/>
              <w:pStyle w:val="ImageCaption"/>
            </w:pPr>
            <w:r>
              <w:t xml:space="preserve">Figura 1: Empleo EC y participación en el empleo provincial (2019-2025).</w:t>
            </w:r>
          </w:p>
          <w:bookmarkEnd w:id="23"/>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Año</w:t>
            </w:r>
          </w:p>
        </w:tc>
        <w:tc>
          <w:tcPr/>
          <w:p>
            <w:pPr>
              <w:pStyle w:val="Compact"/>
              <w:jc w:val="right"/>
            </w:pPr>
            <w:r>
              <w:t xml:space="preserve">Empleo EC (8 CIIU)</w:t>
            </w:r>
          </w:p>
        </w:tc>
        <w:tc>
          <w:tcPr/>
          <w:p>
            <w:pPr>
              <w:pStyle w:val="Compact"/>
              <w:jc w:val="right"/>
            </w:pPr>
            <w:r>
              <w:t xml:space="preserve">Empleo provincial total</w:t>
            </w:r>
          </w:p>
        </w:tc>
        <w:tc>
          <w:tcPr/>
          <w:p>
            <w:pPr>
              <w:pStyle w:val="Compact"/>
              <w:jc w:val="right"/>
            </w:pPr>
            <w:r>
              <w:t xml:space="preserve">Participación</w:t>
            </w:r>
          </w:p>
        </w:tc>
      </w:tr>
      <w:tr>
        <w:tc>
          <w:tcPr/>
          <w:p>
            <w:pPr>
              <w:pStyle w:val="Compact"/>
              <w:jc w:val="center"/>
            </w:pPr>
            <w:r>
              <w:t xml:space="preserve">2019</w:t>
            </w:r>
          </w:p>
        </w:tc>
        <w:tc>
          <w:tcPr/>
          <w:p>
            <w:pPr>
              <w:pStyle w:val="Compact"/>
              <w:jc w:val="right"/>
            </w:pPr>
            <w:r>
              <w:t xml:space="preserve">356</w:t>
            </w:r>
          </w:p>
        </w:tc>
        <w:tc>
          <w:tcPr/>
          <w:p>
            <w:pPr>
              <w:pStyle w:val="Compact"/>
              <w:jc w:val="right"/>
            </w:pPr>
            <w:r>
              <w:t xml:space="preserve">26.894</w:t>
            </w:r>
          </w:p>
        </w:tc>
        <w:tc>
          <w:tcPr/>
          <w:p>
            <w:pPr>
              <w:pStyle w:val="Compact"/>
              <w:jc w:val="right"/>
            </w:pPr>
            <w:r>
              <w:t xml:space="preserve">1,32%</w:t>
            </w:r>
          </w:p>
        </w:tc>
      </w:tr>
      <w:tr>
        <w:tc>
          <w:tcPr/>
          <w:p>
            <w:pPr>
              <w:pStyle w:val="Compact"/>
              <w:jc w:val="center"/>
            </w:pPr>
            <w:r>
              <w:t xml:space="preserve">2020</w:t>
            </w:r>
          </w:p>
        </w:tc>
        <w:tc>
          <w:tcPr/>
          <w:p>
            <w:pPr>
              <w:pStyle w:val="Compact"/>
              <w:jc w:val="right"/>
            </w:pPr>
            <w:r>
              <w:t xml:space="preserve">298</w:t>
            </w:r>
          </w:p>
        </w:tc>
        <w:tc>
          <w:tcPr/>
          <w:p>
            <w:pPr>
              <w:pStyle w:val="Compact"/>
              <w:jc w:val="right"/>
            </w:pPr>
            <w:r>
              <w:t xml:space="preserve">25.399</w:t>
            </w:r>
          </w:p>
        </w:tc>
        <w:tc>
          <w:tcPr/>
          <w:p>
            <w:pPr>
              <w:pStyle w:val="Compact"/>
              <w:jc w:val="right"/>
            </w:pPr>
            <w:r>
              <w:t xml:space="preserve">1,17%</w:t>
            </w:r>
          </w:p>
        </w:tc>
      </w:tr>
      <w:tr>
        <w:tc>
          <w:tcPr/>
          <w:p>
            <w:pPr>
              <w:pStyle w:val="Compact"/>
              <w:jc w:val="center"/>
            </w:pPr>
            <w:r>
              <w:t xml:space="preserve">2021</w:t>
            </w:r>
          </w:p>
        </w:tc>
        <w:tc>
          <w:tcPr/>
          <w:p>
            <w:pPr>
              <w:pStyle w:val="Compact"/>
              <w:jc w:val="right"/>
            </w:pPr>
            <w:r>
              <w:t xml:space="preserve">336</w:t>
            </w:r>
          </w:p>
        </w:tc>
        <w:tc>
          <w:tcPr/>
          <w:p>
            <w:pPr>
              <w:pStyle w:val="Compact"/>
              <w:jc w:val="right"/>
            </w:pPr>
            <w:r>
              <w:t xml:space="preserve">26.245</w:t>
            </w:r>
          </w:p>
        </w:tc>
        <w:tc>
          <w:tcPr/>
          <w:p>
            <w:pPr>
              <w:pStyle w:val="Compact"/>
              <w:jc w:val="right"/>
            </w:pPr>
            <w:r>
              <w:t xml:space="preserve">1,28%</w:t>
            </w:r>
          </w:p>
        </w:tc>
      </w:tr>
      <w:tr>
        <w:tc>
          <w:tcPr/>
          <w:p>
            <w:pPr>
              <w:pStyle w:val="Compact"/>
              <w:jc w:val="center"/>
            </w:pPr>
            <w:r>
              <w:t xml:space="preserve">2022</w:t>
            </w:r>
          </w:p>
        </w:tc>
        <w:tc>
          <w:tcPr/>
          <w:p>
            <w:pPr>
              <w:pStyle w:val="Compact"/>
              <w:jc w:val="right"/>
            </w:pPr>
            <w:r>
              <w:t xml:space="preserve">445</w:t>
            </w:r>
          </w:p>
        </w:tc>
        <w:tc>
          <w:tcPr/>
          <w:p>
            <w:pPr>
              <w:pStyle w:val="Compact"/>
              <w:jc w:val="right"/>
            </w:pPr>
            <w:r>
              <w:t xml:space="preserve">30.125</w:t>
            </w:r>
          </w:p>
        </w:tc>
        <w:tc>
          <w:tcPr/>
          <w:p>
            <w:pPr>
              <w:pStyle w:val="Compact"/>
              <w:jc w:val="right"/>
            </w:pPr>
            <w:r>
              <w:t xml:space="preserve">1,48%</w:t>
            </w:r>
          </w:p>
        </w:tc>
      </w:tr>
      <w:tr>
        <w:tc>
          <w:tcPr/>
          <w:p>
            <w:pPr>
              <w:pStyle w:val="Compact"/>
              <w:jc w:val="center"/>
            </w:pPr>
            <w:r>
              <w:t xml:space="preserve">2023</w:t>
            </w:r>
          </w:p>
        </w:tc>
        <w:tc>
          <w:tcPr/>
          <w:p>
            <w:pPr>
              <w:pStyle w:val="Compact"/>
              <w:jc w:val="right"/>
            </w:pPr>
            <w:r>
              <w:t xml:space="preserve">513</w:t>
            </w:r>
          </w:p>
        </w:tc>
        <w:tc>
          <w:tcPr/>
          <w:p>
            <w:pPr>
              <w:pStyle w:val="Compact"/>
              <w:jc w:val="right"/>
            </w:pPr>
            <w:r>
              <w:t xml:space="preserve">32.701</w:t>
            </w:r>
          </w:p>
        </w:tc>
        <w:tc>
          <w:tcPr/>
          <w:p>
            <w:pPr>
              <w:pStyle w:val="Compact"/>
              <w:jc w:val="right"/>
            </w:pPr>
            <w:r>
              <w:t xml:space="preserve">1,57%</w:t>
            </w:r>
          </w:p>
        </w:tc>
      </w:tr>
      <w:tr>
        <w:tc>
          <w:tcPr/>
          <w:p>
            <w:pPr>
              <w:pStyle w:val="Compact"/>
              <w:jc w:val="center"/>
            </w:pPr>
            <w:r>
              <w:t xml:space="preserve">2024</w:t>
            </w:r>
          </w:p>
        </w:tc>
        <w:tc>
          <w:tcPr/>
          <w:p>
            <w:pPr>
              <w:pStyle w:val="Compact"/>
              <w:jc w:val="right"/>
            </w:pPr>
            <w:r>
              <w:t xml:space="preserve">506</w:t>
            </w:r>
          </w:p>
        </w:tc>
        <w:tc>
          <w:tcPr/>
          <w:p>
            <w:pPr>
              <w:pStyle w:val="Compact"/>
              <w:jc w:val="right"/>
            </w:pPr>
            <w:r>
              <w:t xml:space="preserve">28.008</w:t>
            </w:r>
          </w:p>
        </w:tc>
        <w:tc>
          <w:tcPr/>
          <w:p>
            <w:pPr>
              <w:pStyle w:val="Compact"/>
              <w:jc w:val="right"/>
            </w:pPr>
            <w:r>
              <w:t xml:space="preserve">1,81%</w:t>
            </w:r>
          </w:p>
        </w:tc>
      </w:tr>
      <w:tr>
        <w:tc>
          <w:tcPr/>
          <w:p>
            <w:pPr>
              <w:pStyle w:val="Compact"/>
              <w:jc w:val="center"/>
            </w:pPr>
            <w:r>
              <w:t xml:space="preserve">2025</w:t>
            </w:r>
          </w:p>
        </w:tc>
        <w:tc>
          <w:tcPr/>
          <w:p>
            <w:pPr>
              <w:pStyle w:val="Compact"/>
              <w:jc w:val="right"/>
            </w:pPr>
            <w:r>
              <w:rPr>
                <w:b/>
                <w:bCs/>
              </w:rPr>
              <w:t xml:space="preserve">521</w:t>
            </w:r>
          </w:p>
        </w:tc>
        <w:tc>
          <w:tcPr/>
          <w:p>
            <w:pPr>
              <w:pStyle w:val="Compact"/>
              <w:jc w:val="right"/>
            </w:pPr>
            <w:r>
              <w:rPr>
                <w:b/>
                <w:bCs/>
              </w:rPr>
              <w:t xml:space="preserve">27.047</w:t>
            </w:r>
          </w:p>
        </w:tc>
        <w:tc>
          <w:tcPr/>
          <w:p>
            <w:pPr>
              <w:pStyle w:val="Compact"/>
              <w:jc w:val="right"/>
            </w:pPr>
            <w:r>
              <w:rPr>
                <w:b/>
                <w:bCs/>
              </w:rPr>
              <w:t xml:space="preserve">1,93%</w:t>
            </w:r>
          </w:p>
        </w:tc>
      </w:tr>
    </w:tbl>
    <w:p>
      <w:pPr>
        <w:pStyle w:val="BodyText"/>
      </w:pPr>
      <w:r>
        <w:rPr>
          <w:b/>
          <w:bCs/>
        </w:rPr>
        <w:t xml:space="preserve">Fuente</w:t>
      </w:r>
      <w:r>
        <w:t xml:space="preserve">: SIPA-OEDE (STEySS), CIIU 7210-7499.</w:t>
      </w:r>
    </w:p>
    <w:p>
      <w:pPr>
        <w:pStyle w:val="BodyText"/>
      </w:pPr>
      <w:r>
        <w:t xml:space="preserve">El empleo EC pasó de</w:t>
      </w:r>
      <w:r>
        <w:t xml:space="preserve"> </w:t>
      </w:r>
      <w:r>
        <w:rPr>
          <w:b/>
          <w:bCs/>
        </w:rPr>
        <w:t xml:space="preserve">356</w:t>
      </w:r>
      <w:r>
        <w:t xml:space="preserve"> </w:t>
      </w:r>
      <w:r>
        <w:t xml:space="preserve">(2019) a</w:t>
      </w:r>
      <w:r>
        <w:t xml:space="preserve"> </w:t>
      </w:r>
      <w:r>
        <w:rPr>
          <w:b/>
          <w:bCs/>
        </w:rPr>
        <w:t xml:space="preserve">521</w:t>
      </w:r>
      <w:r>
        <w:t xml:space="preserve"> </w:t>
      </w:r>
      <w:r>
        <w:t xml:space="preserve">puestos (2025), un aumento de</w:t>
      </w:r>
      <w:r>
        <w:t xml:space="preserve"> </w:t>
      </w:r>
      <w:r>
        <w:rPr>
          <w:b/>
          <w:bCs/>
        </w:rPr>
        <w:t xml:space="preserve">+46,4%</w:t>
      </w:r>
      <w:r>
        <w:t xml:space="preserve">. El pico se registró en</w:t>
      </w:r>
      <w:r>
        <w:t xml:space="preserve"> </w:t>
      </w:r>
      <w:r>
        <w:rPr>
          <w:b/>
          <w:bCs/>
        </w:rPr>
        <w:t xml:space="preserve">2023</w:t>
      </w:r>
      <w:r>
        <w:t xml:space="preserve"> </w:t>
      </w:r>
      <w:r>
        <w:t xml:space="preserve">con 513 puestos. Entre 2023 y 2025 el empleo EC creció solo</w:t>
      </w:r>
      <w:r>
        <w:t xml:space="preserve"> </w:t>
      </w:r>
      <w:r>
        <w:rPr>
          <w:b/>
          <w:bCs/>
        </w:rPr>
        <w:t xml:space="preserve">+1,6%</w:t>
      </w:r>
      <w:r>
        <w:t xml:space="preserve">, mientras el empleo provincial caía</w:t>
      </w:r>
      <w:r>
        <w:t xml:space="preserve"> </w:t>
      </w:r>
      <w:r>
        <w:rPr>
          <w:b/>
          <w:bCs/>
        </w:rPr>
        <w:t xml:space="preserve">−17,3%</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HP\AppData\Local\Programs\Quarto\share\formats\docx\important.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Efecto composición.</w:t>
            </w:r>
            <w:r>
              <w:t xml:space="preserve"> </w:t>
            </w:r>
            <w:r>
              <w:t xml:space="preserve">La participación del EC en el empleo provincial subió de 1,32% a 1,93%. Pero ese aumento se explica, en parte, por la caída del denominador provincial (−17,3% entre 2023 y 2025), no solo por crecimiento del sector. En 2024-2025, sin embargo, el empleo EC creció +3,0% en términos absolutos, lo que sí es genuino.</w:t>
            </w:r>
          </w:p>
          <w:p/>
        </w:tc>
      </w:tr>
    </w:tbl>
    <w:bookmarkEnd w:id="27"/>
    <w:bookmarkStart w:id="28" w:name="desglose-2025-por-ciiu"/>
    <w:p>
      <w:pPr>
        <w:pStyle w:val="Heading2"/>
      </w:pPr>
      <w:r>
        <w:t xml:space="preserve">3.2 Desglose 2025 por CIIU</w:t>
      </w:r>
    </w:p>
    <w:tbl>
      <w:tblPr>
        <w:tblStyle w:val="Table"/>
        <w:tblW w:type="pct" w:w="5000"/>
        <w:tblLayout w:type="fixed"/>
        <w:tblLook w:firstRow="1" w:lastRow="0" w:firstColumn="0" w:lastColumn="0" w:noHBand="0" w:noVBand="0" w:val="0020"/>
      </w:tblPr>
      <w:tblGrid>
        <w:gridCol w:w="1414"/>
        <w:gridCol w:w="848"/>
        <w:gridCol w:w="848"/>
        <w:gridCol w:w="848"/>
        <w:gridCol w:w="848"/>
        <w:gridCol w:w="848"/>
        <w:gridCol w:w="848"/>
        <w:gridCol w:w="1414"/>
      </w:tblGrid>
      <w:tr>
        <w:trPr>
          <w:tblHeader w:val="on"/>
        </w:trPr>
        <w:tc>
          <w:tcPr/>
          <w:p>
            <w:pPr>
              <w:pStyle w:val="Compact"/>
              <w:jc w:val="center"/>
            </w:pPr>
            <w:r>
              <w:t xml:space="preserve">CIIU</w:t>
            </w:r>
          </w:p>
        </w:tc>
        <w:tc>
          <w:tcPr/>
          <w:p>
            <w:pPr>
              <w:pStyle w:val="Compact"/>
            </w:pPr>
            <w:r>
              <w:t xml:space="preserve">Rama</w:t>
            </w:r>
          </w:p>
        </w:tc>
        <w:tc>
          <w:tcPr/>
          <w:p>
            <w:pPr>
              <w:pStyle w:val="Compact"/>
              <w:jc w:val="right"/>
            </w:pPr>
            <w:r>
              <w:t xml:space="preserve">T1</w:t>
            </w:r>
          </w:p>
        </w:tc>
        <w:tc>
          <w:tcPr/>
          <w:p>
            <w:pPr>
              <w:pStyle w:val="Compact"/>
              <w:jc w:val="right"/>
            </w:pPr>
            <w:r>
              <w:t xml:space="preserve">T2</w:t>
            </w:r>
          </w:p>
        </w:tc>
        <w:tc>
          <w:tcPr/>
          <w:p>
            <w:pPr>
              <w:pStyle w:val="Compact"/>
              <w:jc w:val="right"/>
            </w:pPr>
            <w:r>
              <w:t xml:space="preserve">T3</w:t>
            </w:r>
          </w:p>
        </w:tc>
        <w:tc>
          <w:tcPr/>
          <w:p>
            <w:pPr>
              <w:pStyle w:val="Compact"/>
              <w:jc w:val="right"/>
            </w:pPr>
            <w:r>
              <w:t xml:space="preserve">T4</w:t>
            </w:r>
          </w:p>
        </w:tc>
        <w:tc>
          <w:tcPr/>
          <w:p>
            <w:pPr>
              <w:pStyle w:val="Compact"/>
              <w:jc w:val="right"/>
            </w:pPr>
            <w:r>
              <w:rPr>
                <w:b/>
                <w:bCs/>
              </w:rPr>
              <w:t xml:space="preserve">Promedio 2025</w:t>
            </w:r>
          </w:p>
        </w:tc>
        <w:tc>
          <w:tcPr/>
          <w:p>
            <w:pPr>
              <w:pStyle w:val="Compact"/>
              <w:jc w:val="center"/>
            </w:pPr>
            <w:r>
              <w:t xml:space="preserve">Tipo</w:t>
            </w:r>
          </w:p>
        </w:tc>
      </w:tr>
      <w:tr>
        <w:tc>
          <w:tcPr/>
          <w:p>
            <w:pPr>
              <w:pStyle w:val="Compact"/>
              <w:jc w:val="center"/>
            </w:pPr>
            <w:r>
              <w:t xml:space="preserve">7220</w:t>
            </w:r>
          </w:p>
        </w:tc>
        <w:tc>
          <w:tcPr/>
          <w:p>
            <w:pPr>
              <w:pStyle w:val="Compact"/>
            </w:pPr>
            <w:r>
              <w:t xml:space="preserve">Consultores en informática</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28</w:t>
            </w:r>
          </w:p>
        </w:tc>
        <w:tc>
          <w:tcPr/>
          <w:p>
            <w:pPr>
              <w:pStyle w:val="Compact"/>
              <w:jc w:val="right"/>
            </w:pPr>
            <w:r>
              <w:t xml:space="preserve">25</w:t>
            </w:r>
          </w:p>
        </w:tc>
        <w:tc>
          <w:tcPr/>
          <w:p>
            <w:pPr>
              <w:pStyle w:val="Compact"/>
              <w:jc w:val="right"/>
            </w:pPr>
            <w:r>
              <w:rPr>
                <w:b/>
                <w:bCs/>
              </w:rPr>
              <w:t xml:space="preserve">26,8</w:t>
            </w:r>
          </w:p>
        </w:tc>
        <w:tc>
          <w:tcPr/>
          <w:p>
            <w:pPr>
              <w:pStyle w:val="Compact"/>
              <w:jc w:val="center"/>
            </w:pPr>
            <w:r>
              <w:t xml:space="preserve">Núcleo SW</w:t>
            </w:r>
          </w:p>
        </w:tc>
      </w:tr>
      <w:tr>
        <w:tc>
          <w:tcPr/>
          <w:p>
            <w:pPr>
              <w:pStyle w:val="Compact"/>
              <w:jc w:val="center"/>
            </w:pPr>
            <w:r>
              <w:t xml:space="preserve">7250</w:t>
            </w:r>
          </w:p>
        </w:tc>
        <w:tc>
          <w:tcPr/>
          <w:p>
            <w:pPr>
              <w:pStyle w:val="Compact"/>
            </w:pPr>
            <w:r>
              <w:t xml:space="preserve">Mantenimiento y reparación</w:t>
            </w:r>
          </w:p>
        </w:tc>
        <w:tc>
          <w:tcPr/>
          <w:p>
            <w:pPr>
              <w:pStyle w:val="Compact"/>
              <w:jc w:val="right"/>
            </w:pPr>
            <w:r>
              <w:t xml:space="preserve">6</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rPr>
                <w:b/>
                <w:bCs/>
              </w:rPr>
              <w:t xml:space="preserve">4,2</w:t>
            </w:r>
          </w:p>
        </w:tc>
        <w:tc>
          <w:tcPr/>
          <w:p>
            <w:pPr>
              <w:pStyle w:val="Compact"/>
              <w:jc w:val="center"/>
            </w:pPr>
            <w:r>
              <w:t xml:space="preserve">Núcleo SW</w:t>
            </w:r>
          </w:p>
        </w:tc>
      </w:tr>
      <w:tr>
        <w:tc>
          <w:tcPr/>
          <w:p>
            <w:pPr>
              <w:pStyle w:val="Compact"/>
              <w:jc w:val="center"/>
            </w:pPr>
            <w:r>
              <w:t xml:space="preserve">7290</w:t>
            </w:r>
          </w:p>
        </w:tc>
        <w:tc>
          <w:tcPr/>
          <w:p>
            <w:pPr>
              <w:pStyle w:val="Compact"/>
            </w:pPr>
            <w:r>
              <w:t xml:space="preserve">Informática n.c.p.</w:t>
            </w:r>
          </w:p>
        </w:tc>
        <w:tc>
          <w:tcPr/>
          <w:p>
            <w:pPr>
              <w:pStyle w:val="Compact"/>
              <w:jc w:val="right"/>
            </w:pPr>
            <w:r>
              <w:t xml:space="preserve">29</w:t>
            </w:r>
          </w:p>
        </w:tc>
        <w:tc>
          <w:tcPr/>
          <w:p>
            <w:pPr>
              <w:pStyle w:val="Compact"/>
              <w:jc w:val="right"/>
            </w:pPr>
            <w:r>
              <w:t xml:space="preserve">32</w:t>
            </w:r>
          </w:p>
        </w:tc>
        <w:tc>
          <w:tcPr/>
          <w:p>
            <w:pPr>
              <w:pStyle w:val="Compact"/>
              <w:jc w:val="right"/>
            </w:pPr>
            <w:r>
              <w:t xml:space="preserve">36</w:t>
            </w:r>
          </w:p>
        </w:tc>
        <w:tc>
          <w:tcPr/>
          <w:p>
            <w:pPr>
              <w:pStyle w:val="Compact"/>
              <w:jc w:val="right"/>
            </w:pPr>
            <w:r>
              <w:t xml:space="preserve">34</w:t>
            </w:r>
          </w:p>
        </w:tc>
        <w:tc>
          <w:tcPr/>
          <w:p>
            <w:pPr>
              <w:pStyle w:val="Compact"/>
              <w:jc w:val="right"/>
            </w:pPr>
            <w:r>
              <w:rPr>
                <w:b/>
                <w:bCs/>
              </w:rPr>
              <w:t xml:space="preserve">32,8</w:t>
            </w:r>
          </w:p>
        </w:tc>
        <w:tc>
          <w:tcPr/>
          <w:p>
            <w:pPr>
              <w:pStyle w:val="Compact"/>
              <w:jc w:val="center"/>
            </w:pPr>
            <w:r>
              <w:t xml:space="preserve">Núcleo SW</w:t>
            </w:r>
          </w:p>
        </w:tc>
      </w:tr>
      <w:tr>
        <w:tc>
          <w:tcPr/>
          <w:p>
            <w:pPr>
              <w:pStyle w:val="Compact"/>
              <w:jc w:val="center"/>
            </w:pPr>
            <w:r>
              <w:t xml:space="preserve">7421</w:t>
            </w:r>
          </w:p>
        </w:tc>
        <w:tc>
          <w:tcPr/>
          <w:p>
            <w:pPr>
              <w:pStyle w:val="Compact"/>
            </w:pPr>
            <w:r>
              <w:t xml:space="preserve">Arquitectura e ingeniería</w:t>
            </w:r>
          </w:p>
        </w:tc>
        <w:tc>
          <w:tcPr/>
          <w:p>
            <w:pPr>
              <w:pStyle w:val="Compact"/>
              <w:jc w:val="right"/>
            </w:pPr>
            <w:r>
              <w:t xml:space="preserve">172</w:t>
            </w:r>
          </w:p>
        </w:tc>
        <w:tc>
          <w:tcPr/>
          <w:p>
            <w:pPr>
              <w:pStyle w:val="Compact"/>
              <w:jc w:val="right"/>
            </w:pPr>
            <w:r>
              <w:t xml:space="preserve">225</w:t>
            </w:r>
          </w:p>
        </w:tc>
        <w:tc>
          <w:tcPr/>
          <w:p>
            <w:pPr>
              <w:pStyle w:val="Compact"/>
              <w:jc w:val="right"/>
            </w:pPr>
            <w:r>
              <w:t xml:space="preserve">217</w:t>
            </w:r>
          </w:p>
        </w:tc>
        <w:tc>
          <w:tcPr/>
          <w:p>
            <w:pPr>
              <w:pStyle w:val="Compact"/>
              <w:jc w:val="right"/>
            </w:pPr>
            <w:r>
              <w:t xml:space="preserve">197</w:t>
            </w:r>
          </w:p>
        </w:tc>
        <w:tc>
          <w:tcPr/>
          <w:p>
            <w:pPr>
              <w:pStyle w:val="Compact"/>
              <w:jc w:val="right"/>
            </w:pPr>
            <w:r>
              <w:rPr>
                <w:b/>
                <w:bCs/>
              </w:rPr>
              <w:t xml:space="preserve">202,8</w:t>
            </w:r>
          </w:p>
        </w:tc>
        <w:tc>
          <w:tcPr/>
          <w:p>
            <w:pPr>
              <w:pStyle w:val="Compact"/>
              <w:jc w:val="center"/>
            </w:pPr>
            <w:r>
              <w:t xml:space="preserve">Proxy</w:t>
            </w:r>
          </w:p>
        </w:tc>
      </w:tr>
      <w:tr>
        <w:tc>
          <w:tcPr/>
          <w:p>
            <w:pPr>
              <w:pStyle w:val="Compact"/>
              <w:jc w:val="center"/>
            </w:pPr>
            <w:r>
              <w:t xml:space="preserve">7499</w:t>
            </w:r>
          </w:p>
        </w:tc>
        <w:tc>
          <w:tcPr/>
          <w:p>
            <w:pPr>
              <w:pStyle w:val="Compact"/>
            </w:pPr>
            <w:r>
              <w:t xml:space="preserve">Servicios empresariales</w:t>
            </w:r>
          </w:p>
        </w:tc>
        <w:tc>
          <w:tcPr/>
          <w:p>
            <w:pPr>
              <w:pStyle w:val="Compact"/>
              <w:jc w:val="right"/>
            </w:pPr>
            <w:r>
              <w:t xml:space="preserve">282</w:t>
            </w:r>
          </w:p>
        </w:tc>
        <w:tc>
          <w:tcPr/>
          <w:p>
            <w:pPr>
              <w:pStyle w:val="Compact"/>
              <w:jc w:val="right"/>
            </w:pPr>
            <w:r>
              <w:t xml:space="preserve">235</w:t>
            </w:r>
          </w:p>
        </w:tc>
        <w:tc>
          <w:tcPr/>
          <w:p>
            <w:pPr>
              <w:pStyle w:val="Compact"/>
              <w:jc w:val="right"/>
            </w:pPr>
            <w:r>
              <w:t xml:space="preserve">204</w:t>
            </w:r>
          </w:p>
        </w:tc>
        <w:tc>
          <w:tcPr/>
          <w:p>
            <w:pPr>
              <w:pStyle w:val="Compact"/>
              <w:jc w:val="right"/>
            </w:pPr>
            <w:r>
              <w:t xml:space="preserve">298</w:t>
            </w:r>
          </w:p>
        </w:tc>
        <w:tc>
          <w:tcPr/>
          <w:p>
            <w:pPr>
              <w:pStyle w:val="Compact"/>
              <w:jc w:val="right"/>
            </w:pPr>
            <w:r>
              <w:rPr>
                <w:b/>
                <w:bCs/>
              </w:rPr>
              <w:t xml:space="preserve">254,8</w:t>
            </w:r>
          </w:p>
        </w:tc>
        <w:tc>
          <w:tcPr/>
          <w:p>
            <w:pPr>
              <w:pStyle w:val="Compact"/>
              <w:jc w:val="center"/>
            </w:pPr>
            <w:r>
              <w:t xml:space="preserve">Proxy</w:t>
            </w:r>
          </w:p>
        </w:tc>
      </w:tr>
      <w:tr>
        <w:tc>
          <w:tcPr/>
          <w:p>
            <w:pPr>
              <w:pStyle w:val="Compact"/>
              <w:jc w:val="center"/>
            </w:pPr>
            <w:r>
              <w:t xml:space="preserve">7210</w:t>
            </w:r>
          </w:p>
        </w:tc>
        <w:tc>
          <w:tcPr/>
          <w:p>
            <w:pPr>
              <w:pStyle w:val="Compact"/>
            </w:pPr>
            <w:r>
              <w:t xml:space="preserve">Consultores equipo informática</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rPr>
                <w:b/>
                <w:bCs/>
              </w:rPr>
              <w:t xml:space="preserve">0</w:t>
            </w:r>
          </w:p>
        </w:tc>
        <w:tc>
          <w:tcPr/>
          <w:p>
            <w:pPr>
              <w:pStyle w:val="Compact"/>
              <w:jc w:val="center"/>
            </w:pPr>
            <w:r>
              <w:t xml:space="preserve">Núcleo</w:t>
            </w:r>
          </w:p>
        </w:tc>
      </w:tr>
      <w:tr>
        <w:tc>
          <w:tcPr/>
          <w:p>
            <w:pPr>
              <w:pStyle w:val="Compact"/>
              <w:jc w:val="center"/>
            </w:pPr>
            <w:r>
              <w:t xml:space="preserve">7300</w:t>
            </w:r>
          </w:p>
        </w:tc>
        <w:tc>
          <w:tcPr/>
          <w:p>
            <w:pPr>
              <w:pStyle w:val="Compact"/>
            </w:pPr>
            <w:r>
              <w:t xml:space="preserve">Investigación y desarrollo</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rPr>
                <w:b/>
                <w:bCs/>
              </w:rPr>
              <w:t xml:space="preserve">0</w:t>
            </w:r>
          </w:p>
        </w:tc>
        <w:tc>
          <w:tcPr/>
          <w:p>
            <w:pPr>
              <w:pStyle w:val="Compact"/>
              <w:jc w:val="center"/>
            </w:pPr>
            <w:r>
              <w:t xml:space="preserve">Núcleo amplio</w:t>
            </w:r>
          </w:p>
        </w:tc>
      </w:tr>
      <w:tr>
        <w:tc>
          <w:tcPr/>
          <w:p>
            <w:pPr>
              <w:pStyle w:val="Compact"/>
              <w:jc w:val="center"/>
            </w:pPr>
            <w:r>
              <w:t xml:space="preserve">7430</w:t>
            </w:r>
          </w:p>
        </w:tc>
        <w:tc>
          <w:tcPr/>
          <w:p>
            <w:pPr>
              <w:pStyle w:val="Compact"/>
            </w:pPr>
            <w:r>
              <w:t xml:space="preserve">Servicios de publicidad</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t xml:space="preserve">s/d</w:t>
            </w:r>
          </w:p>
        </w:tc>
        <w:tc>
          <w:tcPr/>
          <w:p>
            <w:pPr>
              <w:pStyle w:val="Compact"/>
              <w:jc w:val="right"/>
            </w:pPr>
            <w:r>
              <w:rPr>
                <w:b/>
                <w:bCs/>
              </w:rPr>
              <w:t xml:space="preserve">0</w:t>
            </w:r>
          </w:p>
        </w:tc>
        <w:tc>
          <w:tcPr/>
          <w:p>
            <w:pPr>
              <w:pStyle w:val="Compact"/>
              <w:jc w:val="center"/>
            </w:pPr>
            <w:r>
              <w:t xml:space="preserve">Núcleo amplio</w:t>
            </w:r>
          </w:p>
        </w:tc>
      </w:tr>
      <w:tr>
        <w:tc>
          <w:tcPr/>
          <w:p>
            <w:pPr>
              <w:pStyle w:val="Compact"/>
            </w:pPr>
          </w:p>
        </w:tc>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521,4</w:t>
            </w:r>
          </w:p>
        </w:tc>
        <w:tc>
          <w:tcPr/>
          <w:p>
            <w:pPr>
              <w:pStyle w:val="Compact"/>
            </w:pPr>
          </w:p>
        </w:tc>
      </w:tr>
    </w:tbl>
    <w:p>
      <w:pPr>
        <w:pStyle w:val="BodyText"/>
      </w:pPr>
      <w:r>
        <w:rPr>
          <w:b/>
          <w:bCs/>
        </w:rPr>
        <w:t xml:space="preserve">Fuente</w:t>
      </w:r>
      <w:r>
        <w:t xml:space="preserve">: SIPA-OEDE (STEySS), hoja</w:t>
      </w:r>
      <w:r>
        <w:t xml:space="preserve"> </w:t>
      </w:r>
      <w:r>
        <w:t xml:space="preserve">“La Rioja”</w:t>
      </w:r>
      <w:r>
        <w:t xml:space="preserve">, promedio simple de los 4 trimestres de 2025.</w:t>
      </w:r>
    </w:p>
    <w:p>
      <w:pPr>
        <w:pStyle w:val="BodyText"/>
      </w:pPr>
      <w:r>
        <w:rPr>
          <w:b/>
          <w:bCs/>
        </w:rPr>
        <w:t xml:space="preserve">Los 5 códigos con datos</w:t>
      </w:r>
      <w:r>
        <w:t xml:space="preserve"> </w:t>
      </w:r>
      <w:r>
        <w:t xml:space="preserve">son 7220, 7250, 7290, 7421 y 7499. Los otros 3 no registran empleo asalariado privado en La Rioja.</w:t>
      </w:r>
    </w:p>
    <w:bookmarkEnd w:id="28"/>
    <w:bookmarkStart w:id="33" w:name="núcleo-software-vs.-proxies"/>
    <w:p>
      <w:pPr>
        <w:pStyle w:val="Heading2"/>
      </w:pPr>
      <w:r>
        <w:t xml:space="preserve">3.3 Núcleo software vs. proxies</w:t>
      </w:r>
    </w:p>
    <w:tbl>
      <w:tblPr>
        <w:tblStyle w:val="Table"/>
        <w:tblW w:type="pct" w:w="5000"/>
        <w:tblLayout w:type="fixed"/>
        <w:tblLook w:firstRow="0" w:lastRow="0" w:firstColumn="0" w:lastColumn="0" w:noHBand="0" w:noVBand="0" w:val="0000"/>
      </w:tblPr>
      <w:tblGrid>
        <w:gridCol w:w="7920"/>
      </w:tblGrid>
      <w:tr>
        <w:tc>
          <w:tcPr/>
          <w:bookmarkStart w:id="32" w:name="fig-desglose"/>
          <w:p>
            <w:pPr>
              <w:pStyle w:val="Compact"/>
              <w:jc w:val="center"/>
            </w:pPr>
            <w:r>
              <w:drawing>
                <wp:inline>
                  <wp:extent cx="5334000" cy="1293090"/>
                  <wp:effectExtent b="0" l="0" r="0" t="0"/>
                  <wp:docPr descr="" title="" id="30" name="Picture"/>
                  <a:graphic>
                    <a:graphicData uri="http://schemas.openxmlformats.org/drawingml/2006/picture">
                      <pic:pic>
                        <pic:nvPicPr>
                          <pic:cNvPr descr="figuras/empleo_ec_2025_apilado.png" id="31" name="Picture"/>
                          <pic:cNvPicPr>
                            <a:picLocks noChangeArrowheads="1" noChangeAspect="1"/>
                          </pic:cNvPicPr>
                        </pic:nvPicPr>
                        <pic:blipFill>
                          <a:blip r:embed="rId29"/>
                          <a:stretch>
                            <a:fillRect/>
                          </a:stretch>
                        </pic:blipFill>
                        <pic:spPr bwMode="auto">
                          <a:xfrm>
                            <a:off x="0" y="0"/>
                            <a:ext cx="5334000" cy="129309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Desglose del empleo EC 2025: núcleo software vs. proxies.</w:t>
            </w:r>
          </w:p>
          <w:bookmarkEnd w:id="32"/>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CIIU</w:t>
            </w:r>
          </w:p>
        </w:tc>
        <w:tc>
          <w:tcPr/>
          <w:p>
            <w:pPr>
              <w:pStyle w:val="Compact"/>
              <w:jc w:val="right"/>
            </w:pPr>
            <w:r>
              <w:t xml:space="preserve">Puestos 2025</w:t>
            </w:r>
          </w:p>
        </w:tc>
        <w:tc>
          <w:tcPr/>
          <w:p>
            <w:pPr>
              <w:pStyle w:val="Compact"/>
              <w:jc w:val="right"/>
            </w:pPr>
            <w:r>
              <w:t xml:space="preserve">% del EC</w:t>
            </w:r>
          </w:p>
        </w:tc>
      </w:tr>
      <w:tr>
        <w:tc>
          <w:tcPr/>
          <w:p>
            <w:pPr>
              <w:pStyle w:val="Compact"/>
            </w:pPr>
            <w:r>
              <w:rPr>
                <w:b/>
                <w:bCs/>
              </w:rPr>
              <w:t xml:space="preserve">Núcleo software</w:t>
            </w:r>
          </w:p>
        </w:tc>
        <w:tc>
          <w:tcPr/>
          <w:p>
            <w:pPr>
              <w:pStyle w:val="Compact"/>
            </w:pPr>
            <w:r>
              <w:t xml:space="preserve">7220 + 7250 + 7290</w:t>
            </w:r>
          </w:p>
        </w:tc>
        <w:tc>
          <w:tcPr/>
          <w:p>
            <w:pPr>
              <w:pStyle w:val="Compact"/>
              <w:jc w:val="right"/>
            </w:pPr>
            <w:r>
              <w:rPr>
                <w:b/>
                <w:bCs/>
              </w:rPr>
              <w:t xml:space="preserve">63,8</w:t>
            </w:r>
          </w:p>
        </w:tc>
        <w:tc>
          <w:tcPr/>
          <w:p>
            <w:pPr>
              <w:pStyle w:val="Compact"/>
              <w:jc w:val="right"/>
            </w:pPr>
            <w:r>
              <w:rPr>
                <w:b/>
                <w:bCs/>
              </w:rPr>
              <w:t xml:space="preserve">12,2%</w:t>
            </w:r>
          </w:p>
        </w:tc>
      </w:tr>
      <w:tr>
        <w:tc>
          <w:tcPr/>
          <w:p>
            <w:pPr>
              <w:pStyle w:val="Compact"/>
            </w:pPr>
            <w:r>
              <w:rPr>
                <w:b/>
                <w:bCs/>
              </w:rPr>
              <w:t xml:space="preserve">Núcleo amplio</w:t>
            </w:r>
          </w:p>
        </w:tc>
        <w:tc>
          <w:tcPr/>
          <w:p>
            <w:pPr>
              <w:pStyle w:val="Compact"/>
            </w:pPr>
            <w:r>
              <w:t xml:space="preserve">7210 + 7300 + 7430</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Proxies</w:t>
            </w:r>
          </w:p>
        </w:tc>
        <w:tc>
          <w:tcPr/>
          <w:p>
            <w:pPr>
              <w:pStyle w:val="Compact"/>
            </w:pPr>
            <w:r>
              <w:t xml:space="preserve">7421 + 7499</w:t>
            </w:r>
          </w:p>
        </w:tc>
        <w:tc>
          <w:tcPr/>
          <w:p>
            <w:pPr>
              <w:pStyle w:val="Compact"/>
              <w:jc w:val="right"/>
            </w:pPr>
            <w:r>
              <w:rPr>
                <w:b/>
                <w:bCs/>
              </w:rPr>
              <w:t xml:space="preserve">457,6</w:t>
            </w:r>
          </w:p>
        </w:tc>
        <w:tc>
          <w:tcPr/>
          <w:p>
            <w:pPr>
              <w:pStyle w:val="Compact"/>
              <w:jc w:val="right"/>
            </w:pPr>
            <w:r>
              <w:rPr>
                <w:b/>
                <w:bCs/>
              </w:rPr>
              <w:t xml:space="preserve">87,8%</w:t>
            </w:r>
          </w:p>
        </w:tc>
      </w:tr>
      <w:tr>
        <w:tc>
          <w:tcPr/>
          <w:p>
            <w:pPr>
              <w:pStyle w:val="Compact"/>
            </w:pPr>
            <w:r>
              <w:rPr>
                <w:b/>
                <w:bCs/>
              </w:rPr>
              <w:t xml:space="preserve">TOTAL EC</w:t>
            </w:r>
          </w:p>
        </w:tc>
        <w:tc>
          <w:tcPr/>
          <w:p>
            <w:pPr>
              <w:pStyle w:val="Compact"/>
            </w:pPr>
          </w:p>
        </w:tc>
        <w:tc>
          <w:tcPr/>
          <w:p>
            <w:pPr>
              <w:pStyle w:val="Compact"/>
              <w:jc w:val="right"/>
            </w:pPr>
            <w:r>
              <w:rPr>
                <w:b/>
                <w:bCs/>
              </w:rPr>
              <w:t xml:space="preserve">521,4</w:t>
            </w:r>
          </w:p>
        </w:tc>
        <w:tc>
          <w:tcPr/>
          <w:p>
            <w:pPr>
              <w:pStyle w:val="Compact"/>
              <w:jc w:val="right"/>
            </w:pPr>
            <w:r>
              <w:rPr>
                <w:b/>
                <w:bCs/>
              </w:rPr>
              <w:t xml:space="preserve">100%</w:t>
            </w:r>
          </w:p>
        </w:tc>
      </w:tr>
    </w:tbl>
    <w:p>
      <w:pPr>
        <w:pStyle w:val="BodyText"/>
      </w:pPr>
      <w:r>
        <w:rPr>
          <w:b/>
          <w:bCs/>
        </w:rPr>
        <w:t xml:space="preserve">De cada 8 empleos contabilizados como</w:t>
      </w:r>
      <w:r>
        <w:rPr>
          <w:b/>
          <w:bCs/>
        </w:rPr>
        <w:t xml:space="preserve"> </w:t>
      </w:r>
      <w:r>
        <w:rPr>
          <w:b/>
          <w:bCs/>
        </w:rPr>
        <w:t xml:space="preserve">“Economía del Conocimiento”</w:t>
      </w:r>
      <w:r>
        <w:rPr>
          <w:b/>
          <w:bCs/>
        </w:rPr>
        <w:t xml:space="preserve">, solo 1 es realmente software puro.</w:t>
      </w:r>
    </w:p>
    <w:bookmarkEnd w:id="33"/>
    <w:bookmarkStart w:id="34" w:name="X7e898a883b1294ba610a30765795f5dba9fac48"/>
    <w:p>
      <w:pPr>
        <w:pStyle w:val="Heading2"/>
      </w:pPr>
      <w:r>
        <w:t xml:space="preserve">3.4 Evolución del núcleo vs. proxies (2019-2025)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Año</w:t>
            </w:r>
          </w:p>
        </w:tc>
        <w:tc>
          <w:tcPr/>
          <w:p>
            <w:pPr>
              <w:pStyle w:val="Compact"/>
              <w:jc w:val="right"/>
            </w:pPr>
            <w:r>
              <w:t xml:space="preserve">Núcleo SW</w:t>
            </w:r>
          </w:p>
        </w:tc>
        <w:tc>
          <w:tcPr/>
          <w:p>
            <w:pPr>
              <w:pStyle w:val="Compact"/>
              <w:jc w:val="right"/>
            </w:pPr>
            <w:r>
              <w:t xml:space="preserve">Proxies</w:t>
            </w:r>
          </w:p>
        </w:tc>
        <w:tc>
          <w:tcPr/>
          <w:p>
            <w:pPr>
              <w:pStyle w:val="Compact"/>
              <w:jc w:val="right"/>
            </w:pPr>
            <w:r>
              <w:t xml:space="preserve">Total EC</w:t>
            </w:r>
          </w:p>
        </w:tc>
        <w:tc>
          <w:tcPr/>
          <w:p>
            <w:pPr>
              <w:pStyle w:val="Compact"/>
              <w:jc w:val="right"/>
            </w:pPr>
            <w:r>
              <w:t xml:space="preserve">% Núcleo</w:t>
            </w:r>
          </w:p>
        </w:tc>
      </w:tr>
      <w:tr>
        <w:tc>
          <w:tcPr/>
          <w:p>
            <w:pPr>
              <w:pStyle w:val="Compact"/>
              <w:jc w:val="center"/>
            </w:pPr>
            <w:r>
              <w:t xml:space="preserve">2019</w:t>
            </w:r>
          </w:p>
        </w:tc>
        <w:tc>
          <w:tcPr/>
          <w:p>
            <w:pPr>
              <w:pStyle w:val="Compact"/>
              <w:jc w:val="right"/>
            </w:pPr>
            <w:r>
              <w:t xml:space="preserve">11,5</w:t>
            </w:r>
          </w:p>
        </w:tc>
        <w:tc>
          <w:tcPr/>
          <w:p>
            <w:pPr>
              <w:pStyle w:val="Compact"/>
              <w:jc w:val="right"/>
            </w:pPr>
            <w:r>
              <w:t xml:space="preserve">344,5</w:t>
            </w:r>
          </w:p>
        </w:tc>
        <w:tc>
          <w:tcPr/>
          <w:p>
            <w:pPr>
              <w:pStyle w:val="Compact"/>
              <w:jc w:val="right"/>
            </w:pPr>
            <w:r>
              <w:t xml:space="preserve">356</w:t>
            </w:r>
          </w:p>
        </w:tc>
        <w:tc>
          <w:tcPr/>
          <w:p>
            <w:pPr>
              <w:pStyle w:val="Compact"/>
              <w:jc w:val="right"/>
            </w:pPr>
            <w:r>
              <w:t xml:space="preserve">3,2%</w:t>
            </w:r>
          </w:p>
        </w:tc>
      </w:tr>
      <w:tr>
        <w:tc>
          <w:tcPr/>
          <w:p>
            <w:pPr>
              <w:pStyle w:val="Compact"/>
              <w:jc w:val="center"/>
            </w:pPr>
            <w:r>
              <w:t xml:space="preserve">2020</w:t>
            </w:r>
          </w:p>
        </w:tc>
        <w:tc>
          <w:tcPr/>
          <w:p>
            <w:pPr>
              <w:pStyle w:val="Compact"/>
              <w:jc w:val="right"/>
            </w:pPr>
            <w:r>
              <w:t xml:space="preserve">23,8</w:t>
            </w:r>
          </w:p>
        </w:tc>
        <w:tc>
          <w:tcPr/>
          <w:p>
            <w:pPr>
              <w:pStyle w:val="Compact"/>
              <w:jc w:val="right"/>
            </w:pPr>
            <w:r>
              <w:t xml:space="preserve">274,2</w:t>
            </w:r>
          </w:p>
        </w:tc>
        <w:tc>
          <w:tcPr/>
          <w:p>
            <w:pPr>
              <w:pStyle w:val="Compact"/>
              <w:jc w:val="right"/>
            </w:pPr>
            <w:r>
              <w:t xml:space="preserve">298</w:t>
            </w:r>
          </w:p>
        </w:tc>
        <w:tc>
          <w:tcPr/>
          <w:p>
            <w:pPr>
              <w:pStyle w:val="Compact"/>
              <w:jc w:val="right"/>
            </w:pPr>
            <w:r>
              <w:t xml:space="preserve">8,0%</w:t>
            </w:r>
          </w:p>
        </w:tc>
      </w:tr>
      <w:tr>
        <w:tc>
          <w:tcPr/>
          <w:p>
            <w:pPr>
              <w:pStyle w:val="Compact"/>
              <w:jc w:val="center"/>
            </w:pPr>
            <w:r>
              <w:t xml:space="preserve">2021</w:t>
            </w:r>
          </w:p>
        </w:tc>
        <w:tc>
          <w:tcPr/>
          <w:p>
            <w:pPr>
              <w:pStyle w:val="Compact"/>
              <w:jc w:val="right"/>
            </w:pPr>
            <w:r>
              <w:t xml:space="preserve">29,0</w:t>
            </w:r>
          </w:p>
        </w:tc>
        <w:tc>
          <w:tcPr/>
          <w:p>
            <w:pPr>
              <w:pStyle w:val="Compact"/>
              <w:jc w:val="right"/>
            </w:pPr>
            <w:r>
              <w:t xml:space="preserve">307,0</w:t>
            </w:r>
          </w:p>
        </w:tc>
        <w:tc>
          <w:tcPr/>
          <w:p>
            <w:pPr>
              <w:pStyle w:val="Compact"/>
              <w:jc w:val="right"/>
            </w:pPr>
            <w:r>
              <w:t xml:space="preserve">336</w:t>
            </w:r>
          </w:p>
        </w:tc>
        <w:tc>
          <w:tcPr/>
          <w:p>
            <w:pPr>
              <w:pStyle w:val="Compact"/>
              <w:jc w:val="right"/>
            </w:pPr>
            <w:r>
              <w:t xml:space="preserve">8,6%</w:t>
            </w:r>
          </w:p>
        </w:tc>
      </w:tr>
      <w:tr>
        <w:tc>
          <w:tcPr/>
          <w:p>
            <w:pPr>
              <w:pStyle w:val="Compact"/>
              <w:jc w:val="center"/>
            </w:pPr>
            <w:r>
              <w:t xml:space="preserve">2022</w:t>
            </w:r>
          </w:p>
        </w:tc>
        <w:tc>
          <w:tcPr/>
          <w:p>
            <w:pPr>
              <w:pStyle w:val="Compact"/>
              <w:jc w:val="right"/>
            </w:pPr>
            <w:r>
              <w:t xml:space="preserve">65,5</w:t>
            </w:r>
          </w:p>
        </w:tc>
        <w:tc>
          <w:tcPr/>
          <w:p>
            <w:pPr>
              <w:pStyle w:val="Compact"/>
              <w:jc w:val="right"/>
            </w:pPr>
            <w:r>
              <w:t xml:space="preserve">379,5</w:t>
            </w:r>
          </w:p>
        </w:tc>
        <w:tc>
          <w:tcPr/>
          <w:p>
            <w:pPr>
              <w:pStyle w:val="Compact"/>
              <w:jc w:val="right"/>
            </w:pPr>
            <w:r>
              <w:t xml:space="preserve">445</w:t>
            </w:r>
          </w:p>
        </w:tc>
        <w:tc>
          <w:tcPr/>
          <w:p>
            <w:pPr>
              <w:pStyle w:val="Compact"/>
              <w:jc w:val="right"/>
            </w:pPr>
            <w:r>
              <w:t xml:space="preserve">14,7%</w:t>
            </w:r>
          </w:p>
        </w:tc>
      </w:tr>
      <w:tr>
        <w:tc>
          <w:tcPr/>
          <w:p>
            <w:pPr>
              <w:pStyle w:val="Compact"/>
              <w:jc w:val="center"/>
            </w:pPr>
            <w:r>
              <w:t xml:space="preserve">2023</w:t>
            </w:r>
          </w:p>
        </w:tc>
        <w:tc>
          <w:tcPr/>
          <w:p>
            <w:pPr>
              <w:pStyle w:val="Compact"/>
              <w:jc w:val="right"/>
            </w:pPr>
            <w:r>
              <w:t xml:space="preserve">78,0</w:t>
            </w:r>
          </w:p>
        </w:tc>
        <w:tc>
          <w:tcPr/>
          <w:p>
            <w:pPr>
              <w:pStyle w:val="Compact"/>
              <w:jc w:val="right"/>
            </w:pPr>
            <w:r>
              <w:t xml:space="preserve">435,0</w:t>
            </w:r>
          </w:p>
        </w:tc>
        <w:tc>
          <w:tcPr/>
          <w:p>
            <w:pPr>
              <w:pStyle w:val="Compact"/>
              <w:jc w:val="right"/>
            </w:pPr>
            <w:r>
              <w:t xml:space="preserve">513</w:t>
            </w:r>
          </w:p>
        </w:tc>
        <w:tc>
          <w:tcPr/>
          <w:p>
            <w:pPr>
              <w:pStyle w:val="Compact"/>
              <w:jc w:val="right"/>
            </w:pPr>
            <w:r>
              <w:rPr>
                <w:b/>
                <w:bCs/>
              </w:rPr>
              <w:t xml:space="preserve">15,2%</w:t>
            </w:r>
          </w:p>
        </w:tc>
      </w:tr>
      <w:tr>
        <w:tc>
          <w:tcPr/>
          <w:p>
            <w:pPr>
              <w:pStyle w:val="Compact"/>
              <w:jc w:val="center"/>
            </w:pPr>
            <w:r>
              <w:t xml:space="preserve">2024</w:t>
            </w:r>
          </w:p>
        </w:tc>
        <w:tc>
          <w:tcPr/>
          <w:p>
            <w:pPr>
              <w:pStyle w:val="Compact"/>
              <w:jc w:val="right"/>
            </w:pPr>
            <w:r>
              <w:t xml:space="preserve">61,3</w:t>
            </w:r>
          </w:p>
        </w:tc>
        <w:tc>
          <w:tcPr/>
          <w:p>
            <w:pPr>
              <w:pStyle w:val="Compact"/>
              <w:jc w:val="right"/>
            </w:pPr>
            <w:r>
              <w:t xml:space="preserve">444,7</w:t>
            </w:r>
          </w:p>
        </w:tc>
        <w:tc>
          <w:tcPr/>
          <w:p>
            <w:pPr>
              <w:pStyle w:val="Compact"/>
              <w:jc w:val="right"/>
            </w:pPr>
            <w:r>
              <w:t xml:space="preserve">506</w:t>
            </w:r>
          </w:p>
        </w:tc>
        <w:tc>
          <w:tcPr/>
          <w:p>
            <w:pPr>
              <w:pStyle w:val="Compact"/>
              <w:jc w:val="right"/>
            </w:pPr>
            <w:r>
              <w:t xml:space="preserve">12,1%</w:t>
            </w:r>
          </w:p>
        </w:tc>
      </w:tr>
      <w:tr>
        <w:tc>
          <w:tcPr/>
          <w:p>
            <w:pPr>
              <w:pStyle w:val="Compact"/>
              <w:jc w:val="center"/>
            </w:pPr>
            <w:r>
              <w:t xml:space="preserve">2025</w:t>
            </w:r>
          </w:p>
        </w:tc>
        <w:tc>
          <w:tcPr/>
          <w:p>
            <w:pPr>
              <w:pStyle w:val="Compact"/>
              <w:jc w:val="right"/>
            </w:pPr>
            <w:r>
              <w:t xml:space="preserve">63,8</w:t>
            </w:r>
          </w:p>
        </w:tc>
        <w:tc>
          <w:tcPr/>
          <w:p>
            <w:pPr>
              <w:pStyle w:val="Compact"/>
              <w:jc w:val="right"/>
            </w:pPr>
            <w:r>
              <w:t xml:space="preserve">457,6</w:t>
            </w:r>
          </w:p>
        </w:tc>
        <w:tc>
          <w:tcPr/>
          <w:p>
            <w:pPr>
              <w:pStyle w:val="Compact"/>
              <w:jc w:val="right"/>
            </w:pPr>
            <w:r>
              <w:t xml:space="preserve">521</w:t>
            </w:r>
          </w:p>
        </w:tc>
        <w:tc>
          <w:tcPr/>
          <w:p>
            <w:pPr>
              <w:pStyle w:val="Compact"/>
              <w:jc w:val="right"/>
            </w:pPr>
            <w:r>
              <w:t xml:space="preserve">12,2%</w:t>
            </w:r>
          </w:p>
        </w:tc>
      </w:tr>
    </w:tbl>
    <w:p>
      <w:pPr>
        <w:pStyle w:val="BodyText"/>
      </w:pPr>
      <w:r>
        <w:t xml:space="preserve">El núcleo software</w:t>
      </w:r>
      <w:r>
        <w:t xml:space="preserve"> </w:t>
      </w:r>
      <w:r>
        <w:rPr>
          <w:b/>
          <w:bCs/>
        </w:rPr>
        <w:t xml:space="preserve">nunca superó el 15,2% del total EC</w:t>
      </w:r>
      <w:r>
        <w:t xml:space="preserve">. Entre 2023 y 2025 perdió 3 pp de participación: el sector se</w:t>
      </w:r>
      <w:r>
        <w:t xml:space="preserve"> </w:t>
      </w:r>
      <w:r>
        <w:t xml:space="preserve">“proxificó”</w:t>
      </w:r>
      <w:r>
        <w:t xml:space="preserve">.</w:t>
      </w:r>
    </w:p>
    <w:bookmarkEnd w:id="34"/>
    <w:bookmarkEnd w:id="35"/>
    <w:bookmarkStart w:id="39" w:name="sec-evolucion"/>
    <w:p>
      <w:pPr>
        <w:pStyle w:val="Heading1"/>
      </w:pPr>
      <w:r>
        <w:t xml:space="preserve">4. Cómo evolucionó el empleo EC</w:t>
      </w:r>
    </w:p>
    <w:bookmarkStart w:id="36" w:name="crecimiento-2019-2023"/>
    <w:p>
      <w:pPr>
        <w:pStyle w:val="Heading2"/>
      </w:pPr>
      <w:r>
        <w:t xml:space="preserve">4.1 Crecimiento 2019-2023</w:t>
      </w:r>
    </w:p>
    <w:p>
      <w:pPr>
        <w:pStyle w:val="FirstParagraph"/>
      </w:pPr>
      <w:r>
        <w:t xml:space="preserve">Entre 2019 y 2023, el empleo EC creció</w:t>
      </w:r>
      <w:r>
        <w:t xml:space="preserve"> </w:t>
      </w:r>
      <w:r>
        <w:rPr>
          <w:b/>
          <w:bCs/>
        </w:rPr>
        <w:t xml:space="preserve">+44,1%</w:t>
      </w:r>
      <w:r>
        <w:t xml:space="preserve"> </w:t>
      </w:r>
      <w:r>
        <w:t xml:space="preserve">(de 356 a 513 puestos). Ese crecimiento fue impulsado por:</w:t>
      </w:r>
    </w:p>
    <w:p>
      <w:pPr>
        <w:pStyle w:val="Compact"/>
        <w:numPr>
          <w:ilvl w:val="0"/>
          <w:numId w:val="1002"/>
        </w:numPr>
      </w:pPr>
      <w:r>
        <w:t xml:space="preserve">La recuperación post-pandemia (2021-2022).</w:t>
      </w:r>
    </w:p>
    <w:p>
      <w:pPr>
        <w:pStyle w:val="Compact"/>
        <w:numPr>
          <w:ilvl w:val="0"/>
          <w:numId w:val="1002"/>
        </w:numPr>
      </w:pPr>
      <w:r>
        <w:t xml:space="preserve">El crecimiento del bloque software, que pasó de 6 a 28 empresas.</w:t>
      </w:r>
    </w:p>
    <w:p>
      <w:pPr>
        <w:pStyle w:val="Compact"/>
        <w:numPr>
          <w:ilvl w:val="0"/>
          <w:numId w:val="1002"/>
        </w:numPr>
      </w:pPr>
      <w:r>
        <w:t xml:space="preserve">La expansión de consultores informáticos, que multiplicaron por 5 su participación en los ingresos del sector.</w:t>
      </w:r>
    </w:p>
    <w:bookmarkEnd w:id="36"/>
    <w:bookmarkStart w:id="37" w:name="la-meseta-2024-2025"/>
    <w:p>
      <w:pPr>
        <w:pStyle w:val="Heading2"/>
      </w:pPr>
      <w:r>
        <w:t xml:space="preserve">4.2 La meseta 2024-2025</w:t>
      </w:r>
    </w:p>
    <w:p>
      <w:pPr>
        <w:pStyle w:val="FirstParagraph"/>
      </w:pPr>
      <w:r>
        <w:t xml:space="preserve">Entre 2023 y 2025, el empleo EC pasó de 513 a 521 puestos:</w:t>
      </w:r>
      <w:r>
        <w:t xml:space="preserve"> </w:t>
      </w:r>
      <w:r>
        <w:rPr>
          <w:b/>
          <w:bCs/>
        </w:rPr>
        <w:t xml:space="preserve">+1,6%</w:t>
      </w:r>
      <w:r>
        <w:t xml:space="preserve">. El sector dejó de crecer.</w:t>
      </w:r>
    </w:p>
    <w:p>
      <w:pPr>
        <w:pStyle w:val="BodyText"/>
      </w:pPr>
      <w:r>
        <w:rPr>
          <w:b/>
          <w:bCs/>
        </w:rPr>
        <w:t xml:space="preserve">Dos interpretaciones posibles</w:t>
      </w:r>
      <w:r>
        <w:t xml:space="preserve">:</w:t>
      </w:r>
    </w:p>
    <w:p>
      <w:pPr>
        <w:pStyle w:val="Compact"/>
        <w:numPr>
          <w:ilvl w:val="0"/>
          <w:numId w:val="1003"/>
        </w:numPr>
      </w:pPr>
      <w:r>
        <w:rPr>
          <w:b/>
          <w:bCs/>
        </w:rPr>
        <w:t xml:space="preserve">Piso</w:t>
      </w:r>
      <w:r>
        <w:t xml:space="preserve">: el sector tocó fondo y va a recuperarse.</w:t>
      </w:r>
    </w:p>
    <w:p>
      <w:pPr>
        <w:pStyle w:val="Compact"/>
        <w:numPr>
          <w:ilvl w:val="0"/>
          <w:numId w:val="1003"/>
        </w:numPr>
      </w:pPr>
      <w:r>
        <w:rPr>
          <w:b/>
          <w:bCs/>
        </w:rPr>
        <w:t xml:space="preserve">Trampa</w:t>
      </w:r>
      <w:r>
        <w:t xml:space="preserve">: el sector se estabilizó en un nivel bajo sin capacidad de recuperación.</w:t>
      </w:r>
    </w:p>
    <w:p>
      <w:pPr>
        <w:pStyle w:val="FirstParagraph"/>
      </w:pPr>
      <w:r>
        <w:t xml:space="preserve">La evidencia apunta a la segunda: la caída del empleo provincial (−17,3% en el mismo período) y la recesión macroeconómica no generan condiciones para la recuperación.</w:t>
      </w:r>
    </w:p>
    <w:bookmarkEnd w:id="37"/>
    <w:bookmarkStart w:id="38" w:name="comparación-con-el-empleo-provincial"/>
    <w:p>
      <w:pPr>
        <w:pStyle w:val="Heading2"/>
      </w:pPr>
      <w:r>
        <w:t xml:space="preserve">4.3 Comparación con el empleo provincial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Período</w:t>
            </w:r>
          </w:p>
        </w:tc>
        <w:tc>
          <w:tcPr/>
          <w:p>
            <w:pPr>
              <w:pStyle w:val="Compact"/>
              <w:jc w:val="right"/>
            </w:pPr>
            <w:r>
              <w:t xml:space="preserve">Empleo EC</w:t>
            </w:r>
          </w:p>
        </w:tc>
        <w:tc>
          <w:tcPr/>
          <w:p>
            <w:pPr>
              <w:pStyle w:val="Compact"/>
              <w:jc w:val="right"/>
            </w:pPr>
            <w:r>
              <w:t xml:space="preserve">Empleo provincial</w:t>
            </w:r>
          </w:p>
        </w:tc>
        <w:tc>
          <w:tcPr/>
          <w:p>
            <w:pPr>
              <w:pStyle w:val="Compact"/>
              <w:jc w:val="right"/>
            </w:pPr>
            <w:r>
              <w:t xml:space="preserve">Diferencia</w:t>
            </w:r>
          </w:p>
        </w:tc>
      </w:tr>
      <w:tr>
        <w:tc>
          <w:tcPr/>
          <w:p>
            <w:pPr>
              <w:pStyle w:val="Compact"/>
              <w:jc w:val="center"/>
            </w:pPr>
            <w:r>
              <w:t xml:space="preserve">2023-2025</w:t>
            </w:r>
          </w:p>
        </w:tc>
        <w:tc>
          <w:tcPr/>
          <w:p>
            <w:pPr>
              <w:pStyle w:val="Compact"/>
              <w:jc w:val="right"/>
            </w:pPr>
            <w:r>
              <w:rPr>
                <w:b/>
                <w:bCs/>
              </w:rPr>
              <w:t xml:space="preserve">+1,6%</w:t>
            </w:r>
          </w:p>
        </w:tc>
        <w:tc>
          <w:tcPr/>
          <w:p>
            <w:pPr>
              <w:pStyle w:val="Compact"/>
              <w:jc w:val="right"/>
            </w:pPr>
            <w:r>
              <w:rPr>
                <w:b/>
                <w:bCs/>
              </w:rPr>
              <w:t xml:space="preserve">−17,3%</w:t>
            </w:r>
          </w:p>
        </w:tc>
        <w:tc>
          <w:tcPr/>
          <w:p>
            <w:pPr>
              <w:pStyle w:val="Compact"/>
              <w:jc w:val="right"/>
            </w:pPr>
            <w:r>
              <w:t xml:space="preserve">+18,9 pp</w:t>
            </w:r>
          </w:p>
        </w:tc>
      </w:tr>
    </w:tbl>
    <w:p>
      <w:pPr>
        <w:pStyle w:val="BodyText"/>
      </w:pPr>
      <w:r>
        <w:rPr>
          <w:b/>
          <w:bCs/>
        </w:rPr>
        <w:t xml:space="preserve">El EC resiste mejor la recesión.</w:t>
      </w:r>
      <w:r>
        <w:t xml:space="preserve"> </w:t>
      </w:r>
      <w:r>
        <w:t xml:space="preserve">En 2025, el empleo EC creció +3,0% mientras el empleo provincial cayó −3,4%. Es un sector con mayor productividad y menor sensibilidad al ciclo.</w:t>
      </w:r>
    </w:p>
    <w:bookmarkEnd w:id="38"/>
    <w:bookmarkEnd w:id="39"/>
    <w:bookmarkStart w:id="50" w:name="sec-salarios"/>
    <w:p>
      <w:pPr>
        <w:pStyle w:val="Heading1"/>
      </w:pPr>
      <w:r>
        <w:t xml:space="preserve">5. Salarios y prima salarial</w:t>
      </w:r>
    </w:p>
    <w:bookmarkStart w:id="44" w:name="salario-por-ciiu-ec-promedio-2025"/>
    <w:p>
      <w:pPr>
        <w:pStyle w:val="Heading2"/>
      </w:pPr>
      <w:r>
        <w:t xml:space="preserve">5.1 Salario por CIIU EC (promedio 2025)</w:t>
      </w:r>
    </w:p>
    <w:tbl>
      <w:tblPr>
        <w:tblStyle w:val="Table"/>
        <w:tblW w:type="pct" w:w="5000"/>
        <w:tblLayout w:type="fixed"/>
        <w:tblLook w:firstRow="0" w:lastRow="0" w:firstColumn="0" w:lastColumn="0" w:noHBand="0" w:noVBand="0" w:val="0000"/>
      </w:tblPr>
      <w:tblGrid>
        <w:gridCol w:w="7920"/>
      </w:tblGrid>
      <w:tr>
        <w:tc>
          <w:tcPr/>
          <w:bookmarkStart w:id="43" w:name="fig-salarios"/>
          <w:p>
            <w:pPr>
              <w:pStyle w:val="Compact"/>
              <w:jc w:val="center"/>
            </w:pPr>
            <w:r>
              <w:drawing>
                <wp:inline>
                  <wp:extent cx="5334000" cy="3048741"/>
                  <wp:effectExtent b="0" l="0" r="0" t="0"/>
                  <wp:docPr descr="" title="" id="41" name="Picture"/>
                  <a:graphic>
                    <a:graphicData uri="http://schemas.openxmlformats.org/drawingml/2006/picture">
                      <pic:pic>
                        <pic:nvPicPr>
                          <pic:cNvPr descr="figuras/F33_salarios_ciiu.png" id="42" name="Picture"/>
                          <pic:cNvPicPr>
                            <a:picLocks noChangeArrowheads="1" noChangeAspect="1"/>
                          </pic:cNvPicPr>
                        </pic:nvPicPr>
                        <pic:blipFill>
                          <a:blip r:embed="rId40"/>
                          <a:stretch>
                            <a:fillRect/>
                          </a:stretch>
                        </pic:blipFill>
                        <pic:spPr bwMode="auto">
                          <a:xfrm>
                            <a:off x="0" y="0"/>
                            <a:ext cx="5334000" cy="3048741"/>
                          </a:xfrm>
                          <a:prstGeom prst="rect">
                            <a:avLst/>
                          </a:prstGeom>
                          <a:noFill/>
                          <a:ln w="9525">
                            <a:noFill/>
                            <a:headEnd/>
                            <a:tailEnd/>
                          </a:ln>
                        </pic:spPr>
                      </pic:pic>
                    </a:graphicData>
                  </a:graphic>
                </wp:inline>
              </w:drawing>
            </w:r>
          </w:p>
          <w:p>
            <w:pPr>
              <w:jc w:val="center"/>
            </w:pPr>
            <w:pPr>
              <w:jc w:val="left"/>
              <w:spacing w:before="200"/>
              <w:pStyle w:val="ImageCaption"/>
            </w:pPr>
            <w:r>
              <w:t xml:space="preserve">Figura 3: Remuneración promedio por CIIU EC vs. promedio provincial (2025).</w:t>
            </w:r>
          </w:p>
          <w:bookmarkEnd w:id="43"/>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CIIU</w:t>
            </w:r>
          </w:p>
        </w:tc>
        <w:tc>
          <w:tcPr/>
          <w:p>
            <w:pPr>
              <w:pStyle w:val="Compact"/>
            </w:pPr>
            <w:r>
              <w:t xml:space="preserve">Rama</w:t>
            </w:r>
          </w:p>
        </w:tc>
        <w:tc>
          <w:tcPr/>
          <w:p>
            <w:pPr>
              <w:pStyle w:val="Compact"/>
              <w:jc w:val="right"/>
            </w:pPr>
            <w:r>
              <w:t xml:space="preserve">Salario promedio 2025</w:t>
            </w:r>
          </w:p>
        </w:tc>
        <w:tc>
          <w:tcPr/>
          <w:p>
            <w:pPr>
              <w:pStyle w:val="Compact"/>
              <w:jc w:val="right"/>
            </w:pPr>
            <w:r>
              <w:t xml:space="preserve">Prima vs. provincial</w:t>
            </w:r>
          </w:p>
        </w:tc>
      </w:tr>
      <w:tr>
        <w:tc>
          <w:tcPr/>
          <w:p>
            <w:pPr>
              <w:pStyle w:val="Compact"/>
              <w:jc w:val="center"/>
            </w:pPr>
            <w:r>
              <w:t xml:space="preserve">7290</w:t>
            </w:r>
          </w:p>
        </w:tc>
        <w:tc>
          <w:tcPr/>
          <w:p>
            <w:pPr>
              <w:pStyle w:val="Compact"/>
            </w:pPr>
            <w:r>
              <w:t xml:space="preserve">Informática n.c.p.</w:t>
            </w:r>
          </w:p>
        </w:tc>
        <w:tc>
          <w:tcPr/>
          <w:p>
            <w:pPr>
              <w:pStyle w:val="Compact"/>
              <w:jc w:val="right"/>
            </w:pPr>
            <w:r>
              <w:t xml:space="preserve">$3.108.543</w:t>
            </w:r>
          </w:p>
        </w:tc>
        <w:tc>
          <w:tcPr/>
          <w:p>
            <w:pPr>
              <w:pStyle w:val="Compact"/>
              <w:jc w:val="right"/>
            </w:pPr>
            <w:r>
              <w:rPr>
                <w:b/>
                <w:bCs/>
              </w:rPr>
              <w:t xml:space="preserve">+138%</w:t>
            </w:r>
          </w:p>
        </w:tc>
      </w:tr>
      <w:tr>
        <w:tc>
          <w:tcPr/>
          <w:p>
            <w:pPr>
              <w:pStyle w:val="Compact"/>
              <w:jc w:val="center"/>
            </w:pPr>
            <w:r>
              <w:t xml:space="preserve">7220</w:t>
            </w:r>
          </w:p>
        </w:tc>
        <w:tc>
          <w:tcPr/>
          <w:p>
            <w:pPr>
              <w:pStyle w:val="Compact"/>
            </w:pPr>
            <w:r>
              <w:t xml:space="preserve">Consultores informáticos</w:t>
            </w:r>
          </w:p>
        </w:tc>
        <w:tc>
          <w:tcPr/>
          <w:p>
            <w:pPr>
              <w:pStyle w:val="Compact"/>
              <w:jc w:val="right"/>
            </w:pPr>
            <w:r>
              <w:t xml:space="preserve">$1.726.147</w:t>
            </w:r>
          </w:p>
        </w:tc>
        <w:tc>
          <w:tcPr/>
          <w:p>
            <w:pPr>
              <w:pStyle w:val="Compact"/>
              <w:jc w:val="right"/>
            </w:pPr>
            <w:r>
              <w:t xml:space="preserve">+32%</w:t>
            </w:r>
          </w:p>
        </w:tc>
      </w:tr>
      <w:tr>
        <w:tc>
          <w:tcPr/>
          <w:p>
            <w:pPr>
              <w:pStyle w:val="Compact"/>
              <w:jc w:val="center"/>
            </w:pPr>
            <w:r>
              <w:t xml:space="preserve">7421</w:t>
            </w:r>
          </w:p>
        </w:tc>
        <w:tc>
          <w:tcPr/>
          <w:p>
            <w:pPr>
              <w:pStyle w:val="Compact"/>
            </w:pPr>
            <w:r>
              <w:t xml:space="preserve">Arquitectura/ingeniería (proxy)</w:t>
            </w:r>
          </w:p>
        </w:tc>
        <w:tc>
          <w:tcPr/>
          <w:p>
            <w:pPr>
              <w:pStyle w:val="Compact"/>
              <w:jc w:val="right"/>
            </w:pPr>
            <w:r>
              <w:t xml:space="preserve">$1.016.111</w:t>
            </w:r>
          </w:p>
        </w:tc>
        <w:tc>
          <w:tcPr/>
          <w:p>
            <w:pPr>
              <w:pStyle w:val="Compact"/>
              <w:jc w:val="right"/>
            </w:pPr>
            <w:r>
              <w:t xml:space="preserve">−22%</w:t>
            </w:r>
          </w:p>
        </w:tc>
      </w:tr>
      <w:tr>
        <w:tc>
          <w:tcPr/>
          <w:p>
            <w:pPr>
              <w:pStyle w:val="Compact"/>
              <w:jc w:val="center"/>
            </w:pPr>
            <w:r>
              <w:t xml:space="preserve">7499</w:t>
            </w:r>
          </w:p>
        </w:tc>
        <w:tc>
          <w:tcPr/>
          <w:p>
            <w:pPr>
              <w:pStyle w:val="Compact"/>
            </w:pPr>
            <w:r>
              <w:t xml:space="preserve">Servicios empresariales (proxy)</w:t>
            </w:r>
          </w:p>
        </w:tc>
        <w:tc>
          <w:tcPr/>
          <w:p>
            <w:pPr>
              <w:pStyle w:val="Compact"/>
              <w:jc w:val="right"/>
            </w:pPr>
            <w:r>
              <w:t xml:space="preserve">$978.907</w:t>
            </w:r>
          </w:p>
        </w:tc>
        <w:tc>
          <w:tcPr/>
          <w:p>
            <w:pPr>
              <w:pStyle w:val="Compact"/>
              <w:jc w:val="right"/>
            </w:pPr>
            <w:r>
              <w:t xml:space="preserve">−25%</w:t>
            </w:r>
          </w:p>
        </w:tc>
      </w:tr>
    </w:tbl>
    <w:p>
      <w:pPr>
        <w:pStyle w:val="BodyText"/>
      </w:pPr>
      <w:r>
        <w:rPr>
          <w:b/>
          <w:bCs/>
        </w:rPr>
        <w:t xml:space="preserve">Fuente</w:t>
      </w:r>
      <w:r>
        <w:t xml:space="preserve">: SIPA-OEDE, remuneraciones mensuales por CIIU 4 dígitos, promedio de los 12 meses de 2025. Salario provincial de referencia: $1.306.422.</w:t>
      </w:r>
    </w:p>
    <w:p>
      <w:pPr>
        <w:pStyle w:val="BodyText"/>
      </w:pPr>
      <w:r>
        <w:rPr>
          <w:b/>
          <w:bCs/>
        </w:rPr>
        <w:t xml:space="preserve">Hallazgo clave</w:t>
      </w:r>
      <w:r>
        <w:t xml:space="preserve">: los dos códigos del núcleo software (7220, 7290) pagan</w:t>
      </w:r>
      <w:r>
        <w:t xml:space="preserve"> </w:t>
      </w:r>
      <w:r>
        <w:rPr>
          <w:b/>
          <w:bCs/>
        </w:rPr>
        <w:t xml:space="preserve">por encima</w:t>
      </w:r>
      <w:r>
        <w:t xml:space="preserve"> </w:t>
      </w:r>
      <w:r>
        <w:t xml:space="preserve">del promedio provincial. Los dos proxies (7421, 7499) pagan</w:t>
      </w:r>
      <w:r>
        <w:t xml:space="preserve"> </w:t>
      </w:r>
      <w:r>
        <w:rPr>
          <w:b/>
          <w:bCs/>
        </w:rPr>
        <w:t xml:space="preserve">por debajo</w:t>
      </w:r>
      <w:r>
        <w:t xml:space="preserve">.</w:t>
      </w:r>
    </w:p>
    <w:bookmarkEnd w:id="44"/>
    <w:bookmarkStart w:id="49" w:name="Xd0dfabf99217198a57cea9465546790e7b7e1f1"/>
    <w:p>
      <w:pPr>
        <w:pStyle w:val="Heading2"/>
      </w:pPr>
      <w:r>
        <w:t xml:space="preserve">5.2 Prima salarial del núcleo software (2022-2025)</w:t>
      </w:r>
    </w:p>
    <w:tbl>
      <w:tblPr>
        <w:tblStyle w:val="Table"/>
        <w:tblW w:type="pct" w:w="5000"/>
        <w:tblLayout w:type="fixed"/>
        <w:tblLook w:firstRow="0" w:lastRow="0" w:firstColumn="0" w:lastColumn="0" w:noHBand="0" w:noVBand="0" w:val="0000"/>
      </w:tblPr>
      <w:tblGrid>
        <w:gridCol w:w="7920"/>
      </w:tblGrid>
      <w:tr>
        <w:tc>
          <w:tcPr/>
          <w:bookmarkStart w:id="48" w:name="fig-prima"/>
          <w:p>
            <w:pPr>
              <w:pStyle w:val="Compact"/>
              <w:jc w:val="center"/>
            </w:pPr>
            <w:r>
              <w:drawing>
                <wp:inline>
                  <wp:extent cx="5334000" cy="3217333"/>
                  <wp:effectExtent b="0" l="0" r="0" t="0"/>
                  <wp:docPr descr="" title="" id="46" name="Picture"/>
                  <a:graphic>
                    <a:graphicData uri="http://schemas.openxmlformats.org/drawingml/2006/picture">
                      <pic:pic>
                        <pic:nvPicPr>
                          <pic:cNvPr descr="figuras/F34_prima_salarial.png" id="47" name="Picture"/>
                          <pic:cNvPicPr>
                            <a:picLocks noChangeArrowheads="1" noChangeAspect="1"/>
                          </pic:cNvPicPr>
                        </pic:nvPicPr>
                        <pic:blipFill>
                          <a:blip r:embed="rId45"/>
                          <a:stretch>
                            <a:fillRect/>
                          </a:stretch>
                        </pic:blipFill>
                        <pic:spPr bwMode="auto">
                          <a:xfrm>
                            <a:off x="0" y="0"/>
                            <a:ext cx="5334000" cy="3217333"/>
                          </a:xfrm>
                          <a:prstGeom prst="rect">
                            <a:avLst/>
                          </a:prstGeom>
                          <a:noFill/>
                          <a:ln w="9525">
                            <a:noFill/>
                            <a:headEnd/>
                            <a:tailEnd/>
                          </a:ln>
                        </pic:spPr>
                      </pic:pic>
                    </a:graphicData>
                  </a:graphic>
                </wp:inline>
              </w:drawing>
            </w:r>
          </w:p>
          <w:p>
            <w:pPr>
              <w:jc w:val="center"/>
            </w:pPr>
            <w:pPr>
              <w:jc w:val="left"/>
              <w:spacing w:before="200"/>
              <w:pStyle w:val="ImageCaption"/>
            </w:pPr>
            <w:r>
              <w:t xml:space="preserve">Figura 4: Prima salarial del núcleo software vs. EC completo (2022-2025).</w:t>
            </w:r>
          </w:p>
          <w:bookmarkEnd w:id="48"/>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Año</w:t>
            </w:r>
          </w:p>
        </w:tc>
        <w:tc>
          <w:tcPr/>
          <w:p>
            <w:pPr>
              <w:pStyle w:val="Compact"/>
              <w:jc w:val="right"/>
            </w:pPr>
            <w:r>
              <w:t xml:space="preserve">Núcleo software</w:t>
            </w:r>
          </w:p>
        </w:tc>
        <w:tc>
          <w:tcPr/>
          <w:p>
            <w:pPr>
              <w:pStyle w:val="Compact"/>
              <w:jc w:val="right"/>
            </w:pPr>
            <w:r>
              <w:t xml:space="preserve">EC completo</w:t>
            </w:r>
          </w:p>
        </w:tc>
      </w:tr>
      <w:tr>
        <w:tc>
          <w:tcPr/>
          <w:p>
            <w:pPr>
              <w:pStyle w:val="Compact"/>
              <w:jc w:val="center"/>
            </w:pPr>
            <w:r>
              <w:t xml:space="preserve">2022</w:t>
            </w:r>
          </w:p>
        </w:tc>
        <w:tc>
          <w:tcPr/>
          <w:p>
            <w:pPr>
              <w:pStyle w:val="Compact"/>
              <w:jc w:val="right"/>
            </w:pPr>
            <w:r>
              <w:rPr>
                <w:b/>
                <w:bCs/>
              </w:rPr>
              <w:t xml:space="preserve">+53,67%</w:t>
            </w:r>
          </w:p>
        </w:tc>
        <w:tc>
          <w:tcPr/>
          <w:p>
            <w:pPr>
              <w:pStyle w:val="Compact"/>
              <w:jc w:val="right"/>
            </w:pPr>
            <w:r>
              <w:t xml:space="preserve">−2,41%</w:t>
            </w:r>
          </w:p>
        </w:tc>
      </w:tr>
      <w:tr>
        <w:tc>
          <w:tcPr/>
          <w:p>
            <w:pPr>
              <w:pStyle w:val="Compact"/>
              <w:jc w:val="center"/>
            </w:pPr>
            <w:r>
              <w:t xml:space="preserve">2023</w:t>
            </w:r>
          </w:p>
        </w:tc>
        <w:tc>
          <w:tcPr/>
          <w:p>
            <w:pPr>
              <w:pStyle w:val="Compact"/>
              <w:jc w:val="right"/>
            </w:pPr>
            <w:r>
              <w:rPr>
                <w:b/>
                <w:bCs/>
              </w:rPr>
              <w:t xml:space="preserve">+20,04%</w:t>
            </w:r>
          </w:p>
        </w:tc>
        <w:tc>
          <w:tcPr/>
          <w:p>
            <w:pPr>
              <w:pStyle w:val="Compact"/>
              <w:jc w:val="right"/>
            </w:pPr>
            <w:r>
              <w:t xml:space="preserve">−6,59%</w:t>
            </w:r>
          </w:p>
        </w:tc>
      </w:tr>
      <w:tr>
        <w:tc>
          <w:tcPr/>
          <w:p>
            <w:pPr>
              <w:pStyle w:val="Compact"/>
              <w:jc w:val="center"/>
            </w:pPr>
            <w:r>
              <w:t xml:space="preserve">2024</w:t>
            </w:r>
          </w:p>
        </w:tc>
        <w:tc>
          <w:tcPr/>
          <w:p>
            <w:pPr>
              <w:pStyle w:val="Compact"/>
              <w:jc w:val="right"/>
            </w:pPr>
            <w:r>
              <w:rPr>
                <w:b/>
                <w:bCs/>
              </w:rPr>
              <w:t xml:space="preserve">+45,75%</w:t>
            </w:r>
          </w:p>
        </w:tc>
        <w:tc>
          <w:tcPr/>
          <w:p>
            <w:pPr>
              <w:pStyle w:val="Compact"/>
              <w:jc w:val="right"/>
            </w:pPr>
            <w:r>
              <w:t xml:space="preserve">+21,38%</w:t>
            </w:r>
          </w:p>
        </w:tc>
      </w:tr>
      <w:tr>
        <w:tc>
          <w:tcPr/>
          <w:p>
            <w:pPr>
              <w:pStyle w:val="Compact"/>
              <w:jc w:val="center"/>
            </w:pPr>
            <w:r>
              <w:t xml:space="preserve">2025</w:t>
            </w:r>
          </w:p>
        </w:tc>
        <w:tc>
          <w:tcPr/>
          <w:p>
            <w:pPr>
              <w:pStyle w:val="Compact"/>
              <w:jc w:val="right"/>
            </w:pPr>
            <w:r>
              <w:rPr>
                <w:b/>
                <w:bCs/>
              </w:rPr>
              <w:t xml:space="preserve">+29,00%</w:t>
            </w:r>
          </w:p>
        </w:tc>
        <w:tc>
          <w:tcPr/>
          <w:p>
            <w:pPr>
              <w:pStyle w:val="Compact"/>
              <w:jc w:val="right"/>
            </w:pPr>
            <w:r>
              <w:t xml:space="preserve">+8,36%</w:t>
            </w:r>
          </w:p>
        </w:tc>
      </w:tr>
    </w:tbl>
    <w:p>
      <w:pPr>
        <w:pStyle w:val="BodyText"/>
      </w:pPr>
      <w:r>
        <w:t xml:space="preserve">La prima del núcleo software se mantuvo</w:t>
      </w:r>
      <w:r>
        <w:t xml:space="preserve"> </w:t>
      </w:r>
      <w:r>
        <w:rPr>
          <w:b/>
          <w:bCs/>
        </w:rPr>
        <w:t xml:space="preserve">siempre positiva</w:t>
      </w:r>
      <w:r>
        <w:t xml:space="preserve"> </w:t>
      </w:r>
      <w:r>
        <w:t xml:space="preserve">en el período, con un promedio histórico de</w:t>
      </w:r>
      <w:r>
        <w:t xml:space="preserve"> </w:t>
      </w:r>
      <w:r>
        <w:rPr>
          <w:b/>
          <w:bCs/>
        </w:rPr>
        <w:t xml:space="preserve">+28,6%</w:t>
      </w:r>
      <w:r>
        <w:t xml:space="preserve">.</w:t>
      </w:r>
    </w:p>
    <w:p>
      <w:pPr>
        <w:pStyle w:val="BodyText"/>
      </w:pPr>
      <w:r>
        <w:rPr>
          <w:b/>
          <w:bCs/>
        </w:rPr>
        <w:t xml:space="preserve">Frase clave</w:t>
      </w:r>
      <w:r>
        <w:t xml:space="preserve">: un trabajador del núcleo software gana, en promedio,</w:t>
      </w:r>
      <w:r>
        <w:t xml:space="preserve"> </w:t>
      </w:r>
      <w:r>
        <w:rPr>
          <w:b/>
          <w:bCs/>
        </w:rPr>
        <w:t xml:space="preserve">un 29% más</w:t>
      </w:r>
      <w:r>
        <w:t xml:space="preserve"> </w:t>
      </w:r>
      <w:r>
        <w:t xml:space="preserve">que el trabajador promedio de La Rioja.</w:t>
      </w:r>
    </w:p>
    <w:bookmarkEnd w:id="49"/>
    <w:bookmarkEnd w:id="50"/>
    <w:bookmarkStart w:id="55" w:name="sec-federal"/>
    <w:p>
      <w:pPr>
        <w:pStyle w:val="Heading1"/>
      </w:pPr>
      <w:r>
        <w:t xml:space="preserve">6. Comparación federal</w:t>
      </w:r>
    </w:p>
    <w:tbl>
      <w:tblPr>
        <w:tblStyle w:val="Table"/>
        <w:tblW w:type="pct" w:w="5000"/>
        <w:tblLayout w:type="fixed"/>
        <w:tblLook w:firstRow="0" w:lastRow="0" w:firstColumn="0" w:lastColumn="0" w:noHBand="0" w:noVBand="0" w:val="0000"/>
      </w:tblPr>
      <w:tblGrid>
        <w:gridCol w:w="7920"/>
      </w:tblGrid>
      <w:tr>
        <w:tc>
          <w:tcPr/>
          <w:bookmarkStart w:id="54" w:name="fig-intensidad"/>
          <w:p>
            <w:pPr>
              <w:pStyle w:val="Compact"/>
              <w:jc w:val="center"/>
            </w:pPr>
            <w:r>
              <w:drawing>
                <wp:inline>
                  <wp:extent cx="5334000" cy="3238103"/>
                  <wp:effectExtent b="0" l="0" r="0" t="0"/>
                  <wp:docPr descr="" title="" id="52" name="Picture"/>
                  <a:graphic>
                    <a:graphicData uri="http://schemas.openxmlformats.org/drawingml/2006/picture">
                      <pic:pic>
                        <pic:nvPicPr>
                          <pic:cNvPr descr="figuras/F37_intensidad.png" id="53" name="Picture"/>
                          <pic:cNvPicPr>
                            <a:picLocks noChangeArrowheads="1" noChangeAspect="1"/>
                          </pic:cNvPicPr>
                        </pic:nvPicPr>
                        <pic:blipFill>
                          <a:blip r:embed="rId51"/>
                          <a:stretch>
                            <a:fillRect/>
                          </a:stretch>
                        </pic:blipFill>
                        <pic:spPr bwMode="auto">
                          <a:xfrm>
                            <a:off x="0" y="0"/>
                            <a:ext cx="5334000" cy="3238103"/>
                          </a:xfrm>
                          <a:prstGeom prst="rect">
                            <a:avLst/>
                          </a:prstGeom>
                          <a:noFill/>
                          <a:ln w="9525">
                            <a:noFill/>
                            <a:headEnd/>
                            <a:tailEnd/>
                          </a:ln>
                        </pic:spPr>
                      </pic:pic>
                    </a:graphicData>
                  </a:graphic>
                </wp:inline>
              </w:drawing>
            </w:r>
          </w:p>
          <w:p>
            <w:pPr>
              <w:jc w:val="center"/>
            </w:pPr>
            <w:pPr>
              <w:jc w:val="left"/>
              <w:spacing w:before="200"/>
              <w:pStyle w:val="ImageCaption"/>
            </w:pPr>
            <w:r>
              <w:t xml:space="preserve">Figura 5: Intensidad empresarial EC en 9 jurisdicciones (2024). La Rioja en turquesa.</w:t>
            </w:r>
          </w:p>
          <w:bookmarkEnd w:id="54"/>
        </w:tc>
      </w:tr>
    </w:tbl>
    <w:p>
      <w:pPr>
        <w:pStyle w:val="BodyText"/>
      </w:pP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Provincia</w:t>
            </w:r>
          </w:p>
        </w:tc>
        <w:tc>
          <w:tcPr/>
          <w:p>
            <w:pPr>
              <w:pStyle w:val="Compact"/>
              <w:jc w:val="right"/>
            </w:pPr>
            <w:r>
              <w:t xml:space="preserve">2022</w:t>
            </w:r>
          </w:p>
        </w:tc>
        <w:tc>
          <w:tcPr/>
          <w:p>
            <w:pPr>
              <w:pStyle w:val="Compact"/>
              <w:jc w:val="right"/>
            </w:pPr>
            <w:r>
              <w:t xml:space="preserve">2024</w:t>
            </w:r>
          </w:p>
        </w:tc>
        <w:tc>
          <w:tcPr/>
          <w:p>
            <w:pPr>
              <w:pStyle w:val="Compact"/>
              <w:jc w:val="right"/>
            </w:pPr>
            <w:r>
              <w:t xml:space="preserve">2025</w:t>
            </w:r>
          </w:p>
        </w:tc>
        <w:tc>
          <w:tcPr/>
          <w:p>
            <w:pPr>
              <w:pStyle w:val="Compact"/>
              <w:jc w:val="right"/>
            </w:pPr>
            <w:r>
              <w:t xml:space="preserve">Δ pp</w:t>
            </w:r>
          </w:p>
        </w:tc>
      </w:tr>
      <w:tr>
        <w:tc>
          <w:tcPr/>
          <w:p>
            <w:pPr>
              <w:pStyle w:val="Compact"/>
              <w:jc w:val="left"/>
            </w:pPr>
            <w:r>
              <w:t xml:space="preserve">CABA</w:t>
            </w:r>
          </w:p>
        </w:tc>
        <w:tc>
          <w:tcPr/>
          <w:p>
            <w:pPr>
              <w:pStyle w:val="Compact"/>
              <w:jc w:val="right"/>
            </w:pPr>
            <w:r>
              <w:t xml:space="preserve">67,30</w:t>
            </w:r>
          </w:p>
        </w:tc>
        <w:tc>
          <w:tcPr/>
          <w:p>
            <w:pPr>
              <w:pStyle w:val="Compact"/>
              <w:jc w:val="right"/>
            </w:pPr>
            <w:r>
              <w:t xml:space="preserve">67,95</w:t>
            </w:r>
          </w:p>
        </w:tc>
        <w:tc>
          <w:tcPr/>
          <w:p>
            <w:pPr>
              <w:pStyle w:val="Compact"/>
              <w:jc w:val="right"/>
            </w:pPr>
            <w:r>
              <w:t xml:space="preserve">68,64</w:t>
            </w:r>
          </w:p>
        </w:tc>
        <w:tc>
          <w:tcPr/>
          <w:p>
            <w:pPr>
              <w:pStyle w:val="Compact"/>
              <w:jc w:val="right"/>
            </w:pPr>
            <w:r>
              <w:t xml:space="preserve">+1,34</w:t>
            </w:r>
          </w:p>
        </w:tc>
      </w:tr>
      <w:tr>
        <w:tc>
          <w:tcPr/>
          <w:p>
            <w:pPr>
              <w:pStyle w:val="Compact"/>
              <w:jc w:val="left"/>
            </w:pPr>
            <w:r>
              <w:t xml:space="preserve">Catamarca</w:t>
            </w:r>
          </w:p>
        </w:tc>
        <w:tc>
          <w:tcPr/>
          <w:p>
            <w:pPr>
              <w:pStyle w:val="Compact"/>
              <w:jc w:val="right"/>
            </w:pPr>
            <w:r>
              <w:t xml:space="preserve">39,18</w:t>
            </w:r>
          </w:p>
        </w:tc>
        <w:tc>
          <w:tcPr/>
          <w:p>
            <w:pPr>
              <w:pStyle w:val="Compact"/>
              <w:jc w:val="right"/>
            </w:pPr>
            <w:r>
              <w:t xml:space="preserve">43,18</w:t>
            </w:r>
          </w:p>
        </w:tc>
        <w:tc>
          <w:tcPr/>
          <w:p>
            <w:pPr>
              <w:pStyle w:val="Compact"/>
              <w:jc w:val="right"/>
            </w:pPr>
            <w:r>
              <w:t xml:space="preserve">44,69</w:t>
            </w:r>
          </w:p>
        </w:tc>
        <w:tc>
          <w:tcPr/>
          <w:p>
            <w:pPr>
              <w:pStyle w:val="Compact"/>
              <w:jc w:val="right"/>
            </w:pPr>
            <w:r>
              <w:t xml:space="preserve">+5,51</w:t>
            </w:r>
          </w:p>
        </w:tc>
      </w:tr>
      <w:tr>
        <w:tc>
          <w:tcPr/>
          <w:p>
            <w:pPr>
              <w:pStyle w:val="Compact"/>
              <w:jc w:val="left"/>
            </w:pPr>
            <w:r>
              <w:t xml:space="preserve">Salta</w:t>
            </w:r>
          </w:p>
        </w:tc>
        <w:tc>
          <w:tcPr/>
          <w:p>
            <w:pPr>
              <w:pStyle w:val="Compact"/>
              <w:jc w:val="right"/>
            </w:pPr>
            <w:r>
              <w:t xml:space="preserve">37,46</w:t>
            </w:r>
          </w:p>
        </w:tc>
        <w:tc>
          <w:tcPr/>
          <w:p>
            <w:pPr>
              <w:pStyle w:val="Compact"/>
              <w:jc w:val="right"/>
            </w:pPr>
            <w:r>
              <w:t xml:space="preserve">38,99</w:t>
            </w:r>
          </w:p>
        </w:tc>
        <w:tc>
          <w:tcPr/>
          <w:p>
            <w:pPr>
              <w:pStyle w:val="Compact"/>
              <w:jc w:val="right"/>
            </w:pPr>
            <w:r>
              <w:t xml:space="preserve">42,11</w:t>
            </w:r>
          </w:p>
        </w:tc>
        <w:tc>
          <w:tcPr/>
          <w:p>
            <w:pPr>
              <w:pStyle w:val="Compact"/>
              <w:jc w:val="right"/>
            </w:pPr>
            <w:r>
              <w:t xml:space="preserve">+4,65</w:t>
            </w:r>
          </w:p>
        </w:tc>
      </w:tr>
      <w:tr>
        <w:tc>
          <w:tcPr/>
          <w:p>
            <w:pPr>
              <w:pStyle w:val="Compact"/>
              <w:jc w:val="left"/>
            </w:pPr>
            <w:r>
              <w:t xml:space="preserve">Tucumán</w:t>
            </w:r>
          </w:p>
        </w:tc>
        <w:tc>
          <w:tcPr/>
          <w:p>
            <w:pPr>
              <w:pStyle w:val="Compact"/>
              <w:jc w:val="right"/>
            </w:pPr>
            <w:r>
              <w:t xml:space="preserve">34,93</w:t>
            </w:r>
          </w:p>
        </w:tc>
        <w:tc>
          <w:tcPr/>
          <w:p>
            <w:pPr>
              <w:pStyle w:val="Compact"/>
              <w:jc w:val="right"/>
            </w:pPr>
            <w:r>
              <w:t xml:space="preserve">35,74</w:t>
            </w:r>
          </w:p>
        </w:tc>
        <w:tc>
          <w:tcPr/>
          <w:p>
            <w:pPr>
              <w:pStyle w:val="Compact"/>
              <w:jc w:val="right"/>
            </w:pPr>
            <w:r>
              <w:t xml:space="preserve">34,88</w:t>
            </w:r>
          </w:p>
        </w:tc>
        <w:tc>
          <w:tcPr/>
          <w:p>
            <w:pPr>
              <w:pStyle w:val="Compact"/>
              <w:jc w:val="right"/>
            </w:pPr>
            <w:r>
              <w:t xml:space="preserve">−0,05</w:t>
            </w:r>
          </w:p>
        </w:tc>
      </w:tr>
      <w:tr>
        <w:tc>
          <w:tcPr/>
          <w:p>
            <w:pPr>
              <w:pStyle w:val="Compact"/>
              <w:jc w:val="left"/>
            </w:pPr>
            <w:r>
              <w:t xml:space="preserve">Córdoba</w:t>
            </w:r>
          </w:p>
        </w:tc>
        <w:tc>
          <w:tcPr/>
          <w:p>
            <w:pPr>
              <w:pStyle w:val="Compact"/>
              <w:jc w:val="right"/>
            </w:pPr>
            <w:r>
              <w:t xml:space="preserve">32,81</w:t>
            </w:r>
          </w:p>
        </w:tc>
        <w:tc>
          <w:tcPr/>
          <w:p>
            <w:pPr>
              <w:pStyle w:val="Compact"/>
              <w:jc w:val="right"/>
            </w:pPr>
            <w:r>
              <w:t xml:space="preserve">34,55</w:t>
            </w:r>
          </w:p>
        </w:tc>
        <w:tc>
          <w:tcPr/>
          <w:p>
            <w:pPr>
              <w:pStyle w:val="Compact"/>
              <w:jc w:val="right"/>
            </w:pPr>
            <w:r>
              <w:t xml:space="preserve">33,90</w:t>
            </w:r>
          </w:p>
        </w:tc>
        <w:tc>
          <w:tcPr/>
          <w:p>
            <w:pPr>
              <w:pStyle w:val="Compact"/>
              <w:jc w:val="right"/>
            </w:pPr>
            <w:r>
              <w:t xml:space="preserve">+1,09</w:t>
            </w:r>
          </w:p>
        </w:tc>
      </w:tr>
      <w:tr>
        <w:tc>
          <w:tcPr/>
          <w:p>
            <w:pPr>
              <w:pStyle w:val="Compact"/>
              <w:jc w:val="left"/>
            </w:pPr>
            <w:r>
              <w:t xml:space="preserve">Jujuy</w:t>
            </w:r>
          </w:p>
        </w:tc>
        <w:tc>
          <w:tcPr/>
          <w:p>
            <w:pPr>
              <w:pStyle w:val="Compact"/>
              <w:jc w:val="right"/>
            </w:pPr>
            <w:r>
              <w:t xml:space="preserve">31,32</w:t>
            </w:r>
          </w:p>
        </w:tc>
        <w:tc>
          <w:tcPr/>
          <w:p>
            <w:pPr>
              <w:pStyle w:val="Compact"/>
              <w:jc w:val="right"/>
            </w:pPr>
            <w:r>
              <w:t xml:space="preserve">33,12</w:t>
            </w:r>
          </w:p>
        </w:tc>
        <w:tc>
          <w:tcPr/>
          <w:p>
            <w:pPr>
              <w:pStyle w:val="Compact"/>
              <w:jc w:val="right"/>
            </w:pPr>
            <w:r>
              <w:t xml:space="preserve">32,22</w:t>
            </w:r>
          </w:p>
        </w:tc>
        <w:tc>
          <w:tcPr/>
          <w:p>
            <w:pPr>
              <w:pStyle w:val="Compact"/>
              <w:jc w:val="right"/>
            </w:pPr>
            <w:r>
              <w:t xml:space="preserve">+0,90</w:t>
            </w:r>
          </w:p>
        </w:tc>
      </w:tr>
      <w:tr>
        <w:tc>
          <w:tcPr/>
          <w:p>
            <w:pPr>
              <w:pStyle w:val="Compact"/>
              <w:jc w:val="left"/>
            </w:pPr>
            <w:r>
              <w:rPr>
                <w:b/>
                <w:bCs/>
              </w:rPr>
              <w:t xml:space="preserve">La Rioja</w:t>
            </w:r>
          </w:p>
        </w:tc>
        <w:tc>
          <w:tcPr/>
          <w:p>
            <w:pPr>
              <w:pStyle w:val="Compact"/>
              <w:jc w:val="right"/>
            </w:pPr>
            <w:r>
              <w:rPr>
                <w:b/>
                <w:bCs/>
              </w:rPr>
              <w:t xml:space="preserve">33,07</w:t>
            </w:r>
          </w:p>
        </w:tc>
        <w:tc>
          <w:tcPr/>
          <w:p>
            <w:pPr>
              <w:pStyle w:val="Compact"/>
              <w:jc w:val="right"/>
            </w:pPr>
            <w:r>
              <w:rPr>
                <w:b/>
                <w:bCs/>
              </w:rPr>
              <w:t xml:space="preserve">31,34</w:t>
            </w:r>
          </w:p>
        </w:tc>
        <w:tc>
          <w:tcPr/>
          <w:p>
            <w:pPr>
              <w:pStyle w:val="Compact"/>
              <w:jc w:val="right"/>
            </w:pPr>
            <w:r>
              <w:rPr>
                <w:b/>
                <w:bCs/>
              </w:rPr>
              <w:t xml:space="preserve">28,62</w:t>
            </w:r>
          </w:p>
        </w:tc>
        <w:tc>
          <w:tcPr/>
          <w:p>
            <w:pPr>
              <w:pStyle w:val="Compact"/>
              <w:jc w:val="right"/>
            </w:pPr>
            <w:r>
              <w:rPr>
                <w:b/>
                <w:bCs/>
              </w:rPr>
              <w:t xml:space="preserve">−4,45</w:t>
            </w:r>
          </w:p>
        </w:tc>
      </w:tr>
      <w:tr>
        <w:tc>
          <w:tcPr/>
          <w:p>
            <w:pPr>
              <w:pStyle w:val="Compact"/>
              <w:jc w:val="left"/>
            </w:pPr>
            <w:r>
              <w:t xml:space="preserve">Santa Fe</w:t>
            </w:r>
          </w:p>
        </w:tc>
        <w:tc>
          <w:tcPr/>
          <w:p>
            <w:pPr>
              <w:pStyle w:val="Compact"/>
              <w:jc w:val="right"/>
            </w:pPr>
            <w:r>
              <w:t xml:space="preserve">27,06</w:t>
            </w:r>
          </w:p>
        </w:tc>
        <w:tc>
          <w:tcPr/>
          <w:p>
            <w:pPr>
              <w:pStyle w:val="Compact"/>
              <w:jc w:val="right"/>
            </w:pPr>
            <w:r>
              <w:t xml:space="preserve">27,29</w:t>
            </w:r>
          </w:p>
        </w:tc>
        <w:tc>
          <w:tcPr/>
          <w:p>
            <w:pPr>
              <w:pStyle w:val="Compact"/>
              <w:jc w:val="right"/>
            </w:pPr>
            <w:r>
              <w:t xml:space="preserve">27,18</w:t>
            </w:r>
          </w:p>
        </w:tc>
        <w:tc>
          <w:tcPr/>
          <w:p>
            <w:pPr>
              <w:pStyle w:val="Compact"/>
              <w:jc w:val="right"/>
            </w:pPr>
            <w:r>
              <w:t xml:space="preserve">+0,12</w:t>
            </w:r>
          </w:p>
        </w:tc>
      </w:tr>
      <w:tr>
        <w:tc>
          <w:tcPr/>
          <w:p>
            <w:pPr>
              <w:pStyle w:val="Compact"/>
              <w:jc w:val="left"/>
            </w:pPr>
            <w:r>
              <w:t xml:space="preserve">Santiago del Estero</w:t>
            </w:r>
          </w:p>
        </w:tc>
        <w:tc>
          <w:tcPr/>
          <w:p>
            <w:pPr>
              <w:pStyle w:val="Compact"/>
              <w:jc w:val="right"/>
            </w:pPr>
            <w:r>
              <w:t xml:space="preserve">24,31</w:t>
            </w:r>
          </w:p>
        </w:tc>
        <w:tc>
          <w:tcPr/>
          <w:p>
            <w:pPr>
              <w:pStyle w:val="Compact"/>
              <w:jc w:val="right"/>
            </w:pPr>
            <w:r>
              <w:t xml:space="preserve">25,63</w:t>
            </w:r>
          </w:p>
        </w:tc>
        <w:tc>
          <w:tcPr/>
          <w:p>
            <w:pPr>
              <w:pStyle w:val="Compact"/>
              <w:jc w:val="right"/>
            </w:pPr>
            <w:r>
              <w:t xml:space="preserve">22,24</w:t>
            </w:r>
          </w:p>
        </w:tc>
        <w:tc>
          <w:tcPr/>
          <w:p>
            <w:pPr>
              <w:pStyle w:val="Compact"/>
              <w:jc w:val="right"/>
            </w:pPr>
            <w:r>
              <w:t xml:space="preserve">−2,07</w:t>
            </w:r>
          </w:p>
        </w:tc>
      </w:tr>
    </w:tbl>
    <w:p>
      <w:pPr>
        <w:pStyle w:val="BodyText"/>
      </w:pPr>
      <w:r>
        <w:rPr>
          <w:b/>
          <w:bCs/>
        </w:rPr>
        <w:t xml:space="preserve">Intensidad</w:t>
      </w:r>
      <w:r>
        <w:t xml:space="preserve"> </w:t>
      </w:r>
      <w:r>
        <w:t xml:space="preserve">= empresas EC por cada 1.000 empresas totales.</w:t>
      </w:r>
    </w:p>
    <w:p>
      <w:pPr>
        <w:pStyle w:val="BodyText"/>
      </w:pPr>
      <w:r>
        <w:t xml:space="preserve">La Rioja está en el</w:t>
      </w:r>
      <w:r>
        <w:t xml:space="preserve"> </w:t>
      </w:r>
      <w:r>
        <w:rPr>
          <w:b/>
          <w:bCs/>
        </w:rPr>
        <w:t xml:space="preserve">7° puesto de 9</w:t>
      </w:r>
      <w:r>
        <w:t xml:space="preserve">. Pero lo más importante es la</w:t>
      </w:r>
      <w:r>
        <w:t xml:space="preserve"> </w:t>
      </w:r>
      <w:r>
        <w:rPr>
          <w:b/>
          <w:bCs/>
        </w:rPr>
        <w:t xml:space="preserve">tendencia</w:t>
      </w:r>
      <w:r>
        <w:t xml:space="preserve">: perdió</w:t>
      </w:r>
      <w:r>
        <w:t xml:space="preserve"> </w:t>
      </w:r>
      <w:r>
        <w:rPr>
          <w:b/>
          <w:bCs/>
        </w:rPr>
        <w:t xml:space="preserve">−4,45 pp</w:t>
      </w:r>
      <w:r>
        <w:t xml:space="preserve"> </w:t>
      </w:r>
      <w:r>
        <w:t xml:space="preserve">entre 2022 y 2025, la peor caída del grupo.</w:t>
      </w:r>
    </w:p>
    <w:p>
      <w:pPr>
        <w:pStyle w:val="BodyText"/>
      </w:pPr>
      <w:r>
        <w:rPr>
          <w:b/>
          <w:bCs/>
        </w:rPr>
        <w:t xml:space="preserve">Dato positivo</w:t>
      </w:r>
      <w:r>
        <w:t xml:space="preserve">: La Rioja</w:t>
      </w:r>
      <w:r>
        <w:t xml:space="preserve"> </w:t>
      </w:r>
      <w:r>
        <w:rPr>
          <w:b/>
          <w:bCs/>
        </w:rPr>
        <w:t xml:space="preserve">supera a Santa Fe</w:t>
      </w:r>
      <w:r>
        <w:t xml:space="preserve"> </w:t>
      </w:r>
      <w:r>
        <w:t xml:space="preserve">(27,3‰), una provincia con una economía 15 veces más grande y con polo tecnológico consolidado.</w:t>
      </w:r>
    </w:p>
    <w:bookmarkEnd w:id="55"/>
    <w:bookmarkStart w:id="60" w:name="sec-coyuntura"/>
    <w:p>
      <w:pPr>
        <w:pStyle w:val="Heading1"/>
      </w:pPr>
      <w:r>
        <w:t xml:space="preserve">7. Coyuntura y contexto macro</w:t>
      </w:r>
    </w:p>
    <w:tbl>
      <w:tblPr>
        <w:tblStyle w:val="Table"/>
        <w:tblW w:type="pct" w:w="5000"/>
        <w:tblLayout w:type="fixed"/>
        <w:tblLook w:firstRow="0" w:lastRow="0" w:firstColumn="0" w:lastColumn="0" w:noHBand="0" w:noVBand="0" w:val="0000"/>
      </w:tblPr>
      <w:tblGrid>
        <w:gridCol w:w="7920"/>
      </w:tblGrid>
      <w:tr>
        <w:tc>
          <w:tcPr/>
          <w:bookmarkStart w:id="59" w:name="fig-coyuntura"/>
          <w:p>
            <w:pPr>
              <w:pStyle w:val="Compact"/>
              <w:jc w:val="center"/>
            </w:pPr>
            <w:r>
              <w:drawing>
                <wp:inline>
                  <wp:extent cx="5242560" cy="3279648"/>
                  <wp:effectExtent b="0" l="0" r="0" t="0"/>
                  <wp:docPr descr="" title="" id="57" name="Picture"/>
                  <a:graphic>
                    <a:graphicData uri="http://schemas.openxmlformats.org/drawingml/2006/picture">
                      <pic:pic>
                        <pic:nvPicPr>
                          <pic:cNvPr descr="figuras/F38_empleo_tendencia.png" id="58" name="Picture"/>
                          <pic:cNvPicPr>
                            <a:picLocks noChangeArrowheads="1" noChangeAspect="1"/>
                          </pic:cNvPicPr>
                        </pic:nvPicPr>
                        <pic:blipFill>
                          <a:blip r:embed="rId56"/>
                          <a:stretch>
                            <a:fillRect/>
                          </a:stretch>
                        </pic:blipFill>
                        <pic:spPr bwMode="auto">
                          <a:xfrm>
                            <a:off x="0" y="0"/>
                            <a:ext cx="5242560" cy="3279648"/>
                          </a:xfrm>
                          <a:prstGeom prst="rect">
                            <a:avLst/>
                          </a:prstGeom>
                          <a:noFill/>
                          <a:ln w="9525">
                            <a:noFill/>
                            <a:headEnd/>
                            <a:tailEnd/>
                          </a:ln>
                        </pic:spPr>
                      </pic:pic>
                    </a:graphicData>
                  </a:graphic>
                </wp:inline>
              </w:drawing>
            </w:r>
          </w:p>
          <w:p>
            <w:pPr>
              <w:jc w:val="center"/>
            </w:pPr>
            <w:pPr>
              <w:jc w:val="left"/>
              <w:spacing w:before="200"/>
              <w:pStyle w:val="ImageCaption"/>
            </w:pPr>
            <w:r>
              <w:t xml:space="preserve">Figura 6: Empleo formal privado — tendencia desestacionalizada y variación i.a. (2022-2026).</w:t>
            </w:r>
          </w:p>
          <w:bookmarkEnd w:id="59"/>
        </w:tc>
      </w:tr>
    </w:tbl>
    <w:p>
      <w:pPr>
        <w:pStyle w:val="BodyText"/>
      </w:pPr>
      <w:r>
        <w:t xml:space="preserve">El empleo privado formal de La Rioja atravesó</w:t>
      </w:r>
      <w:r>
        <w:t xml:space="preserve"> </w:t>
      </w:r>
      <w:r>
        <w:rPr>
          <w:b/>
          <w:bCs/>
        </w:rPr>
        <w:t xml:space="preserve">tres fases</w:t>
      </w:r>
      <w:r>
        <w:t xml:space="preserve"> </w:t>
      </w:r>
      <w:r>
        <w:t xml:space="preserve">entre 2022 y 2026:</w:t>
      </w:r>
    </w:p>
    <w:p>
      <w:pPr>
        <w:pStyle w:val="Compact"/>
        <w:numPr>
          <w:ilvl w:val="0"/>
          <w:numId w:val="1004"/>
        </w:numPr>
      </w:pPr>
      <w:r>
        <w:rPr>
          <w:b/>
          <w:bCs/>
        </w:rPr>
        <w:t xml:space="preserve">Auge (2022-2023)</w:t>
      </w:r>
      <w:r>
        <w:t xml:space="preserve">: crecimiento post-pandemia, pico en</w:t>
      </w:r>
      <w:r>
        <w:t xml:space="preserve"> </w:t>
      </w:r>
      <w:r>
        <w:rPr>
          <w:b/>
          <w:bCs/>
        </w:rPr>
        <w:t xml:space="preserve">mayo 2023 (34.329 puestos)</w:t>
      </w:r>
      <w:r>
        <w:t xml:space="preserve">.</w:t>
      </w:r>
    </w:p>
    <w:p>
      <w:pPr>
        <w:pStyle w:val="Compact"/>
        <w:numPr>
          <w:ilvl w:val="0"/>
          <w:numId w:val="1004"/>
        </w:numPr>
      </w:pPr>
      <w:r>
        <w:rPr>
          <w:b/>
          <w:bCs/>
        </w:rPr>
        <w:t xml:space="preserve">Caída (2024)</w:t>
      </w:r>
      <w:r>
        <w:t xml:space="preserve">: derrumbe con variaciones i.a. de hasta</w:t>
      </w:r>
      <w:r>
        <w:t xml:space="preserve"> </w:t>
      </w:r>
      <w:r>
        <w:rPr>
          <w:b/>
          <w:bCs/>
        </w:rPr>
        <w:t xml:space="preserve">−14,5%</w:t>
      </w:r>
      <w:r>
        <w:t xml:space="preserve">.</w:t>
      </w:r>
    </w:p>
    <w:p>
      <w:pPr>
        <w:pStyle w:val="Compact"/>
        <w:numPr>
          <w:ilvl w:val="0"/>
          <w:numId w:val="1004"/>
        </w:numPr>
      </w:pPr>
      <w:r>
        <w:rPr>
          <w:b/>
          <w:bCs/>
        </w:rPr>
        <w:t xml:space="preserve">Meseta (2025-2026)</w:t>
      </w:r>
      <w:r>
        <w:t xml:space="preserve">: estabilización en torno a</w:t>
      </w:r>
      <w:r>
        <w:t xml:space="preserve"> </w:t>
      </w:r>
      <w:r>
        <w:rPr>
          <w:b/>
          <w:bCs/>
        </w:rPr>
        <w:t xml:space="preserve">29.000-30.000 puestos</w:t>
      </w:r>
      <w:r>
        <w:t xml:space="preserve">, con i.a. cerca de cero.</w:t>
      </w:r>
    </w:p>
    <w:p>
      <w:pPr>
        <w:pStyle w:val="FirstParagraph"/>
      </w:pPr>
      <w:r>
        <w:t xml:space="preserve">En</w:t>
      </w:r>
      <w:r>
        <w:t xml:space="preserve"> </w:t>
      </w:r>
      <w:r>
        <w:rPr>
          <w:b/>
          <w:bCs/>
        </w:rPr>
        <w:t xml:space="preserve">mayo 2026</w:t>
      </w:r>
      <w:r>
        <w:t xml:space="preserve"> </w:t>
      </w:r>
      <w:r>
        <w:t xml:space="preserve">el stock fue de</w:t>
      </w:r>
      <w:r>
        <w:t xml:space="preserve"> </w:t>
      </w:r>
      <w:r>
        <w:rPr>
          <w:b/>
          <w:bCs/>
        </w:rPr>
        <w:t xml:space="preserve">30.305 puestos</w:t>
      </w:r>
      <w:r>
        <w:t xml:space="preserve">, con una variación interanual de</w:t>
      </w:r>
      <w:r>
        <w:t xml:space="preserve"> </w:t>
      </w:r>
      <w:r>
        <w:rPr>
          <w:b/>
          <w:bCs/>
        </w:rPr>
        <w:t xml:space="preserve">−1,7%</w:t>
      </w:r>
      <w:r>
        <w:t xml:space="preserve">. La caída acumulada desde el pico histórico (marzo 2017, 38.006) es de</w:t>
      </w:r>
      <w:r>
        <w:t xml:space="preserve"> </w:t>
      </w:r>
      <w:r>
        <w:rPr>
          <w:b/>
          <w:bCs/>
        </w:rPr>
        <w:t xml:space="preserve">−24,0%</w:t>
      </w:r>
      <w:r>
        <w:t xml:space="preserve">.</w:t>
      </w:r>
    </w:p>
    <w:p>
      <w:pPr>
        <w:pStyle w:val="BodyText"/>
      </w:pPr>
      <w:r>
        <w:rPr>
          <w:b/>
          <w:bCs/>
        </w:rPr>
        <w:t xml:space="preserve">El sector EC resiste mejor que el promedio</w:t>
      </w:r>
      <w:r>
        <w:t xml:space="preserve">: mientras el empleo provincial cae, el empleo EC crece o se mantiene.</w:t>
      </w:r>
    </w:p>
    <w:bookmarkEnd w:id="60"/>
    <w:bookmarkStart w:id="63" w:name="sec-conclusiones"/>
    <w:p>
      <w:pPr>
        <w:pStyle w:val="Heading1"/>
      </w:pPr>
      <w:r>
        <w:t xml:space="preserve">8. Conclusiones y recomendaciones</w:t>
      </w:r>
    </w:p>
    <w:bookmarkStart w:id="61" w:name="conclusiones"/>
    <w:p>
      <w:pPr>
        <w:pStyle w:val="Heading2"/>
      </w:pPr>
      <w:r>
        <w:t xml:space="preserve">8.1 Conclusiones</w:t>
      </w:r>
    </w:p>
    <w:p>
      <w:pPr>
        <w:numPr>
          <w:ilvl w:val="0"/>
          <w:numId w:val="1005"/>
        </w:numPr>
      </w:pPr>
      <w:r>
        <w:rPr>
          <w:b/>
          <w:bCs/>
        </w:rPr>
        <w:t xml:space="preserve">Empleo EC: 521 puestos (1,93% del provincial).</w:t>
      </w:r>
      <w:r>
        <w:t xml:space="preserve"> </w:t>
      </w:r>
      <w:r>
        <w:t xml:space="preserve">Crecimiento de +46,4% desde 2019, pero con pico en 2023 y meseta posterior.</w:t>
      </w:r>
    </w:p>
    <w:p>
      <w:pPr>
        <w:numPr>
          <w:ilvl w:val="0"/>
          <w:numId w:val="1005"/>
        </w:numPr>
      </w:pPr>
      <w:r>
        <w:rPr>
          <w:b/>
          <w:bCs/>
        </w:rPr>
        <w:t xml:space="preserve">Núcleo software real: 63,8 puestos (12,2%).</w:t>
      </w:r>
      <w:r>
        <w:t xml:space="preserve"> </w:t>
      </w:r>
      <w:r>
        <w:t xml:space="preserve">El resto son proxies: arquitectura, ingeniería, servicios empresariales. El conteo de 521 es un techo superior.</w:t>
      </w:r>
    </w:p>
    <w:p>
      <w:pPr>
        <w:numPr>
          <w:ilvl w:val="0"/>
          <w:numId w:val="1005"/>
        </w:numPr>
      </w:pPr>
      <w:r>
        <w:rPr>
          <w:b/>
          <w:bCs/>
        </w:rPr>
        <w:t xml:space="preserve">Prima salarial sostenida: +29,0% (2025).</w:t>
      </w:r>
      <w:r>
        <w:t xml:space="preserve"> </w:t>
      </w:r>
      <w:r>
        <w:t xml:space="preserve">El núcleo software paga consistentemente por encima del promedio provincial, con promedio histórico de +28,6%.</w:t>
      </w:r>
    </w:p>
    <w:p>
      <w:pPr>
        <w:numPr>
          <w:ilvl w:val="0"/>
          <w:numId w:val="1005"/>
        </w:numPr>
      </w:pPr>
      <w:r>
        <w:rPr>
          <w:b/>
          <w:bCs/>
        </w:rPr>
        <w:t xml:space="preserve">El EC resiste mejor la recesión.</w:t>
      </w:r>
      <w:r>
        <w:t xml:space="preserve"> </w:t>
      </w:r>
      <w:r>
        <w:t xml:space="preserve">En 2025, empleo EC +3,0% vs. empleo provincial −3,4%.</w:t>
      </w:r>
    </w:p>
    <w:p>
      <w:pPr>
        <w:numPr>
          <w:ilvl w:val="0"/>
          <w:numId w:val="1005"/>
        </w:numPr>
      </w:pPr>
      <w:r>
        <w:rPr>
          <w:b/>
          <w:bCs/>
        </w:rPr>
        <w:t xml:space="preserve">Peor desempeño federal en tendencia.</w:t>
      </w:r>
      <w:r>
        <w:t xml:space="preserve"> </w:t>
      </w:r>
      <w:r>
        <w:t xml:space="preserve">La Rioja perdió −4,45 pp de intensidad EC entre 2022 y 2025, la peor caída de 9 jurisdicciones.</w:t>
      </w:r>
    </w:p>
    <w:bookmarkEnd w:id="61"/>
    <w:bookmarkStart w:id="62" w:name="recomendaciones-de-política"/>
    <w:p>
      <w:pPr>
        <w:pStyle w:val="Heading2"/>
      </w:pPr>
      <w:r>
        <w:t xml:space="preserve">8.2 Recomendaciones de política</w:t>
      </w:r>
    </w:p>
    <w:p>
      <w:pPr>
        <w:numPr>
          <w:ilvl w:val="0"/>
          <w:numId w:val="1006"/>
        </w:numPr>
      </w:pPr>
      <w:r>
        <w:rPr>
          <w:b/>
          <w:bCs/>
        </w:rPr>
        <w:t xml:space="preserve">Focalizar en el núcleo software</w:t>
      </w:r>
      <w:r>
        <w:t xml:space="preserve"> </w:t>
      </w:r>
      <w:r>
        <w:t xml:space="preserve">(7220, 7250, 7290). Son 63,8 puestos reales, no 521. La política pública debería concentrarse en esas actividades.</w:t>
      </w:r>
    </w:p>
    <w:p>
      <w:pPr>
        <w:numPr>
          <w:ilvl w:val="0"/>
          <w:numId w:val="1006"/>
        </w:numPr>
      </w:pPr>
      <w:r>
        <w:rPr>
          <w:b/>
          <w:bCs/>
        </w:rPr>
        <w:t xml:space="preserve">Escalar las 28 empresas de software existentes.</w:t>
      </w:r>
      <w:r>
        <w:t xml:space="preserve"> </w:t>
      </w:r>
      <w:r>
        <w:t xml:space="preserve">Antes que crear nuevas firmas, apuntalar las que ya están. El bloque creció +367% desde 2019 pero cayó a 25 empresas en 2025.</w:t>
      </w:r>
    </w:p>
    <w:p>
      <w:pPr>
        <w:numPr>
          <w:ilvl w:val="0"/>
          <w:numId w:val="1006"/>
        </w:numPr>
      </w:pPr>
      <w:r>
        <w:rPr>
          <w:b/>
          <w:bCs/>
        </w:rPr>
        <w:t xml:space="preserve">Generar talento local.</w:t>
      </w:r>
      <w:r>
        <w:t xml:space="preserve"> </w:t>
      </w:r>
      <w:r>
        <w:t xml:space="preserve">La prima del +29% indica escasez de informáticos calificados. Programas de formación específica pueden ampliar la oferta y sostener el diferencial.</w:t>
      </w:r>
    </w:p>
    <w:p>
      <w:pPr>
        <w:numPr>
          <w:ilvl w:val="0"/>
          <w:numId w:val="1006"/>
        </w:numPr>
      </w:pPr>
      <w:r>
        <w:rPr>
          <w:b/>
          <w:bCs/>
        </w:rPr>
        <w:t xml:space="preserve">Aprovechar la ventana de conectividad.</w:t>
      </w:r>
      <w:r>
        <w:t xml:space="preserve"> </w:t>
      </w:r>
      <w:r>
        <w:t xml:space="preserve">La fibra óptica creció +188,7% en 4 años. Es el soporte físico para captar empleo remoto de empresas de otras provincias y del exterior.</w:t>
      </w:r>
    </w:p>
    <w:p>
      <w:pPr>
        <w:numPr>
          <w:ilvl w:val="0"/>
          <w:numId w:val="1006"/>
        </w:numPr>
      </w:pPr>
      <w:r>
        <w:rPr>
          <w:b/>
          <w:bCs/>
        </w:rPr>
        <w:t xml:space="preserve">Frenar la caída de masa crítica.</w:t>
      </w:r>
      <w:r>
        <w:t xml:space="preserve"> </w:t>
      </w:r>
      <w:r>
        <w:t xml:space="preserve">El sector perdió −17,6% de empresas entre 2024 y 2025. Sin masa crítica, no hay ecosistema.</w:t>
      </w:r>
    </w:p>
    <w:bookmarkEnd w:id="62"/>
    <w:bookmarkEnd w:id="63"/>
    <w:bookmarkStart w:id="66" w:name="sec-anexo"/>
    <w:p>
      <w:pPr>
        <w:pStyle w:val="Heading1"/>
      </w:pPr>
      <w:r>
        <w:t xml:space="preserve">9. Anexo A — Metodología</w:t>
      </w:r>
    </w:p>
    <w:bookmarkStart w:id="64" w:name="cómo-se-calculó-el-521"/>
    <w:p>
      <w:pPr>
        <w:pStyle w:val="Heading2"/>
      </w:pPr>
      <w:r>
        <w:t xml:space="preserve">9.1 Cómo se calculó el 521</w:t>
      </w:r>
    </w:p>
    <w:p>
      <w:pPr>
        <w:pStyle w:val="FirstParagraph"/>
      </w:pPr>
      <w:r>
        <w:rPr>
          <w:b/>
          <w:bCs/>
        </w:rPr>
        <w:t xml:space="preserve">Paso 1</w:t>
      </w:r>
      <w:r>
        <w:t xml:space="preserve"> </w:t>
      </w:r>
      <w:r>
        <w:t xml:space="preserve">— Se descargó el archivo</w:t>
      </w:r>
      <w:r>
        <w:t xml:space="preserve"> </w:t>
      </w:r>
      <w:r>
        <w:rPr>
          <w:rStyle w:val="VerbatimChar"/>
        </w:rPr>
        <w:t xml:space="preserve">provinciales_serie_empleo_trimestral_4dig_7.xlsx</w:t>
      </w:r>
      <w:r>
        <w:t xml:space="preserve"> </w:t>
      </w:r>
      <w:r>
        <w:t xml:space="preserve">del SIPA-OEDE.</w:t>
      </w:r>
    </w:p>
    <w:p>
      <w:pPr>
        <w:pStyle w:val="BodyText"/>
      </w:pPr>
      <w:r>
        <w:rPr>
          <w:b/>
          <w:bCs/>
        </w:rPr>
        <w:t xml:space="preserve">Paso 2</w:t>
      </w:r>
      <w:r>
        <w:t xml:space="preserve"> </w:t>
      </w:r>
      <w:r>
        <w:t xml:space="preserve">— Se filtró la hoja</w:t>
      </w:r>
      <w:r>
        <w:t xml:space="preserve"> </w:t>
      </w:r>
      <w:r>
        <w:t xml:space="preserve">“La Rioja”</w:t>
      </w:r>
      <w:r>
        <w:t xml:space="preserve">.</w:t>
      </w:r>
    </w:p>
    <w:p>
      <w:pPr>
        <w:pStyle w:val="BodyText"/>
      </w:pPr>
      <w:r>
        <w:rPr>
          <w:b/>
          <w:bCs/>
        </w:rPr>
        <w:t xml:space="preserve">Paso 3</w:t>
      </w:r>
      <w:r>
        <w:t xml:space="preserve"> </w:t>
      </w:r>
      <w:r>
        <w:t xml:space="preserve">— Se seleccionaron los 8 códigos CIIU de la definición AFIP-DGIP (ahora ARCA-DGIP).</w:t>
      </w:r>
    </w:p>
    <w:p>
      <w:pPr>
        <w:pStyle w:val="BodyText"/>
      </w:pPr>
      <w:r>
        <w:rPr>
          <w:b/>
          <w:bCs/>
        </w:rPr>
        <w:t xml:space="preserve">Paso 4</w:t>
      </w:r>
      <w:r>
        <w:t xml:space="preserve"> </w:t>
      </w:r>
      <w:r>
        <w:t xml:space="preserve">— Para cada código, se tomaron los 4 trimestres de 2025.</w:t>
      </w:r>
    </w:p>
    <w:p>
      <w:pPr>
        <w:pStyle w:val="BodyText"/>
      </w:pPr>
      <w:r>
        <w:rPr>
          <w:b/>
          <w:bCs/>
        </w:rPr>
        <w:t xml:space="preserve">Paso 5</w:t>
      </w:r>
      <w:r>
        <w:t xml:space="preserve"> </w:t>
      </w:r>
      <w:r>
        <w:t xml:space="preserve">— Se calculó el promedio simple de los trimestres con dato disponible.</w:t>
      </w:r>
    </w:p>
    <w:p>
      <w:pPr>
        <w:pStyle w:val="BodyText"/>
      </w:pPr>
      <w:r>
        <w:rPr>
          <w:b/>
          <w:bCs/>
        </w:rPr>
        <w:t xml:space="preserve">Paso 6</w:t>
      </w:r>
      <w:r>
        <w:t xml:space="preserve"> </w:t>
      </w:r>
      <w:r>
        <w:t xml:space="preserve">— Se sumaron los 8 promedios para obtener el total EC 2025.</w:t>
      </w:r>
    </w:p>
    <w:bookmarkEnd w:id="64"/>
    <w:bookmarkStart w:id="65" w:name="limitaciones"/>
    <w:p>
      <w:pPr>
        <w:pStyle w:val="Heading2"/>
      </w:pPr>
      <w:r>
        <w:t xml:space="preserve">9.2 Limitaciones</w:t>
      </w:r>
    </w:p>
    <w:p>
      <w:pPr>
        <w:numPr>
          <w:ilvl w:val="0"/>
          <w:numId w:val="1007"/>
        </w:numPr>
      </w:pPr>
      <w:r>
        <w:rPr>
          <w:b/>
          <w:bCs/>
        </w:rPr>
        <w:t xml:space="preserve">Proxies 7421 y 7499</w:t>
      </w:r>
      <w:r>
        <w:t xml:space="preserve">: agrupan arquitectura, ingeniería, geología, diseño, traducción, cobranzas. No son EC en sentido estricto.</w:t>
      </w:r>
    </w:p>
    <w:p>
      <w:pPr>
        <w:numPr>
          <w:ilvl w:val="0"/>
          <w:numId w:val="1007"/>
        </w:numPr>
      </w:pPr>
      <w:r>
        <w:rPr>
          <w:b/>
          <w:bCs/>
        </w:rPr>
        <w:t xml:space="preserve">Sin datos en 7210, 7300, 7430</w:t>
      </w:r>
      <w:r>
        <w:t xml:space="preserve">: no registran empleo asalariado privado en La Rioja.</w:t>
      </w:r>
    </w:p>
    <w:p>
      <w:pPr>
        <w:numPr>
          <w:ilvl w:val="0"/>
          <w:numId w:val="1007"/>
        </w:numPr>
      </w:pPr>
      <w:r>
        <w:rPr>
          <w:b/>
          <w:bCs/>
        </w:rPr>
        <w:t xml:space="preserve">2025 preliminar</w:t>
      </w:r>
      <w:r>
        <w:t xml:space="preserve">: los datos pueden ser revisados por OEDE.</w:t>
      </w:r>
    </w:p>
    <w:p>
      <w:pPr>
        <w:numPr>
          <w:ilvl w:val="0"/>
          <w:numId w:val="1007"/>
        </w:numPr>
      </w:pPr>
      <w:r>
        <w:rPr>
          <w:b/>
          <w:bCs/>
        </w:rPr>
        <w:t xml:space="preserve">Salario promedio, no mediana</w:t>
      </w:r>
      <w:r>
        <w:t xml:space="preserve">: sensible a cambios en composición.</w:t>
      </w:r>
    </w:p>
    <w:p>
      <w:pPr>
        <w:numPr>
          <w:ilvl w:val="0"/>
          <w:numId w:val="1007"/>
        </w:numPr>
      </w:pPr>
      <w:r>
        <w:rPr>
          <w:b/>
          <w:bCs/>
        </w:rPr>
        <w:t xml:space="preserve">El 521 es un techo superior</w:t>
      </w:r>
      <w:r>
        <w:t xml:space="preserve">: el núcleo real son 63,8 puestos.</w:t>
      </w:r>
    </w:p>
    <w:bookmarkEnd w:id="65"/>
    <w:bookmarkEnd w:id="66"/>
    <w:bookmarkStart w:id="69" w:name="sec-siglas"/>
    <w:p>
      <w:pPr>
        <w:pStyle w:val="Heading1"/>
      </w:pPr>
      <w:r>
        <w:t xml:space="preserve">10. Anexo B — Siglas y enlaces</w:t>
      </w:r>
    </w:p>
    <w:bookmarkStart w:id="67" w:name="siglas"/>
    <w:p>
      <w:pPr>
        <w:pStyle w:val="Heading2"/>
      </w:pPr>
      <w:r>
        <w:t xml:space="preserve">10.1 Siglas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w:t>
            </w:r>
          </w:p>
        </w:tc>
      </w:tr>
      <w:tr>
        <w:tc>
          <w:tcPr/>
          <w:p>
            <w:pPr>
              <w:pStyle w:val="Compact"/>
            </w:pPr>
            <w:r>
              <w:rPr>
                <w:b/>
                <w:bCs/>
              </w:rPr>
              <w:t xml:space="preserve">ARCA</w:t>
            </w:r>
          </w:p>
        </w:tc>
        <w:tc>
          <w:tcPr/>
          <w:p>
            <w:pPr>
              <w:pStyle w:val="Compact"/>
            </w:pPr>
            <w:r>
              <w:t xml:space="preserve">Agencia de Recaudación y Control Aduanero (ex AFIP)</w:t>
            </w:r>
          </w:p>
        </w:tc>
      </w:tr>
      <w:tr>
        <w:tc>
          <w:tcPr/>
          <w:p>
            <w:pPr>
              <w:pStyle w:val="Compact"/>
            </w:pPr>
            <w:r>
              <w:rPr>
                <w:b/>
                <w:bCs/>
              </w:rPr>
              <w:t xml:space="preserve">AFIP</w:t>
            </w:r>
          </w:p>
        </w:tc>
        <w:tc>
          <w:tcPr/>
          <w:p>
            <w:pPr>
              <w:pStyle w:val="Compact"/>
            </w:pPr>
            <w:r>
              <w:t xml:space="preserve">Administración Federal de Ingresos Públicos (disuelta 2024)</w:t>
            </w:r>
          </w:p>
        </w:tc>
      </w:tr>
      <w:tr>
        <w:tc>
          <w:tcPr/>
          <w:p>
            <w:pPr>
              <w:pStyle w:val="Compact"/>
            </w:pPr>
            <w:r>
              <w:rPr>
                <w:b/>
                <w:bCs/>
              </w:rPr>
              <w:t xml:space="preserve">CIIU</w:t>
            </w:r>
          </w:p>
        </w:tc>
        <w:tc>
          <w:tcPr/>
          <w:p>
            <w:pPr>
              <w:pStyle w:val="Compact"/>
            </w:pPr>
            <w:r>
              <w:t xml:space="preserve">Clasificador Industrial Internacional Uniforme (rev. 3)</w:t>
            </w:r>
          </w:p>
        </w:tc>
      </w:tr>
      <w:tr>
        <w:tc>
          <w:tcPr/>
          <w:p>
            <w:pPr>
              <w:pStyle w:val="Compact"/>
            </w:pPr>
            <w:r>
              <w:rPr>
                <w:b/>
                <w:bCs/>
              </w:rPr>
              <w:t xml:space="preserve">DGIP</w:t>
            </w:r>
          </w:p>
        </w:tc>
        <w:tc>
          <w:tcPr/>
          <w:p>
            <w:pPr>
              <w:pStyle w:val="Compact"/>
            </w:pPr>
            <w:r>
              <w:t xml:space="preserve">Dirección General de Ingresos Provinciales (La Rioja)</w:t>
            </w:r>
          </w:p>
        </w:tc>
      </w:tr>
      <w:tr>
        <w:tc>
          <w:tcPr/>
          <w:p>
            <w:pPr>
              <w:pStyle w:val="Compact"/>
            </w:pPr>
            <w:r>
              <w:rPr>
                <w:b/>
                <w:bCs/>
              </w:rPr>
              <w:t xml:space="preserve">EC</w:t>
            </w:r>
          </w:p>
        </w:tc>
        <w:tc>
          <w:tcPr/>
          <w:p>
            <w:pPr>
              <w:pStyle w:val="Compact"/>
            </w:pPr>
            <w:r>
              <w:t xml:space="preserve">Economía del Conocimiento</w:t>
            </w:r>
          </w:p>
        </w:tc>
      </w:tr>
      <w:tr>
        <w:tc>
          <w:tcPr/>
          <w:p>
            <w:pPr>
              <w:pStyle w:val="Compact"/>
            </w:pPr>
            <w:r>
              <w:rPr>
                <w:b/>
                <w:bCs/>
              </w:rPr>
              <w:t xml:space="preserve">II.BB.</w:t>
            </w:r>
          </w:p>
        </w:tc>
        <w:tc>
          <w:tcPr/>
          <w:p>
            <w:pPr>
              <w:pStyle w:val="Compact"/>
            </w:pPr>
            <w:r>
              <w:t xml:space="preserve">Ingresos Brutos</w:t>
            </w:r>
          </w:p>
        </w:tc>
      </w:tr>
      <w:tr>
        <w:tc>
          <w:tcPr/>
          <w:p>
            <w:pPr>
              <w:pStyle w:val="Compact"/>
            </w:pPr>
            <w:r>
              <w:rPr>
                <w:b/>
                <w:bCs/>
              </w:rPr>
              <w:t xml:space="preserve">INDEC</w:t>
            </w:r>
          </w:p>
        </w:tc>
        <w:tc>
          <w:tcPr/>
          <w:p>
            <w:pPr>
              <w:pStyle w:val="Compact"/>
            </w:pPr>
            <w:r>
              <w:t xml:space="preserve">Instituto Nacional de Estadística y Censos</w:t>
            </w:r>
          </w:p>
        </w:tc>
      </w:tr>
      <w:tr>
        <w:tc>
          <w:tcPr/>
          <w:p>
            <w:pPr>
              <w:pStyle w:val="Compact"/>
            </w:pPr>
            <w:r>
              <w:rPr>
                <w:b/>
                <w:bCs/>
              </w:rPr>
              <w:t xml:space="preserve">OEDE</w:t>
            </w:r>
          </w:p>
        </w:tc>
        <w:tc>
          <w:tcPr/>
          <w:p>
            <w:pPr>
              <w:pStyle w:val="Compact"/>
            </w:pPr>
            <w:r>
              <w:t xml:space="preserve">Observatorio de Empleo y Dinámica Empresarial</w:t>
            </w:r>
          </w:p>
        </w:tc>
      </w:tr>
      <w:tr>
        <w:tc>
          <w:tcPr/>
          <w:p>
            <w:pPr>
              <w:pStyle w:val="Compact"/>
            </w:pPr>
            <w:r>
              <w:rPr>
                <w:b/>
                <w:bCs/>
              </w:rPr>
              <w:t xml:space="preserve">SIPA</w:t>
            </w:r>
          </w:p>
        </w:tc>
        <w:tc>
          <w:tcPr/>
          <w:p>
            <w:pPr>
              <w:pStyle w:val="Compact"/>
            </w:pPr>
            <w:r>
              <w:t xml:space="preserve">Sistema Integrado Previsional Argentino</w:t>
            </w:r>
          </w:p>
        </w:tc>
      </w:tr>
      <w:tr>
        <w:tc>
          <w:tcPr/>
          <w:p>
            <w:pPr>
              <w:pStyle w:val="Compact"/>
            </w:pPr>
            <w:r>
              <w:rPr>
                <w:b/>
                <w:bCs/>
              </w:rPr>
              <w:t xml:space="preserve">STEySS</w:t>
            </w:r>
          </w:p>
        </w:tc>
        <w:tc>
          <w:tcPr/>
          <w:p>
            <w:pPr>
              <w:pStyle w:val="Compact"/>
            </w:pPr>
            <w:r>
              <w:t xml:space="preserve">Secretaría de Trabajo, Empleo y Seguridad Social</w:t>
            </w:r>
          </w:p>
        </w:tc>
      </w:tr>
    </w:tbl>
    <w:bookmarkEnd w:id="67"/>
    <w:bookmarkStart w:id="68" w:name="enlaces-a-fuentes-oficiales"/>
    <w:p>
      <w:pPr>
        <w:pStyle w:val="Heading2"/>
      </w:pPr>
      <w:r>
        <w:t xml:space="preserve">10.2 Enlaces a fuentes oficiales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Fuente</w:t>
            </w:r>
          </w:p>
        </w:tc>
        <w:tc>
          <w:tcPr/>
          <w:p>
            <w:pPr>
              <w:pStyle w:val="Compact"/>
            </w:pPr>
            <w:r>
              <w:t xml:space="preserve">Enlace</w:t>
            </w:r>
          </w:p>
        </w:tc>
      </w:tr>
      <w:tr>
        <w:tc>
          <w:tcPr/>
          <w:p>
            <w:pPr>
              <w:pStyle w:val="Compact"/>
            </w:pPr>
            <w:r>
              <w:t xml:space="preserve">SIPA-OEDE (STEySS)</w:t>
            </w:r>
          </w:p>
        </w:tc>
        <w:tc>
          <w:tcPr/>
          <w:p>
            <w:pPr>
              <w:pStyle w:val="Compact"/>
            </w:pPr>
            <w:r>
              <w:t xml:space="preserve">https://www.argentina.gob.ar/trabajo/estadisticas</w:t>
            </w:r>
          </w:p>
        </w:tc>
      </w:tr>
      <w:tr>
        <w:tc>
          <w:tcPr/>
          <w:p>
            <w:pPr>
              <w:pStyle w:val="Compact"/>
            </w:pPr>
            <w:r>
              <w:t xml:space="preserve">Ley 27.506 (InfoLEG)</w:t>
            </w:r>
          </w:p>
        </w:tc>
        <w:tc>
          <w:tcPr/>
          <w:p>
            <w:pPr>
              <w:pStyle w:val="Compact"/>
            </w:pPr>
            <w:r>
              <w:t xml:space="preserve">https://servicios.infoleg.gob.ar/infolegInternet/anexos/320000-324999/324101/texact.htm</w:t>
            </w:r>
          </w:p>
        </w:tc>
      </w:tr>
      <w:tr>
        <w:tc>
          <w:tcPr/>
          <w:p>
            <w:pPr>
              <w:pStyle w:val="Compact"/>
            </w:pPr>
            <w:r>
              <w:t xml:space="preserve">Ley 27.570 (InfoLEG)</w:t>
            </w:r>
          </w:p>
        </w:tc>
        <w:tc>
          <w:tcPr/>
          <w:p>
            <w:pPr>
              <w:pStyle w:val="Compact"/>
            </w:pPr>
            <w:r>
              <w:t xml:space="preserve">https://servicios.infoleg.gob.ar/infolegInternet/anexos/340000-344999/341816/norma.htm</w:t>
            </w:r>
          </w:p>
        </w:tc>
      </w:tr>
      <w:tr>
        <w:tc>
          <w:tcPr/>
          <w:p>
            <w:pPr>
              <w:pStyle w:val="Compact"/>
            </w:pPr>
            <w:r>
              <w:t xml:space="preserve">Decreto 953/2024 (Boletín Oficial)</w:t>
            </w:r>
          </w:p>
        </w:tc>
        <w:tc>
          <w:tcPr/>
          <w:p>
            <w:pPr>
              <w:pStyle w:val="Compact"/>
            </w:pPr>
            <w:r>
              <w:t xml:space="preserve">https://www.boletinoficial.gov.ar/</w:t>
            </w:r>
          </w:p>
        </w:tc>
      </w:tr>
      <w:tr>
        <w:tc>
          <w:tcPr/>
          <w:p>
            <w:pPr>
              <w:pStyle w:val="Compact"/>
            </w:pPr>
            <w:r>
              <w:t xml:space="preserve">ARCA (sitio oficial)</w:t>
            </w:r>
          </w:p>
        </w:tc>
        <w:tc>
          <w:tcPr/>
          <w:p>
            <w:pPr>
              <w:pStyle w:val="Compact"/>
            </w:pPr>
            <w:r>
              <w:t xml:space="preserve">https://www.arca.gob.ar/</w:t>
            </w:r>
          </w:p>
        </w:tc>
      </w:tr>
      <w:tr>
        <w:tc>
          <w:tcPr/>
          <w:p>
            <w:pPr>
              <w:pStyle w:val="Compact"/>
            </w:pPr>
            <w:r>
              <w:t xml:space="preserve">DGIP La Rioja</w:t>
            </w:r>
          </w:p>
        </w:tc>
        <w:tc>
          <w:tcPr/>
          <w:p>
            <w:pPr>
              <w:pStyle w:val="Compact"/>
            </w:pPr>
            <w:r>
              <w:t xml:space="preserve">https://www.dgip.larioja.gob.ar/</w:t>
            </w:r>
          </w:p>
        </w:tc>
      </w:tr>
      <w:tr>
        <w:tc>
          <w:tcPr/>
          <w:p>
            <w:pPr>
              <w:pStyle w:val="Compact"/>
            </w:pPr>
            <w:r>
              <w:t xml:space="preserve">INDEC</w:t>
            </w:r>
          </w:p>
        </w:tc>
        <w:tc>
          <w:tcPr/>
          <w:p>
            <w:pPr>
              <w:pStyle w:val="Compact"/>
            </w:pPr>
            <w:r>
              <w:t xml:space="preserve">https://www.indec.gob.ar/</w:t>
            </w:r>
          </w:p>
        </w:tc>
      </w:tr>
    </w:tbl>
    <w:bookmarkEnd w:id="68"/>
    <w:bookmarkEnd w:id="69"/>
    <w:bookmarkStart w:id="70" w:name="sec-serie"/>
    <w:p>
      <w:pPr>
        <w:pStyle w:val="Heading1"/>
      </w:pPr>
      <w:r>
        <w:t xml:space="preserve">11. Anexo C — Serie histórica completa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Año</w:t>
            </w:r>
          </w:p>
        </w:tc>
        <w:tc>
          <w:tcPr/>
          <w:p>
            <w:pPr>
              <w:pStyle w:val="Compact"/>
              <w:jc w:val="right"/>
            </w:pPr>
            <w:r>
              <w:t xml:space="preserve">Núcleo SW</w:t>
            </w:r>
          </w:p>
        </w:tc>
        <w:tc>
          <w:tcPr/>
          <w:p>
            <w:pPr>
              <w:pStyle w:val="Compact"/>
              <w:jc w:val="right"/>
            </w:pPr>
            <w:r>
              <w:t xml:space="preserve">Proxies</w:t>
            </w:r>
          </w:p>
        </w:tc>
        <w:tc>
          <w:tcPr/>
          <w:p>
            <w:pPr>
              <w:pStyle w:val="Compact"/>
              <w:jc w:val="right"/>
            </w:pPr>
            <w:r>
              <w:t xml:space="preserve">Total EC</w:t>
            </w:r>
          </w:p>
        </w:tc>
        <w:tc>
          <w:tcPr/>
          <w:p>
            <w:pPr>
              <w:pStyle w:val="Compact"/>
              <w:jc w:val="right"/>
            </w:pPr>
            <w:r>
              <w:t xml:space="preserve">% Núcleo</w:t>
            </w:r>
          </w:p>
        </w:tc>
      </w:tr>
      <w:tr>
        <w:tc>
          <w:tcPr/>
          <w:p>
            <w:pPr>
              <w:pStyle w:val="Compact"/>
              <w:jc w:val="center"/>
            </w:pPr>
            <w:r>
              <w:t xml:space="preserve">2019</w:t>
            </w:r>
          </w:p>
        </w:tc>
        <w:tc>
          <w:tcPr/>
          <w:p>
            <w:pPr>
              <w:pStyle w:val="Compact"/>
              <w:jc w:val="right"/>
            </w:pPr>
            <w:r>
              <w:t xml:space="preserve">11,5</w:t>
            </w:r>
          </w:p>
        </w:tc>
        <w:tc>
          <w:tcPr/>
          <w:p>
            <w:pPr>
              <w:pStyle w:val="Compact"/>
              <w:jc w:val="right"/>
            </w:pPr>
            <w:r>
              <w:t xml:space="preserve">344,5</w:t>
            </w:r>
          </w:p>
        </w:tc>
        <w:tc>
          <w:tcPr/>
          <w:p>
            <w:pPr>
              <w:pStyle w:val="Compact"/>
              <w:jc w:val="right"/>
            </w:pPr>
            <w:r>
              <w:t xml:space="preserve">356</w:t>
            </w:r>
          </w:p>
        </w:tc>
        <w:tc>
          <w:tcPr/>
          <w:p>
            <w:pPr>
              <w:pStyle w:val="Compact"/>
              <w:jc w:val="right"/>
            </w:pPr>
            <w:r>
              <w:t xml:space="preserve">3,2%</w:t>
            </w:r>
          </w:p>
        </w:tc>
      </w:tr>
      <w:tr>
        <w:tc>
          <w:tcPr/>
          <w:p>
            <w:pPr>
              <w:pStyle w:val="Compact"/>
              <w:jc w:val="center"/>
            </w:pPr>
            <w:r>
              <w:t xml:space="preserve">2020</w:t>
            </w:r>
          </w:p>
        </w:tc>
        <w:tc>
          <w:tcPr/>
          <w:p>
            <w:pPr>
              <w:pStyle w:val="Compact"/>
              <w:jc w:val="right"/>
            </w:pPr>
            <w:r>
              <w:t xml:space="preserve">23,8</w:t>
            </w:r>
          </w:p>
        </w:tc>
        <w:tc>
          <w:tcPr/>
          <w:p>
            <w:pPr>
              <w:pStyle w:val="Compact"/>
              <w:jc w:val="right"/>
            </w:pPr>
            <w:r>
              <w:t xml:space="preserve">274,2</w:t>
            </w:r>
          </w:p>
        </w:tc>
        <w:tc>
          <w:tcPr/>
          <w:p>
            <w:pPr>
              <w:pStyle w:val="Compact"/>
              <w:jc w:val="right"/>
            </w:pPr>
            <w:r>
              <w:t xml:space="preserve">298</w:t>
            </w:r>
          </w:p>
        </w:tc>
        <w:tc>
          <w:tcPr/>
          <w:p>
            <w:pPr>
              <w:pStyle w:val="Compact"/>
              <w:jc w:val="right"/>
            </w:pPr>
            <w:r>
              <w:t xml:space="preserve">8,0%</w:t>
            </w:r>
          </w:p>
        </w:tc>
      </w:tr>
      <w:tr>
        <w:tc>
          <w:tcPr/>
          <w:p>
            <w:pPr>
              <w:pStyle w:val="Compact"/>
              <w:jc w:val="center"/>
            </w:pPr>
            <w:r>
              <w:t xml:space="preserve">2021</w:t>
            </w:r>
          </w:p>
        </w:tc>
        <w:tc>
          <w:tcPr/>
          <w:p>
            <w:pPr>
              <w:pStyle w:val="Compact"/>
              <w:jc w:val="right"/>
            </w:pPr>
            <w:r>
              <w:t xml:space="preserve">29,0</w:t>
            </w:r>
          </w:p>
        </w:tc>
        <w:tc>
          <w:tcPr/>
          <w:p>
            <w:pPr>
              <w:pStyle w:val="Compact"/>
              <w:jc w:val="right"/>
            </w:pPr>
            <w:r>
              <w:t xml:space="preserve">307,0</w:t>
            </w:r>
          </w:p>
        </w:tc>
        <w:tc>
          <w:tcPr/>
          <w:p>
            <w:pPr>
              <w:pStyle w:val="Compact"/>
              <w:jc w:val="right"/>
            </w:pPr>
            <w:r>
              <w:t xml:space="preserve">336</w:t>
            </w:r>
          </w:p>
        </w:tc>
        <w:tc>
          <w:tcPr/>
          <w:p>
            <w:pPr>
              <w:pStyle w:val="Compact"/>
              <w:jc w:val="right"/>
            </w:pPr>
            <w:r>
              <w:t xml:space="preserve">8,6%</w:t>
            </w:r>
          </w:p>
        </w:tc>
      </w:tr>
      <w:tr>
        <w:tc>
          <w:tcPr/>
          <w:p>
            <w:pPr>
              <w:pStyle w:val="Compact"/>
              <w:jc w:val="center"/>
            </w:pPr>
            <w:r>
              <w:t xml:space="preserve">2022</w:t>
            </w:r>
          </w:p>
        </w:tc>
        <w:tc>
          <w:tcPr/>
          <w:p>
            <w:pPr>
              <w:pStyle w:val="Compact"/>
              <w:jc w:val="right"/>
            </w:pPr>
            <w:r>
              <w:t xml:space="preserve">65,5</w:t>
            </w:r>
          </w:p>
        </w:tc>
        <w:tc>
          <w:tcPr/>
          <w:p>
            <w:pPr>
              <w:pStyle w:val="Compact"/>
              <w:jc w:val="right"/>
            </w:pPr>
            <w:r>
              <w:t xml:space="preserve">379,5</w:t>
            </w:r>
          </w:p>
        </w:tc>
        <w:tc>
          <w:tcPr/>
          <w:p>
            <w:pPr>
              <w:pStyle w:val="Compact"/>
              <w:jc w:val="right"/>
            </w:pPr>
            <w:r>
              <w:t xml:space="preserve">445</w:t>
            </w:r>
          </w:p>
        </w:tc>
        <w:tc>
          <w:tcPr/>
          <w:p>
            <w:pPr>
              <w:pStyle w:val="Compact"/>
              <w:jc w:val="right"/>
            </w:pPr>
            <w:r>
              <w:t xml:space="preserve">14,7%</w:t>
            </w:r>
          </w:p>
        </w:tc>
      </w:tr>
      <w:tr>
        <w:tc>
          <w:tcPr/>
          <w:p>
            <w:pPr>
              <w:pStyle w:val="Compact"/>
              <w:jc w:val="center"/>
            </w:pPr>
            <w:r>
              <w:t xml:space="preserve">2023</w:t>
            </w:r>
          </w:p>
        </w:tc>
        <w:tc>
          <w:tcPr/>
          <w:p>
            <w:pPr>
              <w:pStyle w:val="Compact"/>
              <w:jc w:val="right"/>
            </w:pPr>
            <w:r>
              <w:t xml:space="preserve">78,0</w:t>
            </w:r>
          </w:p>
        </w:tc>
        <w:tc>
          <w:tcPr/>
          <w:p>
            <w:pPr>
              <w:pStyle w:val="Compact"/>
              <w:jc w:val="right"/>
            </w:pPr>
            <w:r>
              <w:t xml:space="preserve">435,0</w:t>
            </w:r>
          </w:p>
        </w:tc>
        <w:tc>
          <w:tcPr/>
          <w:p>
            <w:pPr>
              <w:pStyle w:val="Compact"/>
              <w:jc w:val="right"/>
            </w:pPr>
            <w:r>
              <w:t xml:space="preserve">513</w:t>
            </w:r>
          </w:p>
        </w:tc>
        <w:tc>
          <w:tcPr/>
          <w:p>
            <w:pPr>
              <w:pStyle w:val="Compact"/>
              <w:jc w:val="right"/>
            </w:pPr>
            <w:r>
              <w:t xml:space="preserve">15,2%</w:t>
            </w:r>
          </w:p>
        </w:tc>
      </w:tr>
      <w:tr>
        <w:tc>
          <w:tcPr/>
          <w:p>
            <w:pPr>
              <w:pStyle w:val="Compact"/>
              <w:jc w:val="center"/>
            </w:pPr>
            <w:r>
              <w:t xml:space="preserve">2024</w:t>
            </w:r>
          </w:p>
        </w:tc>
        <w:tc>
          <w:tcPr/>
          <w:p>
            <w:pPr>
              <w:pStyle w:val="Compact"/>
              <w:jc w:val="right"/>
            </w:pPr>
            <w:r>
              <w:t xml:space="preserve">61,3</w:t>
            </w:r>
          </w:p>
        </w:tc>
        <w:tc>
          <w:tcPr/>
          <w:p>
            <w:pPr>
              <w:pStyle w:val="Compact"/>
              <w:jc w:val="right"/>
            </w:pPr>
            <w:r>
              <w:t xml:space="preserve">444,7</w:t>
            </w:r>
          </w:p>
        </w:tc>
        <w:tc>
          <w:tcPr/>
          <w:p>
            <w:pPr>
              <w:pStyle w:val="Compact"/>
              <w:jc w:val="right"/>
            </w:pPr>
            <w:r>
              <w:t xml:space="preserve">506</w:t>
            </w:r>
          </w:p>
        </w:tc>
        <w:tc>
          <w:tcPr/>
          <w:p>
            <w:pPr>
              <w:pStyle w:val="Compact"/>
              <w:jc w:val="right"/>
            </w:pPr>
            <w:r>
              <w:t xml:space="preserve">12,1%</w:t>
            </w:r>
          </w:p>
        </w:tc>
      </w:tr>
      <w:tr>
        <w:tc>
          <w:tcPr/>
          <w:p>
            <w:pPr>
              <w:pStyle w:val="Compact"/>
              <w:jc w:val="center"/>
            </w:pPr>
            <w:r>
              <w:t xml:space="preserve">2025</w:t>
            </w:r>
          </w:p>
        </w:tc>
        <w:tc>
          <w:tcPr/>
          <w:p>
            <w:pPr>
              <w:pStyle w:val="Compact"/>
              <w:jc w:val="right"/>
            </w:pPr>
            <w:r>
              <w:t xml:space="preserve">63,8</w:t>
            </w:r>
          </w:p>
        </w:tc>
        <w:tc>
          <w:tcPr/>
          <w:p>
            <w:pPr>
              <w:pStyle w:val="Compact"/>
              <w:jc w:val="right"/>
            </w:pPr>
            <w:r>
              <w:t xml:space="preserve">457,6</w:t>
            </w:r>
          </w:p>
        </w:tc>
        <w:tc>
          <w:tcPr/>
          <w:p>
            <w:pPr>
              <w:pStyle w:val="Compact"/>
              <w:jc w:val="right"/>
            </w:pPr>
            <w:r>
              <w:t xml:space="preserve">521</w:t>
            </w:r>
          </w:p>
        </w:tc>
        <w:tc>
          <w:tcPr/>
          <w:p>
            <w:pPr>
              <w:pStyle w:val="Compact"/>
              <w:jc w:val="right"/>
            </w:pPr>
            <w:r>
              <w:t xml:space="preserve">12,2%</w:t>
            </w:r>
          </w:p>
        </w:tc>
      </w:tr>
    </w:tbl>
    <w:p>
      <w:pPr>
        <w:pStyle w:val="BodyText"/>
      </w:pPr>
      <w:r>
        <w:rPr>
          <w:b/>
          <w:bCs/>
        </w:rPr>
        <w:t xml:space="preserve">Fuente</w:t>
      </w:r>
      <w:r>
        <w:t xml:space="preserve">: SIPA-OEDE (STEySS). Elaboración propia.</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empleo en la Economía del Conocimiento de La Rioja</dc:title>
  <dc:creator>Lic. en Economía</dc:creator>
  <dc:language>es</dc:language>
  <cp:keywords/>
  <dcterms:created xsi:type="dcterms:W3CDTF">2026-09-24T18:15:59Z</dcterms:created>
  <dcterms:modified xsi:type="dcterms:W3CDTF">2026-09-24T18:15:59Z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septiembre 2026</vt:lpwstr>
  </property>
  <property fmtid="{D5CDD505-2E9C-101B-9397-08002B2CF9AE}" pid="6" name="date-format">
    <vt:lpwstr>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Diagnóstico 2019-2026</vt:lpwstr>
  </property>
  <property fmtid="{D5CDD505-2E9C-101B-9397-08002B2CF9AE}" pid="13" name="toc-title">
    <vt:lpwstr>Tabla de contenidos</vt:lpwstr>
  </property>
</Properties>
</file>