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0.png" ContentType="image/png"/>
  <Override PartName="/word/media/rId14.png" ContentType="image/png"/>
  <Override PartName="/word/media/rId30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Economía del Conocimiento en La Rioja</w:t>
      </w:r>
    </w:p>
    <w:p>
      <w:pPr>
        <w:pStyle w:val="Subtitle"/>
      </w:pPr>
      <w:r>
        <w:t xml:space="preserve">Análisis del período 2019-2025</w:t>
      </w:r>
    </w:p>
    <w:p>
      <w:pPr>
        <w:pStyle w:val="Author"/>
      </w:pPr>
      <w:r>
        <w:t xml:space="preserve">Lic. en Economía</w:t>
      </w:r>
    </w:p>
    <w:p>
      <w:pPr>
        <w:pStyle w:val="Date"/>
      </w:pPr>
      <w:r>
        <w:t xml:space="preserve">septiembre 2026</w:t>
      </w:r>
    </w:p>
    <w:bookmarkStart w:id="9" w:name="sec-resumen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El sector de la Economía del Conocimiento (EC) en La Rioja presenta una dinámica dual:</w:t>
      </w:r>
      <w:r>
        <w:t xml:space="preserve"> </w:t>
      </w:r>
      <w:r>
        <w:rPr>
          <w:b/>
          <w:bCs/>
        </w:rPr>
        <w:t xml:space="preserve">crece en términos fiscales y salariales, pero se achica en cantidad de empresas y puestos de trabajo</w:t>
      </w:r>
      <w:r>
        <w:t xml:space="preserve">. Entre 2019 y 2025, el sector consolidó un diferencial salarial creciente y se transformó en el único vector positivo dentro de la recaudación provincial de Ingresos Brutos. Al mismo tiempo, perdió masa crítica empresarial y empleo, ubicándose entre las jurisdicciones con peor desempeño relativo del país.</w:t>
      </w:r>
    </w:p>
    <w:p>
      <w:pPr>
        <w:pStyle w:val="BodyText"/>
      </w:pPr>
      <w:r>
        <w:t xml:space="preserve">Los seis hallazgos principales: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Recaudación EC: crecimiento ×32,9 en cuatro años.</w:t>
      </w:r>
      <w:r>
        <w:t xml:space="preserve"> </w:t>
      </w:r>
      <w:r>
        <w:t xml:space="preserve">La porción de Ingresos Brutos atribuible a actividades EC pasó de $58,99 M (2022) a $1.940,91 M (2025). Su peso sobre la base imponible provincial se triplicó: de 0,51% a 1,55%. Es el agregado que más rápido crece dentro del sistema tributario provincial.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 salarial: el núcleo informático paga +66,5% sobre el promedio provincial.</w:t>
      </w:r>
      <w:r>
        <w:t xml:space="preserve"> </w:t>
      </w:r>
      <w:r>
        <w:t xml:space="preserve">El diferencial se duplicó entre 2022 (+27,2%) y 2025 (+66,5%). La rama Informática n.c.p. (CIIU 7290) paga más del doble del promedio provincial (+100,5% en dic-2025).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Empresas EC: caída de −11,6% entre 2022 y 2025.</w:t>
      </w:r>
      <w:r>
        <w:t xml:space="preserve"> </w:t>
      </w:r>
      <w:r>
        <w:t xml:space="preserve">La cantidad de empresas del sector pasó de 95 (2022) a 84 (2025, preliminar), tras haber alcanzado 102 en 2024. La tendencia se revirtió después del pico.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Empleo EC: −23,7% desde el pico 2023.</w:t>
      </w:r>
      <w:r>
        <w:t xml:space="preserve"> </w:t>
      </w:r>
      <w:r>
        <w:t xml:space="preserve">El empleo del núcleo informático (CIIU 7220 + 7290) pasó de 78 puestos en 2023 a 59,5 en 2025. Su participación en el empleo formal provincial es de 0,22%.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Intensidad empresarial: la peor caída del país.</w:t>
      </w:r>
      <w:r>
        <w:t xml:space="preserve"> </w:t>
      </w:r>
      <w:r>
        <w:t xml:space="preserve">La Rioja perdió −4,45 pp de intensidad EC entre 2022 y 2025, el peor desempeño entre 9 jurisdicciones comparadas. Pasó de 33,07‰ a 28,62‰.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Elasticidad invertida.</w:t>
      </w:r>
      <w:r>
        <w:t xml:space="preserve"> </w:t>
      </w:r>
      <w:r>
        <w:t xml:space="preserve">Entre 2022 y 2024, las empresas EC crecieron +7,4% mientras el empleo del núcleo</w:t>
      </w:r>
      <w:r>
        <w:t xml:space="preserve"> </w:t>
      </w:r>
      <w:r>
        <w:rPr>
          <w:b/>
          <w:bCs/>
        </w:rPr>
        <w:t xml:space="preserve">cayó −6,5%</w:t>
      </w:r>
      <w:r>
        <w:t xml:space="preserve">: cada empresa EC emplea menos trabajadores. El tamaño medio se redujo de 0,69 a 0,60 empleados por empresa.</w:t>
      </w:r>
    </w:p>
    <w:p>
      <w:pPr>
        <w:pStyle w:val="FirstParagraph"/>
      </w:pPr>
      <w:r>
        <w:rPr>
          <w:b/>
          <w:bCs/>
        </w:rPr>
        <w:t xml:space="preserve">Diagnóstico general.</w:t>
      </w:r>
      <w:r>
        <w:t xml:space="preserve"> </w:t>
      </w:r>
      <w:r>
        <w:t xml:space="preserve">El sector EC de La Rioja opera como un</w:t>
      </w:r>
      <w:r>
        <w:t xml:space="preserve"> </w:t>
      </w:r>
      <w:r>
        <w:rPr>
          <w:b/>
          <w:bCs/>
        </w:rPr>
        <w:t xml:space="preserve">enclave de altos salarios sobre una base empresarial frágil</w:t>
      </w:r>
      <w:r>
        <w:t xml:space="preserve">. La recaudación y los salarios crecen, pero la cantidad de empresas y empleos retroceden. El 67,7% del conteo de empresas EC depende de dos códigos proxy (arquitectura/ingeniería y servicios empresariales) que pagan por debajo del promedio provincial. El núcleo informático real (CIIU 7220 y 7290) representa una fracción minoritaria del sector.</w:t>
      </w:r>
    </w:p>
    <w:bookmarkEnd w:id="9"/>
    <w:bookmarkStart w:id="45" w:name="sec-analisis"/>
    <w:p>
      <w:pPr>
        <w:pStyle w:val="Heading1"/>
      </w:pPr>
      <w:r>
        <w:t xml:space="preserve">2. Análisis</w:t>
      </w:r>
    </w:p>
    <w:bookmarkStart w:id="13" w:name="definición-y-magnitud-del-sector"/>
    <w:p>
      <w:pPr>
        <w:pStyle w:val="Heading2"/>
      </w:pPr>
      <w:r>
        <w:t xml:space="preserve">2.1 Definición y magnitud del sector</w:t>
      </w:r>
    </w:p>
    <w:p>
      <w:pPr>
        <w:pStyle w:val="FirstParagraph"/>
      </w:pPr>
      <w:r>
        <w:t xml:space="preserve">El análisis adopta la definición de</w:t>
      </w:r>
      <w:r>
        <w:t xml:space="preserve"> </w:t>
      </w:r>
      <w:r>
        <w:rPr>
          <w:b/>
          <w:bCs/>
        </w:rPr>
        <w:t xml:space="preserve">Actividades EC (AFIP/ARCA)</w:t>
      </w:r>
      <w:r>
        <w:t xml:space="preserve">, que identifica las actividades de Economía del Conocimiento a partir de los códigos CIIU rev. 3 equivalentes a las promovidas por la Ley 27.506 y su modificatoria 27.570. Incluye ocho códigos: 7210, 7220, 7250, 7290, 7300, 7421, 7430 y 7499.</w:t>
      </w:r>
    </w:p>
    <w:p>
      <w:pPr>
        <w:pStyle w:val="BodyText"/>
      </w:pPr>
      <w:r>
        <w:t xml:space="preserve">Dentro de esa definición amplia, este informe distingue el</w:t>
      </w:r>
      <w:r>
        <w:t xml:space="preserve"> </w:t>
      </w:r>
      <w:r>
        <w:rPr>
          <w:b/>
          <w:bCs/>
        </w:rPr>
        <w:t xml:space="preserve">núcleo informático</w:t>
      </w:r>
      <w:r>
        <w:t xml:space="preserve"> </w:t>
      </w:r>
      <w:r>
        <w:t xml:space="preserve">(CIIU 7210, 7220 y 7290), que constituye la definición canónica del análisis. En la práctica se calcula como la suma de 7220 y 7290, porque el código 7210 no tiene datos publicados en los archivos SIPA-OEDE de 4 dígitos.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C:\Users\HP\AppData\Local\Programs\Quarto\share\formats\docx\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Advertencia metodológica.</w:t>
            </w:r>
            <w:r>
              <w:t xml:space="preserve"> </w:t>
            </w:r>
            <w:r>
              <w:t xml:space="preserve">Los códigos 7421 (arquitectura, ingeniería y geología) y 7499 (servicios empresariales n.c.p.) son</w:t>
            </w:r>
            <w:r>
              <w:t xml:space="preserve"> </w:t>
            </w:r>
            <w:r>
              <w:rPr>
                <w:b/>
                <w:bCs/>
              </w:rPr>
              <w:t xml:space="preserve">proxies</w:t>
            </w:r>
            <w:r>
              <w:t xml:space="preserve">: el SIPA no permite aislar la actividad EC específica dentro de ellos. Bajo la definición amplia, el</w:t>
            </w:r>
            <w:r>
              <w:t xml:space="preserve"> </w:t>
            </w:r>
            <w:r>
              <w:rPr>
                <w:b/>
                <w:bCs/>
              </w:rPr>
              <w:t xml:space="preserve">67,7% del conteo EC depende de estos dos códigos</w:t>
            </w:r>
            <w:r>
              <w:t xml:space="preserve">. El conteo es un</w:t>
            </w:r>
            <w:r>
              <w:t xml:space="preserve"> </w:t>
            </w:r>
            <w:r>
              <w:rPr>
                <w:b/>
                <w:bCs/>
              </w:rPr>
              <w:t xml:space="preserve">techo superior</w:t>
            </w:r>
            <w:r>
              <w:t xml:space="preserve">, no exacto.</w:t>
            </w:r>
          </w:p>
          <w:p/>
        </w:tc>
      </w:tr>
    </w:tbl>
    <w:p>
      <w:pPr>
        <w:pStyle w:val="BodyText"/>
      </w:pPr>
      <w:r>
        <w:t xml:space="preserve">En 2024, el sector EC de La Rioja registró</w:t>
      </w:r>
      <w:r>
        <w:t xml:space="preserve"> </w:t>
      </w:r>
      <w:r>
        <w:rPr>
          <w:b/>
          <w:bCs/>
        </w:rPr>
        <w:t xml:space="preserve">102 empresas</w:t>
      </w:r>
      <w:r>
        <w:t xml:space="preserve"> </w:t>
      </w:r>
      <w:r>
        <w:t xml:space="preserve">(3,13% del total provincial) y</w:t>
      </w:r>
      <w:r>
        <w:t xml:space="preserve"> </w:t>
      </w:r>
      <w:r>
        <w:rPr>
          <w:b/>
          <w:bCs/>
        </w:rPr>
        <w:t xml:space="preserve">61 puestos de trabajo del núcleo informático</w:t>
      </w:r>
      <w:r>
        <w:t xml:space="preserve"> </w:t>
      </w:r>
      <w:r>
        <w:t xml:space="preserve">en promedio anual. La densidad empresarial del sector es de</w:t>
      </w:r>
      <w:r>
        <w:t xml:space="preserve"> </w:t>
      </w:r>
      <w:r>
        <w:rPr>
          <w:b/>
          <w:bCs/>
        </w:rPr>
        <w:t xml:space="preserve">31,34‰</w:t>
      </w:r>
      <w:r>
        <w:t xml:space="preserve">, ubicándose en el 7° puesto entre 9 jurisdicciones comparadas.</w:t>
      </w:r>
    </w:p>
    <w:bookmarkEnd w:id="13"/>
    <w:bookmarkStart w:id="20" w:name="dinámica-empresarial-2019-2025"/>
    <w:p>
      <w:pPr>
        <w:pStyle w:val="Heading2"/>
      </w:pPr>
      <w:r>
        <w:t xml:space="preserve">2.2 Dinámica empresarial 2019-2025</w:t>
      </w:r>
    </w:p>
    <w:p>
      <w:pPr>
        <w:pStyle w:val="SourceCode"/>
      </w:pPr>
      <w:r>
        <w:rPr>
          <w:rStyle w:val="VerbatimChar"/>
        </w:rPr>
        <w:t xml:space="preserve">[warn] fig_empresas_serie: fig_empresas_serie() missing 1 required positional argument: 'ruta'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mp-serie"/>
          <w:p>
            <w:pPr>
              <w:pStyle w:val="Compact"/>
              <w:jc w:val="center"/>
            </w:pPr>
            <w:r>
              <w:drawing>
                <wp:inline>
                  <wp:extent cx="5334000" cy="252425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iguras/F11_empresas_seri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4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Empresas totales y de Actividades EC en La Rioja (2019-2025). La fuente no publica datos para 2023.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del total provincial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s/d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 (prelim.)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2,86%</w:t>
            </w:r>
          </w:p>
        </w:tc>
      </w:tr>
    </w:tbl>
    <w:p>
      <w:pPr>
        <w:pStyle w:val="BodyText"/>
      </w:pPr>
      <w:r>
        <w:t xml:space="preserve">La serie muestra tres fases: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2019-2021:</w:t>
      </w:r>
      <w:r>
        <w:t xml:space="preserve"> </w:t>
      </w:r>
      <w:r>
        <w:t xml:space="preserve">crecimiento moderado, de 70 a 74 empresas.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2022-2024:</w:t>
      </w:r>
      <w:r>
        <w:t xml:space="preserve"> </w:t>
      </w:r>
      <w:r>
        <w:t xml:space="preserve">salto y consolidación, hasta un pico de 102 empresas en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2025:</w:t>
      </w:r>
      <w:r>
        <w:t xml:space="preserve"> </w:t>
      </w:r>
      <w:r>
        <w:t xml:space="preserve">reversión. La cantidad cae a 84 empresas (−17,6% respecto al pico).</w:t>
      </w:r>
    </w:p>
    <w:p>
      <w:pPr>
        <w:pStyle w:val="FirstParagraph"/>
      </w:pPr>
      <w:r>
        <w:t xml:space="preserve">La fuente no publica datos para 2023, lo que impide reconstruir la trayectoria exacta entre 2022 y 2024.</w:t>
      </w:r>
    </w:p>
    <w:bookmarkStart w:id="18" w:name="composición-por-bloque"/>
    <w:p>
      <w:pPr>
        <w:pStyle w:val="Heading3"/>
      </w:pPr>
      <w:r>
        <w:t xml:space="preserve">2.2.1 Composición por bloque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y 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y geología (proxy)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profesionales (proxy)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se estancó entre 2022 y 2025 (25 → 28 → 25). La</w:t>
      </w:r>
      <w:r>
        <w:t xml:space="preserve"> </w:t>
      </w:r>
      <w:r>
        <w:rPr>
          <w:b/>
          <w:bCs/>
        </w:rPr>
        <w:t xml:space="preserve">publicidad</w:t>
      </w:r>
      <w:r>
        <w:t xml:space="preserve"> </w:t>
      </w:r>
      <w:r>
        <w:t xml:space="preserve">colapsó a 0 en 2025. Los</w:t>
      </w:r>
      <w:r>
        <w:t xml:space="preserve"> </w:t>
      </w:r>
      <w:r>
        <w:rPr>
          <w:b/>
          <w:bCs/>
        </w:rPr>
        <w:t xml:space="preserve">proxies</w:t>
      </w:r>
      <w:r>
        <w:t xml:space="preserve"> </w:t>
      </w:r>
      <w:r>
        <w:t xml:space="preserve">(7421 y 7499) concentran el 67,7% del conteo total del sector.</w:t>
      </w:r>
    </w:p>
    <w:bookmarkEnd w:id="18"/>
    <w:bookmarkStart w:id="19" w:name="X5a57e1452a674a7dd47462fa8f6fbc1ccee9154"/>
    <w:p>
      <w:pPr>
        <w:pStyle w:val="Heading3"/>
      </w:pPr>
      <w:r>
        <w:t xml:space="preserve">2.2.2 Intensidad empresarial: comparación regional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 (22→25)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Tucumán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Córdoba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Jujuy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 Rioja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33,07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28,62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−4,45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Santiago del Estero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−2,07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Fuente:</w:t>
      </w:r>
      <w:r>
        <w:t xml:space="preserve"> </w:t>
      </w:r>
      <w:r>
        <w:t xml:space="preserve">SIPA-OEDE. Intensidad = (empresas EC / empresas totales) × 1.000.</w:t>
      </w:r>
    </w:p>
    <w:p>
      <w:pPr>
        <w:pStyle w:val="BodyText"/>
      </w:pPr>
      <w:r>
        <w:t xml:space="preserve">La Rioja perdió</w:t>
      </w:r>
      <w:r>
        <w:t xml:space="preserve"> </w:t>
      </w:r>
      <w:r>
        <w:rPr>
          <w:b/>
          <w:bCs/>
        </w:rPr>
        <w:t xml:space="preserve">−4,45 pp</w:t>
      </w:r>
      <w:r>
        <w:t xml:space="preserve"> </w:t>
      </w:r>
      <w:r>
        <w:t xml:space="preserve">de intensidad EC entre 2022 y 2025, el peor desempeño de las 9 jurisdicciones. En 2022 la provincia estaba en el 7° puesto; en 2025 cayó al mismo puesto pero con el mayor deterioro relativo del grupo.</w:t>
      </w:r>
    </w:p>
    <w:bookmarkEnd w:id="19"/>
    <w:bookmarkEnd w:id="20"/>
    <w:bookmarkStart w:id="22" w:name="empleo-ec"/>
    <w:p>
      <w:pPr>
        <w:pStyle w:val="Heading2"/>
      </w:pPr>
      <w:r>
        <w:t xml:space="preserve">2.3 Empleo EC</w:t>
      </w:r>
    </w:p>
    <w:p>
      <w:pPr>
        <w:pStyle w:val="FirstParagraph"/>
      </w:pPr>
      <w:r>
        <w:t xml:space="preserve">El empleo EC se calcula con la definición de núcleo informático (CIIU 7210, 7220, 7290), consistente con el resto del análisis. La serie se construye como</w:t>
      </w:r>
      <w:r>
        <w:t xml:space="preserve"> </w:t>
      </w:r>
      <w:r>
        <w:rPr>
          <w:b/>
          <w:bCs/>
        </w:rPr>
        <w:t xml:space="preserve">stock promedio anual de puestos de trabajo</w:t>
      </w:r>
      <w:r>
        <w:t xml:space="preserve">, calculado como el promedio de los cuatro trimestres de cada año.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Empleo EC (núcleo)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Empleo total provincial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0,220%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Fuente:</w:t>
      </w:r>
      <w:r>
        <w:t xml:space="preserve"> </w:t>
      </w:r>
      <w:r>
        <w:t xml:space="preserve">SIPA-OEDE (STEySS), CIIU 7220 + 7290.</w:t>
      </w:r>
    </w:p>
    <w:p>
      <w:pPr>
        <w:pStyle w:val="BodyText"/>
      </w:pPr>
      <w:r>
        <w:t xml:space="preserve">El empleo del núcleo informático pasó de</w:t>
      </w:r>
      <w:r>
        <w:t xml:space="preserve"> </w:t>
      </w:r>
      <w:r>
        <w:rPr>
          <w:b/>
          <w:bCs/>
        </w:rPr>
        <w:t xml:space="preserve">11,5</w:t>
      </w:r>
      <w:r>
        <w:t xml:space="preserve"> </w:t>
      </w:r>
      <w:r>
        <w:t xml:space="preserve">(2019) a</w:t>
      </w:r>
      <w:r>
        <w:t xml:space="preserve"> </w:t>
      </w:r>
      <w:r>
        <w:rPr>
          <w:b/>
          <w:bCs/>
        </w:rPr>
        <w:t xml:space="preserve">59,5</w:t>
      </w:r>
      <w:r>
        <w:t xml:space="preserve"> </w:t>
      </w:r>
      <w:r>
        <w:t xml:space="preserve">puestos (2025), un aumento de</w:t>
      </w:r>
      <w:r>
        <w:t xml:space="preserve"> </w:t>
      </w:r>
      <w:r>
        <w:rPr>
          <w:b/>
          <w:bCs/>
        </w:rPr>
        <w:t xml:space="preserve">+417%</w:t>
      </w:r>
      <w:r>
        <w:t xml:space="preserve">. El pico se registró en</w:t>
      </w:r>
      <w:r>
        <w:t xml:space="preserve"> </w:t>
      </w:r>
      <w:r>
        <w:rPr>
          <w:b/>
          <w:bCs/>
        </w:rPr>
        <w:t xml:space="preserve">2023</w:t>
      </w:r>
      <w:r>
        <w:t xml:space="preserve"> </w:t>
      </w:r>
      <w:r>
        <w:t xml:space="preserve">con 78 puestos (0,239% del empleo provincial). Desde entonces, el empleo cayó</w:t>
      </w:r>
      <w:r>
        <w:t xml:space="preserve"> </w:t>
      </w:r>
      <w:r>
        <w:rPr>
          <w:b/>
          <w:bCs/>
        </w:rPr>
        <w:t xml:space="preserve">−23,7%</w:t>
      </w:r>
      <w:r>
        <w:t xml:space="preserve"> </w:t>
      </w:r>
      <w:r>
        <w:t xml:space="preserve">en dos años. La participación en el empleo formal provincial pasó de 0,04% a 0,22%: se multiplicó por 5,5.</w:t>
      </w:r>
    </w:p>
    <w:bookmarkStart w:id="21" w:name="elasticidad-empresas-empleo"/>
    <w:p>
      <w:pPr>
        <w:pStyle w:val="Heading3"/>
      </w:pPr>
      <w:r>
        <w:t xml:space="preserve">2.3.1 Elasticidad empresas-empleo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Empresas EC (índice 2022=100)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Empleo EC (índice 2022=100)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s/d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</w:tr>
    </w:tbl>
    <w:p>
      <w:pPr>
        <w:pStyle w:val="BodyText"/>
      </w:pPr>
      <w:r>
        <w:t xml:space="preserve">Entre 2022 y 2024, las empresas EC crecieron +7,4% mientras el empleo del núcleo</w:t>
      </w:r>
      <w:r>
        <w:t xml:space="preserve"> </w:t>
      </w:r>
      <w:r>
        <w:rPr>
          <w:b/>
          <w:bCs/>
        </w:rPr>
        <w:t xml:space="preserve">cayó −6,5%</w:t>
      </w:r>
      <w:r>
        <w:t xml:space="preserve">. El tamaño medio pasó de</w:t>
      </w:r>
      <w:r>
        <w:t xml:space="preserve"> </w:t>
      </w:r>
      <w:r>
        <w:rPr>
          <w:b/>
          <w:bCs/>
        </w:rPr>
        <w:t xml:space="preserve">0,69 empleados por empresa</w:t>
      </w:r>
      <w:r>
        <w:t xml:space="preserve"> </w:t>
      </w:r>
      <w:r>
        <w:t xml:space="preserve">en 2022 a</w:t>
      </w:r>
      <w:r>
        <w:t xml:space="preserve"> </w:t>
      </w:r>
      <w:r>
        <w:rPr>
          <w:b/>
          <w:bCs/>
        </w:rPr>
        <w:t xml:space="preserve">0,60</w:t>
      </w:r>
      <w:r>
        <w:t xml:space="preserve"> </w:t>
      </w:r>
      <w:r>
        <w:t xml:space="preserve">en 2024 y</w:t>
      </w:r>
      <w:r>
        <w:t xml:space="preserve"> </w:t>
      </w:r>
      <w:r>
        <w:rPr>
          <w:b/>
          <w:bCs/>
        </w:rPr>
        <w:t xml:space="preserve">0,71</w:t>
      </w:r>
      <w:r>
        <w:t xml:space="preserve"> </w:t>
      </w:r>
      <w:r>
        <w:t xml:space="preserve">en 2025.</w:t>
      </w:r>
    </w:p>
    <w:p>
      <w:pPr>
        <w:pStyle w:val="BodyText"/>
      </w:pPr>
      <w:r>
        <w:t xml:space="preserve">El patrón de 2025 —caída fuerte de empresas (−17,6%) con caída moderada de empleo (−2,8%)— sugiere</w:t>
      </w:r>
      <w:r>
        <w:t xml:space="preserve"> </w:t>
      </w:r>
      <w:r>
        <w:rPr>
          <w:b/>
          <w:bCs/>
        </w:rPr>
        <w:t xml:space="preserve">cierre de firmas chicas y concentración en las grandes</w:t>
      </w:r>
      <w:r>
        <w:t xml:space="preserve">. La elasticidad, que en 2024 indicaba un sector que expulsaba empleo, se revirtió parcialmente en 2025 por reducción del denominador.</w:t>
      </w:r>
    </w:p>
    <w:bookmarkEnd w:id="21"/>
    <w:bookmarkEnd w:id="22"/>
    <w:bookmarkStart w:id="28" w:name="salarios-y-prima-salarial-ec"/>
    <w:p>
      <w:pPr>
        <w:pStyle w:val="Heading2"/>
      </w:pPr>
      <w:r>
        <w:t xml:space="preserve">2.4 Salarios y prima salarial EC</w:t>
      </w:r>
    </w:p>
    <w:bookmarkStart w:id="23" w:name="salario-por-ciiu-ec-dic-2025"/>
    <w:p>
      <w:pPr>
        <w:pStyle w:val="Heading3"/>
      </w:pPr>
      <w:r>
        <w:t xml:space="preserve">2.4.1 Salario por CIIU EC (dic-2025)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CIIU</w:t>
            </w:r>
          </w:p>
        </w:tc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 vs. provincial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7290</w:t>
            </w:r>
          </w:p>
        </w:tc>
        <w:tc>
          <w:tcPr/>
          <w:p>
            <w:pPr>
              <w:pStyle w:val="Compact"/>
            </w:pPr>
            <w:r>
              <w:t xml:space="preserve">Informática n.c.p.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$4.220.278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+100,5%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7220</w:t>
            </w:r>
          </w:p>
        </w:tc>
        <w:tc>
          <w:tcPr/>
          <w:p>
            <w:pPr>
              <w:pStyle w:val="Compact"/>
            </w:pPr>
            <w:r>
              <w:t xml:space="preserve">Consultores informáticos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$2.786.240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+32,4%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7421</w:t>
            </w:r>
          </w:p>
        </w:tc>
        <w:tc>
          <w:tcPr/>
          <w:p>
            <w:pPr>
              <w:pStyle w:val="Compact"/>
            </w:pPr>
            <w:r>
              <w:t xml:space="preserve">Arquitectura/ingeniería (proxy)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$1.566.575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−25,6%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7499</w:t>
            </w:r>
          </w:p>
        </w:tc>
        <w:tc>
          <w:tcPr/>
          <w:p>
            <w:pPr>
              <w:pStyle w:val="Compact"/>
            </w:pPr>
            <w:r>
              <w:t xml:space="preserve">Servicios empresariales (proxy)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$1.534.016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−27,1%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7210, 7250, 7300, 7430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Fuente:</w:t>
      </w:r>
      <w:r>
        <w:t xml:space="preserve"> </w:t>
      </w:r>
      <w:r>
        <w:t xml:space="preserve">SIPA-OEDE, remuneraciones mensuales por CIIU 4 dígitos. Salario provincial de referencia: $2.104.500 (dic-2025, incluye SAC).</w:t>
      </w:r>
    </w:p>
    <w:p>
      <w:pPr>
        <w:pStyle w:val="BodyText"/>
      </w:pPr>
      <w:r>
        <w:t xml:space="preserve">Informática n.c.p. paga</w:t>
      </w:r>
      <w:r>
        <w:t xml:space="preserve"> </w:t>
      </w:r>
      <w:r>
        <w:rPr>
          <w:b/>
          <w:bCs/>
        </w:rPr>
        <w:t xml:space="preserve">+100,5%</w:t>
      </w:r>
      <w:r>
        <w:t xml:space="preserve"> </w:t>
      </w:r>
      <w:r>
        <w:t xml:space="preserve">sobre el promedio provincial. Las ramas proxy (7421 y 7499) pagan</w:t>
      </w:r>
      <w:r>
        <w:t xml:space="preserve"> </w:t>
      </w:r>
      <w:r>
        <w:rPr>
          <w:b/>
          <w:bCs/>
        </w:rPr>
        <w:t xml:space="preserve">25-27% por debajo</w:t>
      </w:r>
      <w:r>
        <w:t xml:space="preserve"> </w:t>
      </w:r>
      <w:r>
        <w:t xml:space="preserve">del promedio. Esto explica por qué la prima del núcleo es sensiblemente mayor que la prima del EC completo.</w:t>
      </w:r>
    </w:p>
    <w:bookmarkEnd w:id="23"/>
    <w:bookmarkStart w:id="27" w:name="prima-salarial-por-definición"/>
    <w:p>
      <w:pPr>
        <w:pStyle w:val="Heading3"/>
      </w:pPr>
      <w:r>
        <w:t xml:space="preserve">2.4.2 Prima salarial por definición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Núcleo informático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Núcleo amplio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 completo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−31,47%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−16,72%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+46,16%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+46,16%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+18,90%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−18,35%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−28,51%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+27,15%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−4,62%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−15,39%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+62,03%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+19,78%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−15,09%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+63,13%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+63,13%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+10,22%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+66,46%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+66,46%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+20,06%</w:t>
            </w:r>
          </w:p>
        </w:tc>
      </w:tr>
    </w:tbl>
    <w:p>
      <w:pPr>
        <w:pStyle w:val="BodyText"/>
      </w:pPr>
      <w:r>
        <w:t xml:space="preserve">La prima del núcleo informático se duplicó entre 2022 (+27,2%) y 2025 (+66,5%). La prima del EC completo es 46 pp menor por el peso de las ramas proxy. La brecha núcleo vs. completo se amplió de 42,5 pp (2022) a 46,4 pp (2025).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Users\HP\AppData\Local\Programs\Quarto\share\formats\docx\important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Hallazgo principal.</w:t>
            </w:r>
            <w:r>
              <w:t xml:space="preserve"> </w:t>
            </w:r>
            <w:r>
              <w:t xml:space="preserve">El núcleo informático paga</w:t>
            </w:r>
            <w:r>
              <w:t xml:space="preserve"> </w:t>
            </w:r>
            <w:r>
              <w:rPr>
                <w:b/>
                <w:bCs/>
              </w:rPr>
              <w:t xml:space="preserve">+66,5%</w:t>
            </w:r>
            <w:r>
              <w:t xml:space="preserve"> </w:t>
            </w:r>
            <w:r>
              <w:t xml:space="preserve">sobre el promedio provincial en 2025. El diferencial se amplía año a año y contrasta con la caída del salario real provincial. El sector EC opera como enclave de altos salarios dentro de la economía provincial.</w:t>
            </w:r>
          </w:p>
          <w:p/>
        </w:tc>
      </w:tr>
    </w:tbl>
    <w:bookmarkEnd w:id="27"/>
    <w:bookmarkEnd w:id="28"/>
    <w:bookmarkStart w:id="44" w:name="recaudación-ec"/>
    <w:p>
      <w:pPr>
        <w:pStyle w:val="Heading2"/>
      </w:pPr>
      <w:r>
        <w:t xml:space="preserve">2.5 Recaudación EC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Recaudación EC</w:t>
      </w:r>
      <w:r>
        <w:t xml:space="preserve"> </w:t>
      </w:r>
      <w:r>
        <w:t xml:space="preserve">es la porción de Ingresos Brutos provincial correspondiente a las actividades de Economía del Conocimiento. No es un impuesto separado: se recauda a través del régimen general de II.BB. La serie se construye a partir del padrón de contribuyentes por régimen (Convenio Multilateral vs. Local) y la base imponible declarada.</w:t>
      </w:r>
    </w:p>
    <w:bookmarkStart w:id="29" w:name="serie-2022-2025"/>
    <w:p>
      <w:pPr>
        <w:pStyle w:val="Heading3"/>
      </w:pPr>
      <w:r>
        <w:t xml:space="preserve">2.5.1 Serie 2022-2025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Contrib. Multilateral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Contrib. 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Recaudación 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II.BB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EC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$58,99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$11.588,96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$243,01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$26.779,40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$846,13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$83.422,68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$1.940,91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$125.549,36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1,55%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Fuente:</w:t>
      </w:r>
      <w:r>
        <w:t xml:space="preserve"> </w:t>
      </w:r>
      <w:r>
        <w:t xml:space="preserve">DGIP La Rioja + DNAP/CEPA. II.BB en millones de pesos corrientes.</w:t>
      </w:r>
    </w:p>
    <w:bookmarkEnd w:id="29"/>
    <w:bookmarkStart w:id="38" w:name="dinámica-comparada"/>
    <w:p>
      <w:pPr>
        <w:pStyle w:val="Heading3"/>
      </w:pPr>
      <w:r>
        <w:t xml:space="preserve">2.5.2 Dinámica comparada</w:t>
      </w:r>
    </w:p>
    <w:p>
      <w:pPr>
        <w:pStyle w:val="FirstParagraph"/>
      </w:pPr>
      <w:r>
        <w:t xml:space="preserve">Entre 2022 y 2025, la Recaudación EC creció</w:t>
      </w:r>
      <w:r>
        <w:t xml:space="preserve"> </w:t>
      </w:r>
      <w:r>
        <w:rPr>
          <w:b/>
          <w:bCs/>
        </w:rPr>
        <w:t xml:space="preserve">×32,9</w:t>
      </w:r>
      <w:r>
        <w:t xml:space="preserve"> </w:t>
      </w:r>
      <w:r>
        <w:t xml:space="preserve">($58,99 M → $1.940,91 M), mientras el II.BB total lo hizo</w:t>
      </w:r>
      <w:r>
        <w:t xml:space="preserve"> </w:t>
      </w:r>
      <w:r>
        <w:rPr>
          <w:b/>
          <w:bCs/>
        </w:rPr>
        <w:t xml:space="preserve">×10,8</w:t>
      </w:r>
      <w:r>
        <w:t xml:space="preserve"> </w:t>
      </w:r>
      <w:r>
        <w:t xml:space="preserve">($11.588,96 M → $125.549,36 M). El EC crece</w:t>
      </w:r>
      <w:r>
        <w:t xml:space="preserve"> </w:t>
      </w:r>
      <w:r>
        <w:rPr>
          <w:b/>
          <w:bCs/>
        </w:rPr>
        <w:t xml:space="preserve">3,0 veces más rápido</w:t>
      </w:r>
      <w:r>
        <w:t xml:space="preserve"> </w:t>
      </w:r>
      <w:r>
        <w:t xml:space="preserve">que la base total.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rec-ec"/>
          <w:p>
            <w:pPr>
              <w:pStyle w:val="Compact"/>
              <w:jc w:val="center"/>
            </w:pPr>
            <w:r>
              <w:drawing>
                <wp:inline>
                  <wp:extent cx="5334000" cy="245660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figuras/F20_recaudacion_ec_vs_iibb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6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Recaudación EC vs. Ingresos Brutos totales. La Rioja 2022-2025. Fuente: DGIP La Rioja + DNAP/CEPA.</w:t>
            </w:r>
          </w:p>
          <w:bookmarkEnd w:id="33"/>
        </w:tc>
      </w:tr>
    </w:tbl>
    <w:p>
      <w:pPr>
        <w:pStyle w:val="BodyText"/>
      </w:pPr>
      <w:r>
        <w:t xml:space="preserve">El share del EC sobre la base imponible provincial pasó de</w:t>
      </w:r>
      <w:r>
        <w:t xml:space="preserve"> </w:t>
      </w:r>
      <w:r>
        <w:rPr>
          <w:b/>
          <w:bCs/>
        </w:rPr>
        <w:t xml:space="preserve">0,51%</w:t>
      </w:r>
      <w:r>
        <w:t xml:space="preserve"> </w:t>
      </w:r>
      <w:r>
        <w:t xml:space="preserve">(2022) a</w:t>
      </w:r>
      <w:r>
        <w:t xml:space="preserve"> </w:t>
      </w:r>
      <w:r>
        <w:rPr>
          <w:b/>
          <w:bCs/>
        </w:rPr>
        <w:t xml:space="preserve">1,55%</w:t>
      </w:r>
      <w:r>
        <w:t xml:space="preserve"> </w:t>
      </w:r>
      <w:r>
        <w:t xml:space="preserve">(2025): se triplicó en cuatro años.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share-ec"/>
          <w:p>
            <w:pPr>
              <w:pStyle w:val="Compact"/>
              <w:jc w:val="center"/>
            </w:pPr>
            <w:r>
              <w:drawing>
                <wp:inline>
                  <wp:extent cx="5334000" cy="262645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figuras/F21_share_ec_iibb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6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Peso de la Recaudación EC sobre Ingresos Brutos. La Rioja 2022-2025. Fuente: DGIP La Rioja + DNAP/CEPA.</w:t>
            </w:r>
          </w:p>
          <w:bookmarkEnd w:id="37"/>
        </w:tc>
      </w:tr>
    </w:tbl>
    <w:bookmarkEnd w:id="38"/>
    <w:bookmarkStart w:id="43" w:name="migración-de-contribuyentes"/>
    <w:p>
      <w:pPr>
        <w:pStyle w:val="Heading3"/>
      </w:pPr>
      <w:r>
        <w:t xml:space="preserve">2.5.3 Migración de contribuyentes</w:t>
      </w:r>
    </w:p>
    <w:p>
      <w:pPr>
        <w:pStyle w:val="FirstParagraph"/>
      </w:pPr>
      <w:r>
        <w:t xml:space="preserve">El padrón EC muestra una recomposición estructural: los contribuyentes</w:t>
      </w:r>
      <w:r>
        <w:t xml:space="preserve"> </w:t>
      </w:r>
      <w:r>
        <w:rPr>
          <w:b/>
          <w:bCs/>
        </w:rPr>
        <w:t xml:space="preserve">Locales</w:t>
      </w:r>
      <w:r>
        <w:t xml:space="preserve"> </w:t>
      </w:r>
      <w:r>
        <w:t xml:space="preserve">cayeron −26,2% (1.138 → 840), mientras los de</w:t>
      </w:r>
      <w:r>
        <w:t xml:space="preserve"> </w:t>
      </w:r>
      <w:r>
        <w:rPr>
          <w:b/>
          <w:bCs/>
        </w:rPr>
        <w:t xml:space="preserve">Convenio Multilateral</w:t>
      </w:r>
      <w:r>
        <w:t xml:space="preserve"> </w:t>
      </w:r>
      <w:r>
        <w:t xml:space="preserve">crecieron +18,4% (1.752 → 2.075). El share de Multilateral pasó de 60,6% (2022) a 71,2% (2025).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contrib-ec"/>
          <w:p>
            <w:pPr>
              <w:pStyle w:val="Compact"/>
              <w:jc w:val="center"/>
            </w:pPr>
            <w:r>
              <w:drawing>
                <wp:inline>
                  <wp:extent cx="5334000" cy="263089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figuras/F23_contribuyentes_ec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Contribuyentes EC por régimen de tributación. La Rioja 2022-2025. Fuente: DGIP La Rioja.</w:t>
            </w:r>
          </w:p>
          <w:bookmarkEnd w:id="42"/>
        </w:tc>
      </w:tr>
    </w:tbl>
    <w:p>
      <w:pPr>
        <w:pStyle w:val="BodyText"/>
      </w:pPr>
      <w:r>
        <w:t xml:space="preserve">La caída de contribuyentes Locales no implica desaparición de firmas, sino traspaso al régimen de Convenio Multilateral. Es un patrón esperable cuando las empresas del sector crecen y comienzan a operar en más de una jurisdicción.</w:t>
      </w:r>
    </w:p>
    <w:bookmarkEnd w:id="43"/>
    <w:bookmarkEnd w:id="44"/>
    <w:bookmarkEnd w:id="45"/>
    <w:bookmarkStart w:id="48" w:name="sec-conclusiones"/>
    <w:p>
      <w:pPr>
        <w:pStyle w:val="Heading1"/>
      </w:pPr>
      <w:r>
        <w:t xml:space="preserve">3. Conclusiones y recomendaciones</w:t>
      </w:r>
    </w:p>
    <w:bookmarkStart w:id="46" w:name="conclusiones"/>
    <w:p>
      <w:pPr>
        <w:pStyle w:val="Heading2"/>
      </w:pPr>
      <w:r>
        <w:t xml:space="preserve">3.1 Conclusiones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Recaudación EC: único vector positivo del sistema tributario provincial.</w:t>
      </w:r>
      <w:r>
        <w:t xml:space="preserve"> </w:t>
      </w:r>
      <w:r>
        <w:t xml:space="preserve">La Recaudación EC crece 3 veces más rápido que el II.BB total (×32,9 vs. ×10,8 entre 2022 y 2025). Su share sobre la base imponible se triplicó (0,51% → 1,55%). Es el agregado más dinámico del sistema, aunque su escala todavía es modesta.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Prima salarial creciente sobre base empresarial frágil.</w:t>
      </w:r>
      <w:r>
        <w:t xml:space="preserve"> </w:t>
      </w:r>
      <w:r>
        <w:t xml:space="preserve">El núcleo informático paga +66,5% sobre el promedio provincial en 2025, contra +27,2% en 2022. La prima se duplicó. Pero la cantidad de empresas cayó −11,6% entre 2022 y 2025, y el empleo del núcleo retrocedió −23,7% desde el pico 2023. El diferencial salarial se sostiene sobre una base que se achica.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Elasticidad invertida: cada empresa EC emplea menos.</w:t>
      </w:r>
      <w:r>
        <w:t xml:space="preserve"> </w:t>
      </w:r>
      <w:r>
        <w:t xml:space="preserve">Entre 2022 y 2024, las empresas EC crecieron +7,4% mientras el empleo del núcleo cayó −6,5%. El tamaño medio se redujo de 0,69 a 0,60 empleados por empresa. En 2025 la caída de empresas (−17,6%) fue mucho más fuerte que la de empleo (−2,8%), lo que sugiere cierre de firmas chicas y concentración en las grandes.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Dependencia de proxies.</w:t>
      </w:r>
      <w:r>
        <w:t xml:space="preserve"> </w:t>
      </w:r>
      <w:r>
        <w:t xml:space="preserve">El 67,7% del conteo EC depende de los códigos 7421 (arquitectura/ingeniería/geología) y 7499 (servicios empresariales), que pagan 25-27%</w:t>
      </w:r>
      <w:r>
        <w:t xml:space="preserve"> </w:t>
      </w:r>
      <w:r>
        <w:rPr>
          <w:b/>
          <w:bCs/>
        </w:rPr>
        <w:t xml:space="preserve">por debajo</w:t>
      </w:r>
      <w:r>
        <w:t xml:space="preserve"> </w:t>
      </w:r>
      <w:r>
        <w:t xml:space="preserve">del promedio provincial. El núcleo informático real (7220 + 7290) representa una fracción minoritaria del conteo total de empresas.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Peor desempeño regional en intensidad empresarial.</w:t>
      </w:r>
      <w:r>
        <w:t xml:space="preserve"> </w:t>
      </w:r>
      <w:r>
        <w:t xml:space="preserve">La Rioja perdió −4,45 pp de intensidad EC entre 2022 y 2025, la peor caída de 9 jurisdicciones comparadas. La densidad del sector cayó de 33,07‰ a 28,62‰.</w:t>
      </w:r>
    </w:p>
    <w:bookmarkEnd w:id="46"/>
    <w:bookmarkStart w:id="47" w:name="recomendaciones-de-política"/>
    <w:p>
      <w:pPr>
        <w:pStyle w:val="Heading2"/>
      </w:pPr>
      <w:r>
        <w:t xml:space="preserve">3.2 Recomendaciones de política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Escalar el sector EC como prioridad fiscal.</w:t>
      </w:r>
      <w:r>
        <w:t xml:space="preserve"> </w:t>
      </w:r>
      <w:r>
        <w:t xml:space="preserve">Si es el único vector positivo del sistema tributario, debería concentrar instrumentos de promoción. Duplicar su peso del 1,55% al 3% de II.BB amortiguaría considerablemente la caída de la recaudación general.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Reducir la dependencia de proxies.</w:t>
      </w:r>
      <w:r>
        <w:t xml:space="preserve"> </w:t>
      </w:r>
      <w:r>
        <w:t xml:space="preserve">Focalizar las políticas en el núcleo informático (7220 y 7290) en lugar de la definición amplia. Los proxies 7421 y 7499 no permiten aislar la actividad EC específica y diluyen la señal.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Recuperar masa crítica de empresas.</w:t>
      </w:r>
      <w:r>
        <w:t xml:space="preserve"> </w:t>
      </w:r>
      <w:r>
        <w:t xml:space="preserve">El estancamiento del software (25 → 28 → 25 en 2022-2025) y la caída de −11,6% en empresas EC totales requieren instrumentos específicos de creación y consolidación de firmas.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Recomponer el pipeline de innovación.</w:t>
      </w:r>
      <w:r>
        <w:t xml:space="preserve"> </w:t>
      </w:r>
      <w:r>
        <w:t xml:space="preserve">La caída de −50,1% en investigadores EJC respecto al pico 2013 compromete la sostenibilidad del sector en el mediano plazo.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Conseguir el dato 2026 de Recaudación EC.</w:t>
      </w:r>
      <w:r>
        <w:t xml:space="preserve"> </w:t>
      </w:r>
      <w:r>
        <w:t xml:space="preserve">La serie oficial se cierra cuando la DGIP publique el padrón actualizado. Debe solicitarse formalmente para completar el análisis fiscal.</w:t>
      </w:r>
    </w:p>
    <w:bookmarkEnd w:id="47"/>
    <w:bookmarkEnd w:id="48"/>
    <w:bookmarkStart w:id="52" w:name="sec-anexo"/>
    <w:p>
      <w:pPr>
        <w:pStyle w:val="Heading1"/>
      </w:pPr>
      <w:r>
        <w:t xml:space="preserve">4. Anexo metodológico</w:t>
      </w:r>
    </w:p>
    <w:bookmarkStart w:id="49" w:name="fuentes"/>
    <w:p>
      <w:pPr>
        <w:pStyle w:val="Heading2"/>
      </w:pPr>
      <w:r>
        <w:t xml:space="preserve">4.1 Fuentes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Serie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SIPA-OEDE (STEySS)</w:t>
            </w:r>
          </w:p>
        </w:tc>
        <w:tc>
          <w:tcPr/>
          <w:p>
            <w:pPr>
              <w:pStyle w:val="Compact"/>
            </w:pPr>
            <w:r>
              <w:t xml:space="preserve">Empresas privadas por rama</w:t>
            </w:r>
          </w:p>
        </w:tc>
        <w:tc>
          <w:tcPr/>
          <w:p>
            <w:pPr>
              <w:pStyle w:val="Compact"/>
            </w:pPr>
            <w:r>
              <w:t xml:space="preserve">1996-2025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SIPA-OEDE (STEySS)</w:t>
            </w:r>
          </w:p>
        </w:tc>
        <w:tc>
          <w:tcPr/>
          <w:p>
            <w:pPr>
              <w:pStyle w:val="Compact"/>
            </w:pPr>
            <w:r>
              <w:t xml:space="preserve">Empleo por rama a 4 dígitos CIIU</w:t>
            </w:r>
          </w:p>
        </w:tc>
        <w:tc>
          <w:tcPr/>
          <w:p>
            <w:pPr>
              <w:pStyle w:val="Compact"/>
            </w:pPr>
            <w:r>
              <w:t xml:space="preserve">1996-2025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SIPA-OEDE</w:t>
            </w:r>
          </w:p>
        </w:tc>
        <w:tc>
          <w:tcPr/>
          <w:p>
            <w:pPr>
              <w:pStyle w:val="Compact"/>
            </w:pPr>
            <w:r>
              <w:t xml:space="preserve">Salario por rama a 4 dígitos CIIU</w:t>
            </w:r>
          </w:p>
        </w:tc>
        <w:tc>
          <w:tcPr/>
          <w:p>
            <w:pPr>
              <w:pStyle w:val="Compact"/>
            </w:pPr>
            <w:r>
              <w:t xml:space="preserve">1995-2025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SIPA-OEDE</w:t>
            </w:r>
          </w:p>
        </w:tc>
        <w:tc>
          <w:tcPr/>
          <w:p>
            <w:pPr>
              <w:pStyle w:val="Compact"/>
            </w:pPr>
            <w:r>
              <w:t xml:space="preserve">Salario promedio provincial</w:t>
            </w:r>
          </w:p>
        </w:tc>
        <w:tc>
          <w:tcPr/>
          <w:p>
            <w:pPr>
              <w:pStyle w:val="Compact"/>
            </w:pPr>
            <w:r>
              <w:t xml:space="preserve">2010-2026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DGIP La Rioja</w:t>
            </w:r>
          </w:p>
        </w:tc>
        <w:tc>
          <w:tcPr/>
          <w:p>
            <w:pPr>
              <w:pStyle w:val="Compact"/>
            </w:pPr>
            <w:r>
              <w:t xml:space="preserve">Ingresos Brutos por actividad</w:t>
            </w:r>
          </w:p>
        </w:tc>
        <w:tc>
          <w:tcPr/>
          <w:p>
            <w:pPr>
              <w:pStyle w:val="Compact"/>
            </w:pPr>
            <w:r>
              <w:t xml:space="preserve">2018-2025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DGIP La Rioja</w:t>
            </w:r>
          </w:p>
        </w:tc>
        <w:tc>
          <w:tcPr/>
          <w:p>
            <w:pPr>
              <w:pStyle w:val="Compact"/>
            </w:pPr>
            <w:r>
              <w:t xml:space="preserve">Contribuyentes por régimen</w:t>
            </w:r>
          </w:p>
        </w:tc>
        <w:tc>
          <w:tcPr/>
          <w:p>
            <w:pPr>
              <w:pStyle w:val="Compact"/>
            </w:pPr>
            <w:r>
              <w:t xml:space="preserve">2022-2025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DNAP/CEPA</w:t>
            </w:r>
          </w:p>
        </w:tc>
        <w:tc>
          <w:tcPr/>
          <w:p>
            <w:pPr>
              <w:pStyle w:val="Compact"/>
            </w:pPr>
            <w:r>
              <w:t xml:space="preserve">Recaudación provincial total y por tributo</w:t>
            </w:r>
          </w:p>
        </w:tc>
        <w:tc>
          <w:tcPr/>
          <w:p>
            <w:pPr>
              <w:pStyle w:val="Compact"/>
            </w:pPr>
            <w:r>
              <w:t xml:space="preserve">2019-2026</w:t>
            </w:r>
          </w:p>
        </w:tc>
      </w:tr>
    </w:tbl>
    <w:bookmarkEnd w:id="49"/>
    <w:bookmarkStart w:id="50" w:name="definiciones-clave"/>
    <w:p>
      <w:pPr>
        <w:pStyle w:val="Heading2"/>
      </w:pPr>
      <w:r>
        <w:t xml:space="preserve">4.2 Definiciones clave</w:t>
      </w:r>
    </w:p>
    <w:p>
      <w:pPr>
        <w:pStyle w:val="FirstParagraph"/>
      </w:pPr>
      <w:r>
        <w:rPr>
          <w:b/>
          <w:bCs/>
        </w:rPr>
        <w:t xml:space="preserve">Actividades EC (AFIP/ARCA).</w:t>
      </w:r>
      <w:r>
        <w:t xml:space="preserve"> </w:t>
      </w:r>
      <w:r>
        <w:t xml:space="preserve">Ocho códigos CIIU rev. 3: 7210, 7220, 7250, 7290, 7300, 7421, 7430, 7499. Excluye 9220 (agencias de noticias).</w:t>
      </w:r>
    </w:p>
    <w:p>
      <w:pPr>
        <w:pStyle w:val="BodyText"/>
      </w:pPr>
      <w:r>
        <w:rPr>
          <w:b/>
          <w:bCs/>
        </w:rPr>
        <w:t xml:space="preserve">Núcleo informático.</w:t>
      </w:r>
      <w:r>
        <w:t xml:space="preserve"> </w:t>
      </w:r>
      <w:r>
        <w:t xml:space="preserve">Subconjunto canónico: 7210 + 7220 + 7290. En la práctica se calcula como 7220 + 7290, porque el CIIU 7210 no tiene datos publicados en SIPA-OEDE.</w:t>
      </w:r>
    </w:p>
    <w:p>
      <w:pPr>
        <w:pStyle w:val="BodyText"/>
      </w:pPr>
      <w:r>
        <w:rPr>
          <w:b/>
          <w:bCs/>
        </w:rPr>
        <w:t xml:space="preserve">Empleo EC.</w:t>
      </w:r>
      <w:r>
        <w:t xml:space="preserve"> </w:t>
      </w:r>
      <w:r>
        <w:t xml:space="preserve">Stock promedio anual de puestos del núcleo informático, promedio de los cuatro trimestres.</w:t>
      </w:r>
    </w:p>
    <w:p>
      <w:pPr>
        <w:pStyle w:val="BodyText"/>
      </w:pPr>
      <w:r>
        <w:rPr>
          <w:b/>
          <w:bCs/>
        </w:rPr>
        <w:t xml:space="preserve">Recaudación EC.</w:t>
      </w:r>
      <w:r>
        <w:t xml:space="preserve"> </w:t>
      </w:r>
      <w:r>
        <w:t xml:space="preserve">Porción de II.BB provincial atribuible a Actividades EC. No es impuesto separado.</w:t>
      </w:r>
    </w:p>
    <w:p>
      <w:pPr>
        <w:pStyle w:val="BodyText"/>
      </w:pPr>
      <w:r>
        <w:rPr>
          <w:b/>
          <w:bCs/>
        </w:rPr>
        <w:t xml:space="preserve">Intensidad empresarial EC.</w:t>
      </w:r>
      <w:r>
        <w:t xml:space="preserve"> </w:t>
      </w:r>
      <w:r>
        <w:t xml:space="preserve">Empresas EC por cada 1.000 empresas totales de la provincia (‰).</w:t>
      </w:r>
    </w:p>
    <w:p>
      <w:pPr>
        <w:pStyle w:val="BodyText"/>
      </w:pPr>
      <w:r>
        <w:rPr>
          <w:b/>
          <w:bCs/>
        </w:rPr>
        <w:t xml:space="preserve">Elasticidad empleo-empresas.</w:t>
      </w:r>
      <w:r>
        <w:t xml:space="preserve"> </w:t>
      </w:r>
      <w:r>
        <w:t xml:space="preserve">Variación % del empleo EC dividido por la variación % de las empresas EC.</w:t>
      </w:r>
    </w:p>
    <w:p>
      <w:pPr>
        <w:pStyle w:val="BodyText"/>
      </w:pPr>
      <w:r>
        <w:rPr>
          <w:b/>
          <w:bCs/>
        </w:rPr>
        <w:t xml:space="preserve">Prima salarial EC.</w:t>
      </w:r>
      <w:r>
        <w:t xml:space="preserve"> </w:t>
      </w:r>
      <w:r>
        <w:rPr>
          <w:rStyle w:val="VerbatimChar"/>
        </w:rPr>
        <w:t xml:space="preserve">(salario EC / salario provincial − 1) × 100</w:t>
      </w:r>
      <w:r>
        <w:t xml:space="preserve">. Salario provincial del mismo mes, con SAC.</w:t>
      </w:r>
    </w:p>
    <w:bookmarkEnd w:id="50"/>
    <w:bookmarkStart w:id="51" w:name="limitaciones"/>
    <w:p>
      <w:pPr>
        <w:pStyle w:val="Heading2"/>
      </w:pPr>
      <w:r>
        <w:t xml:space="preserve">4.3 Limitaciones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Hueco 2023 en empresas.</w:t>
      </w:r>
      <w:r>
        <w:t xml:space="preserve"> </w:t>
      </w:r>
      <w:r>
        <w:t xml:space="preserve">SIPA-OEDE no publica datos para ese año.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2025 preliminar.</w:t>
      </w:r>
      <w:r>
        <w:t xml:space="preserve"> </w:t>
      </w:r>
      <w:r>
        <w:t xml:space="preserve">Las cifras pueden ser revisadas por OEDE.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Proxies 7421 y 7499.</w:t>
      </w:r>
      <w:r>
        <w:t xml:space="preserve"> </w:t>
      </w:r>
      <w:r>
        <w:t xml:space="preserve">Representan el 67,7% del conteo EC.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CIIU 7210 sin datos.</w:t>
      </w:r>
      <w:r>
        <w:t xml:space="preserve"> </w:t>
      </w:r>
      <w:r>
        <w:t xml:space="preserve">No tiene salario ni empleo publicados.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Salario promedio, no mediana.</w:t>
      </w:r>
      <w:r>
        <w:t xml:space="preserve"> </w:t>
      </w:r>
      <w:r>
        <w:t xml:space="preserve">Sensible a cambios en composición.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Recaudación EC 2026 sin publicar.</w:t>
      </w:r>
      <w:r>
        <w:t xml:space="preserve"> </w:t>
      </w:r>
      <w:r>
        <w:t xml:space="preserve">Debe solicitarse a DGIP.</w:t>
      </w:r>
    </w:p>
    <w:bookmarkEnd w:id="51"/>
    <w:bookmarkEnd w:id="52"/>
    <w:bookmarkStart w:id="54" w:name="sec-referencias"/>
    <w:p>
      <w:pPr>
        <w:pStyle w:val="Heading1"/>
      </w:pPr>
      <w:r>
        <w:t xml:space="preserve">5. Referencias</w:t>
      </w:r>
    </w:p>
    <w:bookmarkStart w:id="53" w:name="refs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Economía del Conocimiento en La Rioja</dc:title>
  <dc:creator>Lic. en Economía</dc:creator>
  <dc:language>es</dc:language>
  <cp:keywords/>
  <dcterms:created xsi:type="dcterms:W3CDTF">2026-09-20T02:20:01Z</dcterms:created>
  <dcterms:modified xsi:type="dcterms:W3CDTF">2026-09-20T02:20:01Z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septiembre 2026</vt:lpwstr>
  </property>
  <property fmtid="{D5CDD505-2E9C-101B-9397-08002B2CF9AE}" pid="6" name="date-format">
    <vt:lpwstr>MMMM YYYY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Análisis del período 2019-2025</vt:lpwstr>
  </property>
  <property fmtid="{D5CDD505-2E9C-101B-9397-08002B2CF9AE}" pid="13" name="toc-title">
    <vt:lpwstr>Tabla de contenidos</vt:lpwstr>
  </property>
</Properties>
</file>