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37.png" ContentType="image/png"/>
  <Override PartName="/word/media/rId13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Economía del Conocimiento en La Rioja</w:t>
      </w:r>
    </w:p>
    <w:p>
      <w:pPr>
        <w:pStyle w:val="Subtitle"/>
      </w:pPr>
      <w:r>
        <w:t xml:space="preserve">Radiografía del empleo, las empresas y la recaudación (2022–2025)</w:t>
      </w:r>
    </w:p>
    <w:p>
      <w:pPr>
        <w:pStyle w:val="Author"/>
      </w:pPr>
      <w:r>
        <w:t xml:space="preserve">Secretaría de Ciencia y Tecnología — La Rioja</w:t>
      </w:r>
    </w:p>
    <w:p>
      <w:pPr>
        <w:pStyle w:val="Date"/>
      </w:pPr>
      <w:r>
        <w:t xml:space="preserve">2026-09-25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Tabla de contenidos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resumen-ejecutivo"/>
    <w:p>
      <w:pPr>
        <w:pStyle w:val="Heading1"/>
      </w:pPr>
      <w:r>
        <w:t xml:space="preserve">Resumen ejecutivo</w:t>
      </w:r>
    </w:p>
    <w:p>
      <w:pPr>
        <w:pStyle w:val="FirstParagraph"/>
      </w:pPr>
      <w:r>
        <w:t xml:space="preserve">La Economía del Conocimiento (EC) en La Rioja muestra en 2025 una</w:t>
      </w:r>
      <w:r>
        <w:t xml:space="preserve"> </w:t>
      </w:r>
      <w:r>
        <w:rPr>
          <w:b/>
          <w:bCs/>
        </w:rPr>
        <w:t xml:space="preserve">masa crítica consolidada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521 puestos de trabajo</w:t>
      </w:r>
      <w:r>
        <w:t xml:space="preserve"> </w:t>
      </w:r>
      <w:r>
        <w:t xml:space="preserve">registrados bajo la definición ARCA-DGIP,</w:t>
      </w:r>
      <w:r>
        <w:t xml:space="preserve"> </w:t>
      </w:r>
      <w:r>
        <w:rPr>
          <w:b/>
          <w:bCs/>
        </w:rPr>
        <w:t xml:space="preserve">84 empresas</w:t>
      </w:r>
      <w:r>
        <w:t xml:space="preserve"> </w:t>
      </w:r>
      <w:r>
        <w:t xml:space="preserve">activas y una</w:t>
      </w:r>
      <w:r>
        <w:t xml:space="preserve"> </w:t>
      </w:r>
      <w:r>
        <w:rPr>
          <w:b/>
          <w:bCs/>
        </w:rPr>
        <w:t xml:space="preserve">recaudación de $1.940.914 miles</w:t>
      </w:r>
      <w:r>
        <w:t xml:space="preserve"> </w:t>
      </w:r>
      <w:r>
        <w:t xml:space="preserve">— multiplicando por</w:t>
      </w:r>
      <w:r>
        <w:t xml:space="preserve"> </w:t>
      </w:r>
      <w:r>
        <w:rPr>
          <w:b/>
          <w:bCs/>
        </w:rPr>
        <w:t xml:space="preserve">32,9</w:t>
      </w:r>
      <w:r>
        <w:t xml:space="preserve"> </w:t>
      </w:r>
      <w:r>
        <w:t xml:space="preserve">los ingresos de 2022.</w:t>
      </w:r>
    </w:p>
    <w:p>
      <w:pPr>
        <w:pStyle w:val="BodyText"/>
      </w:pPr>
      <w:r>
        <w:t xml:space="preserve">Cinco hallazgos centrales: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Crecimiento sostenido del sector EC</w:t>
      </w:r>
      <w:r>
        <w:t xml:space="preserve">: el empleo pasó de 445 puestos en 2022 a 521 en 2025 (+17,2%), impulsado principalmente por servicios empresariales y arquitectura/ingeniería.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Núcleo informático consolidado</w:t>
      </w:r>
      <w:r>
        <w:t xml:space="preserve">: 63,8 puestos en 2025 (12,2% del total EC), con el código 7290 (Informática n.c.p.) creciendo</w:t>
      </w:r>
      <w:r>
        <w:t xml:space="preserve"> </w:t>
      </w:r>
      <w:r>
        <w:rPr>
          <w:b/>
          <w:bCs/>
        </w:rPr>
        <w:t xml:space="preserve">+25,2%</w:t>
      </w:r>
      <w:r>
        <w:t xml:space="preserve"> </w:t>
      </w:r>
      <w:r>
        <w:t xml:space="preserve">en el período.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Salarios premium verificados</w:t>
      </w:r>
      <w:r>
        <w:t xml:space="preserve">: el código 7290 registra un salario mensual de</w:t>
      </w:r>
      <w:r>
        <w:t xml:space="preserve"> </w:t>
      </w:r>
      <w:r>
        <w:rPr>
          <w:b/>
          <w:bCs/>
        </w:rPr>
        <w:t xml:space="preserve">$3.108.543</w:t>
      </w:r>
      <w:r>
        <w:t xml:space="preserve">, un</w:t>
      </w:r>
      <w:r>
        <w:t xml:space="preserve"> </w:t>
      </w:r>
      <w:r>
        <w:rPr>
          <w:b/>
          <w:bCs/>
        </w:rPr>
        <w:t xml:space="preserve">+138%</w:t>
      </w:r>
      <w:r>
        <w:t xml:space="preserve"> </w:t>
      </w:r>
      <w:r>
        <w:t xml:space="preserve">por encima del promedio provincial.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Recaudación récord</w:t>
      </w:r>
      <w:r>
        <w:t xml:space="preserve">: la DGIP La Rioja captó</w:t>
      </w:r>
      <w:r>
        <w:t xml:space="preserve"> </w:t>
      </w:r>
      <w:r>
        <w:rPr>
          <w:b/>
          <w:bCs/>
        </w:rPr>
        <w:t xml:space="preserve">$1.940.914 miles</w:t>
      </w:r>
      <w:r>
        <w:t xml:space="preserve"> </w:t>
      </w:r>
      <w:r>
        <w:t xml:space="preserve">en 2025, un crecimiento del</w:t>
      </w:r>
      <w:r>
        <w:t xml:space="preserve"> </w:t>
      </w:r>
      <w:r>
        <w:rPr>
          <w:b/>
          <w:bCs/>
        </w:rPr>
        <w:t xml:space="preserve">+129%</w:t>
      </w:r>
      <w:r>
        <w:t xml:space="preserve"> </w:t>
      </w:r>
      <w:r>
        <w:t xml:space="preserve">respecto a 2024.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Posición federal</w:t>
      </w:r>
      <w:r>
        <w:t xml:space="preserve">: La Rioja se ubica</w:t>
      </w:r>
      <w:r>
        <w:t xml:space="preserve"> </w:t>
      </w:r>
      <w:r>
        <w:rPr>
          <w:b/>
          <w:bCs/>
        </w:rPr>
        <w:t xml:space="preserve">7ª de 9 provincias</w:t>
      </w:r>
      <w:r>
        <w:t xml:space="preserve"> </w:t>
      </w:r>
      <w:r>
        <w:t xml:space="preserve">relevadas en intensidad empresarial EC (31,34 ‰), con margen concreto de mejora.</w:t>
      </w:r>
    </w:p>
    <w:bookmarkEnd w:id="9"/>
    <w:bookmarkStart w:id="12" w:name="definición-y-metodología"/>
    <w:p>
      <w:pPr>
        <w:pStyle w:val="Heading1"/>
      </w:pPr>
      <w:r>
        <w:t xml:space="preserve">Definición y metodología</w:t>
      </w:r>
    </w:p>
    <w:bookmarkStart w:id="10" w:name="universo-arca-dgip"/>
    <w:p>
      <w:pPr>
        <w:pStyle w:val="Heading2"/>
      </w:pPr>
      <w:r>
        <w:t xml:space="preserve">0.1 Universo ARCA-DGIP</w:t>
      </w:r>
    </w:p>
    <w:p>
      <w:pPr>
        <w:pStyle w:val="FirstParagraph"/>
      </w:pPr>
      <w:r>
        <w:t xml:space="preserve">El universo EC se define a partir de los</w:t>
      </w:r>
      <w:r>
        <w:t xml:space="preserve"> </w:t>
      </w:r>
      <w:r>
        <w:rPr>
          <w:b/>
          <w:bCs/>
        </w:rPr>
        <w:t xml:space="preserve">8 códigos CIIU Rev. 3</w:t>
      </w:r>
      <w:r>
        <w:t xml:space="preserve"> </w:t>
      </w:r>
      <w:r>
        <w:t xml:space="preserve">establecidos por ARCA (ex AFIP) y replicados por la DGIP de La Rioja: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3582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Rama de actividad</w:t>
            </w:r>
          </w:p>
        </w:tc>
        <w:tc>
          <w:tcPr/>
          <w:p>
            <w:pPr>
              <w:pStyle w:val="Compact"/>
            </w:pPr>
            <w:r>
              <w:t xml:space="preserve">Clasificación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7210</w:t>
            </w:r>
          </w:p>
        </w:tc>
        <w:tc>
          <w:tcPr/>
          <w:p>
            <w:pPr>
              <w:pStyle w:val="Compact"/>
            </w:pPr>
            <w:r>
              <w:t xml:space="preserve">Consultores en informática y equipos</w:t>
            </w:r>
          </w:p>
        </w:tc>
        <w:tc>
          <w:tcPr/>
          <w:p>
            <w:pPr>
              <w:pStyle w:val="Compact"/>
            </w:pPr>
            <w:r>
              <w:t xml:space="preserve">Núcleo amplio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7220</w:t>
            </w:r>
          </w:p>
        </w:tc>
        <w:tc>
          <w:tcPr/>
          <w:p>
            <w:pPr>
              <w:pStyle w:val="Compact"/>
            </w:pPr>
            <w:r>
              <w:t xml:space="preserve">Consultores en informática y suministro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Núcleo informático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7250</w:t>
            </w:r>
          </w:p>
        </w:tc>
        <w:tc>
          <w:tcPr/>
          <w:p>
            <w:pPr>
              <w:pStyle w:val="Compact"/>
            </w:pPr>
            <w:r>
              <w:t xml:space="preserve">Mantenimiento y reparación de maquinaria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Núcleo informático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7290</w:t>
            </w:r>
          </w:p>
        </w:tc>
        <w:tc>
          <w:tcPr/>
          <w:p>
            <w:pPr>
              <w:pStyle w:val="Compact"/>
            </w:pPr>
            <w:r>
              <w:t xml:space="preserve">Informática n.c.p.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Núcleo informático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7300</w:t>
            </w:r>
          </w:p>
        </w:tc>
        <w:tc>
          <w:tcPr/>
          <w:p>
            <w:pPr>
              <w:pStyle w:val="Compact"/>
            </w:pPr>
            <w:r>
              <w:t xml:space="preserve">Investigación y desarrollo</w:t>
            </w:r>
          </w:p>
        </w:tc>
        <w:tc>
          <w:tcPr/>
          <w:p>
            <w:pPr>
              <w:pStyle w:val="Compact"/>
            </w:pPr>
            <w:r>
              <w:t xml:space="preserve">Núcleo amplio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7421</w:t>
            </w:r>
          </w:p>
        </w:tc>
        <w:tc>
          <w:tcPr/>
          <w:p>
            <w:pPr>
              <w:pStyle w:val="Compact"/>
            </w:pPr>
            <w:r>
              <w:t xml:space="preserve">Arquitectura e ingeniería</w:t>
            </w:r>
          </w:p>
        </w:tc>
        <w:tc>
          <w:tcPr/>
          <w:p>
            <w:pPr>
              <w:pStyle w:val="Compact"/>
            </w:pPr>
            <w:r>
              <w:t xml:space="preserve">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7430</w:t>
            </w:r>
          </w:p>
        </w:tc>
        <w:tc>
          <w:tcPr/>
          <w:p>
            <w:pPr>
              <w:pStyle w:val="Compact"/>
            </w:pPr>
            <w:r>
              <w:t xml:space="preserve">Ensayos y análisis técnicos</w:t>
            </w:r>
          </w:p>
        </w:tc>
        <w:tc>
          <w:tcPr/>
          <w:p>
            <w:pPr>
              <w:pStyle w:val="Compact"/>
            </w:pPr>
            <w:r>
              <w:t xml:space="preserve">Núcleo amplio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7499</w:t>
            </w:r>
          </w:p>
        </w:tc>
        <w:tc>
          <w:tcPr/>
          <w:p>
            <w:pPr>
              <w:pStyle w:val="Compact"/>
            </w:pPr>
            <w:r>
              <w:t xml:space="preserve">Servicios empresariales n.c.p.</w:t>
            </w:r>
          </w:p>
        </w:tc>
        <w:tc>
          <w:tcPr/>
          <w:p>
            <w:pPr>
              <w:pStyle w:val="Compact"/>
            </w:pPr>
            <w:r>
              <w:t xml:space="preserve">Proxy</w:t>
            </w:r>
          </w:p>
        </w:tc>
      </w:tr>
    </w:tbl>
    <w:bookmarkEnd w:id="10"/>
    <w:bookmarkStart w:id="11" w:name="núcleo-vs.-proxies"/>
    <w:p>
      <w:pPr>
        <w:pStyle w:val="Heading2"/>
      </w:pPr>
      <w:r>
        <w:t xml:space="preserve">0.2 Núcleo vs. proxies</w:t>
      </w:r>
    </w:p>
    <w:p>
      <w:pPr>
        <w:pStyle w:val="FirstParagraph"/>
      </w:pPr>
      <w:r>
        <w:t xml:space="preserve">Es importante distinguir dos niveles de análisis: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Núcleo informático</w:t>
      </w:r>
      <w:r>
        <w:t xml:space="preserve"> </w:t>
      </w:r>
      <w:r>
        <w:t xml:space="preserve">(7220 + 7250 + 7290): actividades estrictamente informáticas. En 2025 concentra</w:t>
      </w:r>
      <w:r>
        <w:t xml:space="preserve"> </w:t>
      </w:r>
      <w:r>
        <w:rPr>
          <w:b/>
          <w:bCs/>
        </w:rPr>
        <w:t xml:space="preserve">63,8 puestos (12,2%)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Proxies</w:t>
      </w:r>
      <w:r>
        <w:t xml:space="preserve"> </w:t>
      </w:r>
      <w:r>
        <w:t xml:space="preserve">(7421 + 7499): arquitectura, ingeniería y servicios empresariales, que agrupan más actividades que la EC estricta. En 2025 concentran</w:t>
      </w:r>
      <w:r>
        <w:t xml:space="preserve"> </w:t>
      </w:r>
      <w:r>
        <w:rPr>
          <w:b/>
          <w:bCs/>
        </w:rPr>
        <w:t xml:space="preserve">457,6 puestos (87,8%)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Advertencia metodológica</w:t>
      </w:r>
      <w:r>
        <w:t xml:space="preserve">: el total de 521 puestos EC debe leerse como un</w:t>
      </w:r>
      <w:r>
        <w:t xml:space="preserve"> </w:t>
      </w:r>
      <w:r>
        <w:rPr>
          <w:b/>
          <w:bCs/>
        </w:rPr>
        <w:t xml:space="preserve">techo superior</w:t>
      </w:r>
      <w:r>
        <w:t xml:space="preserve">, ya que el 87,8% depende de códigos proxy. El núcleo informático es la medida canónica para análisis de empleo tecnológico.</w:t>
      </w:r>
    </w:p>
    <w:bookmarkEnd w:id="11"/>
    <w:bookmarkEnd w:id="12"/>
    <w:bookmarkStart w:id="23" w:name="radiografía-del-empleo-ec-2025"/>
    <w:p>
      <w:pPr>
        <w:pStyle w:val="Heading1"/>
      </w:pPr>
      <w:r>
        <w:t xml:space="preserve">Radiografía del empleo EC 2025</w:t>
      </w:r>
    </w:p>
    <w:bookmarkStart w:id="17" w:name="empleo-por-código-ciiu"/>
    <w:p>
      <w:pPr>
        <w:pStyle w:val="Heading2"/>
      </w:pPr>
      <w:r>
        <w:t xml:space="preserve">0.3 Empleo por código CIIU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empleo-2025"/>
          <w:p>
            <w:pPr>
              <w:pStyle w:val="Compact"/>
              <w:jc w:val="center"/>
            </w:pPr>
            <w:r>
              <w:drawing>
                <wp:inline>
                  <wp:extent cx="4800600" cy="2138479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figuras/F41_empleo_ec_2025_por_ciiu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1384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1: Empleo EC 2025 por código CIIU en La Rioja.</w:t>
            </w:r>
          </w:p>
          <w:bookmarkEnd w:id="16"/>
        </w:tc>
      </w:tr>
    </w:tbl>
    <w:p>
      <w:pPr>
        <w:pStyle w:val="BodyText"/>
      </w:pPr>
      <w:r>
        <w:t xml:space="preserve">El desglose 2025 muestra una estructura fuertemente concentrada en proxies: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CIIU</w:t>
            </w:r>
          </w:p>
        </w:tc>
        <w:tc>
          <w:tcPr/>
          <w:p>
            <w:pPr>
              <w:pStyle w:val="Compact"/>
            </w:pPr>
            <w:r>
              <w:t xml:space="preserve">Rama</w:t>
            </w:r>
          </w:p>
        </w:tc>
        <w:tc>
          <w:tcPr/>
          <w:p>
            <w:pPr>
              <w:pStyle w:val="Compact"/>
            </w:pPr>
            <w:r>
              <w:t xml:space="preserve">Puestos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7220</w:t>
            </w:r>
          </w:p>
        </w:tc>
        <w:tc>
          <w:tcPr/>
          <w:p>
            <w:pPr>
              <w:pStyle w:val="Compact"/>
            </w:pPr>
            <w:r>
              <w:t xml:space="preserve">Consultores informática</w:t>
            </w:r>
          </w:p>
        </w:tc>
        <w:tc>
          <w:tcPr/>
          <w:p>
            <w:pPr>
              <w:pStyle w:val="Compact"/>
            </w:pPr>
            <w:r>
              <w:t xml:space="preserve">26,8</w:t>
            </w:r>
          </w:p>
        </w:tc>
        <w:tc>
          <w:tcPr/>
          <w:p>
            <w:pPr>
              <w:pStyle w:val="Compact"/>
            </w:pPr>
            <w:r>
              <w:t xml:space="preserve">Núcleo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7250</w:t>
            </w:r>
          </w:p>
        </w:tc>
        <w:tc>
          <w:tcPr/>
          <w:p>
            <w:pPr>
              <w:pStyle w:val="Compact"/>
            </w:pPr>
            <w:r>
              <w:t xml:space="preserve">Mantenimiento/reparación</w:t>
            </w:r>
          </w:p>
        </w:tc>
        <w:tc>
          <w:tcPr/>
          <w:p>
            <w:pPr>
              <w:pStyle w:val="Compact"/>
            </w:pPr>
            <w:r>
              <w:t xml:space="preserve">4,2</w:t>
            </w:r>
          </w:p>
        </w:tc>
        <w:tc>
          <w:tcPr/>
          <w:p>
            <w:pPr>
              <w:pStyle w:val="Compact"/>
            </w:pPr>
            <w:r>
              <w:t xml:space="preserve">Núcleo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7290</w:t>
            </w:r>
          </w:p>
        </w:tc>
        <w:tc>
          <w:tcPr/>
          <w:p>
            <w:pPr>
              <w:pStyle w:val="Compact"/>
            </w:pPr>
            <w:r>
              <w:t xml:space="preserve">Informática n.c.p.</w:t>
            </w:r>
          </w:p>
        </w:tc>
        <w:tc>
          <w:tcPr/>
          <w:p>
            <w:pPr>
              <w:pStyle w:val="Compact"/>
            </w:pPr>
            <w:r>
              <w:t xml:space="preserve">32,8</w:t>
            </w:r>
          </w:p>
        </w:tc>
        <w:tc>
          <w:tcPr/>
          <w:p>
            <w:pPr>
              <w:pStyle w:val="Compact"/>
            </w:pPr>
            <w:r>
              <w:t xml:space="preserve">Núcleo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7421</w:t>
            </w:r>
          </w:p>
        </w:tc>
        <w:tc>
          <w:tcPr/>
          <w:p>
            <w:pPr>
              <w:pStyle w:val="Compact"/>
            </w:pPr>
            <w:r>
              <w:t xml:space="preserve">Arquitectura e ingeniería</w:t>
            </w:r>
          </w:p>
        </w:tc>
        <w:tc>
          <w:tcPr/>
          <w:p>
            <w:pPr>
              <w:pStyle w:val="Compact"/>
            </w:pPr>
            <w:r>
              <w:t xml:space="preserve">202,8</w:t>
            </w:r>
          </w:p>
        </w:tc>
        <w:tc>
          <w:tcPr/>
          <w:p>
            <w:pPr>
              <w:pStyle w:val="Compact"/>
            </w:pPr>
            <w:r>
              <w:t xml:space="preserve">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7499</w:t>
            </w:r>
          </w:p>
        </w:tc>
        <w:tc>
          <w:tcPr/>
          <w:p>
            <w:pPr>
              <w:pStyle w:val="Compact"/>
            </w:pPr>
            <w:r>
              <w:t xml:space="preserve">Servicios empresariales</w:t>
            </w:r>
          </w:p>
        </w:tc>
        <w:tc>
          <w:tcPr/>
          <w:p>
            <w:pPr>
              <w:pStyle w:val="Compact"/>
            </w:pPr>
            <w:r>
              <w:t xml:space="preserve">254,8</w:t>
            </w:r>
          </w:p>
        </w:tc>
        <w:tc>
          <w:tcPr/>
          <w:p>
            <w:pPr>
              <w:pStyle w:val="Compact"/>
            </w:pPr>
            <w:r>
              <w:t xml:space="preserve">Proxy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EC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521,4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"/>
    <w:bookmarkStart w:id="22" w:name="participación-del-núcleo-informático"/>
    <w:p>
      <w:pPr>
        <w:pStyle w:val="Heading2"/>
      </w:pPr>
      <w:r>
        <w:t xml:space="preserve">0.4 Participación del núcleo informático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share"/>
          <w:p>
            <w:pPr>
              <w:pStyle w:val="Compact"/>
              <w:jc w:val="center"/>
            </w:pPr>
            <w:r>
              <w:drawing>
                <wp:inline>
                  <wp:extent cx="4800600" cy="2855662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figuras/F36_empleo_shar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8556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2: Participación del núcleo informático en el empleo EC.</w:t>
            </w:r>
          </w:p>
          <w:bookmarkEnd w:id="21"/>
        </w:tc>
      </w:tr>
    </w:tbl>
    <w:p>
      <w:pPr>
        <w:pStyle w:val="BodyText"/>
      </w:pPr>
      <w:r>
        <w:t xml:space="preserve">El núcleo informático representa</w:t>
      </w:r>
      <w:r>
        <w:t xml:space="preserve"> </w:t>
      </w:r>
      <w:r>
        <w:rPr>
          <w:b/>
          <w:bCs/>
        </w:rPr>
        <w:t xml:space="preserve">63,8 puestos</w:t>
      </w:r>
      <w:r>
        <w:t xml:space="preserve"> </w:t>
      </w:r>
      <w:r>
        <w:t xml:space="preserve">en 2025, equivalente al</w:t>
      </w:r>
      <w:r>
        <w:t xml:space="preserve"> </w:t>
      </w:r>
      <w:r>
        <w:rPr>
          <w:b/>
          <w:bCs/>
        </w:rPr>
        <w:t xml:space="preserve">12,2%</w:t>
      </w:r>
      <w:r>
        <w:t xml:space="preserve"> </w:t>
      </w:r>
      <w:r>
        <w:t xml:space="preserve">del total EC. El código 7290 (Informática n.c.p.) es el más dinámico, con</w:t>
      </w:r>
      <w:r>
        <w:t xml:space="preserve"> </w:t>
      </w:r>
      <w:r>
        <w:rPr>
          <w:b/>
          <w:bCs/>
        </w:rPr>
        <w:t xml:space="preserve">+25,2%</w:t>
      </w:r>
      <w:r>
        <w:t xml:space="preserve"> </w:t>
      </w:r>
      <w:r>
        <w:t xml:space="preserve">de crecimiento entre 2022 y 2025.</w:t>
      </w:r>
    </w:p>
    <w:bookmarkEnd w:id="22"/>
    <w:bookmarkEnd w:id="23"/>
    <w:bookmarkStart w:id="30" w:name="serie-histórica-20222025"/>
    <w:p>
      <w:pPr>
        <w:pStyle w:val="Heading1"/>
      </w:pPr>
      <w:r>
        <w:t xml:space="preserve">Serie histórica 2022–2025</w:t>
      </w:r>
    </w:p>
    <w:bookmarkStart w:id="28" w:name="evolución-por-código-ciiu"/>
    <w:p>
      <w:pPr>
        <w:pStyle w:val="Heading2"/>
      </w:pPr>
      <w:r>
        <w:t xml:space="preserve">0.5 Evolución por código CIIU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serie"/>
          <w:p>
            <w:pPr>
              <w:pStyle w:val="Compact"/>
              <w:jc w:val="center"/>
            </w:pPr>
            <w:r>
              <w:drawing>
                <wp:inline>
                  <wp:extent cx="4800600" cy="2432696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figuras/empleo_ec_2022_2025_por_ciiu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43269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3: Evolución del empleo EC por código CIIU, 2022–2025.</w:t>
            </w:r>
          </w:p>
          <w:bookmarkEnd w:id="27"/>
        </w:tc>
      </w:tr>
    </w:tbl>
    <w:p>
      <w:pPr>
        <w:pStyle w:val="BodyText"/>
      </w:pPr>
      <w:r>
        <w:t xml:space="preserve">La serie evidencia tres dinámicas: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7220 (Consultores informática)</w:t>
      </w:r>
      <w:r>
        <w:t xml:space="preserve">: contracción de 39,2 a 26,8 puestos (−31,6%).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7290 (Informática n.c.p.)</w:t>
      </w:r>
      <w:r>
        <w:t xml:space="preserve">: crecimiento de 26,2 a 32,8 puestos (</w:t>
      </w:r>
      <w:r>
        <w:rPr>
          <w:b/>
          <w:bCs/>
        </w:rPr>
        <w:t xml:space="preserve">+25,2%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7499 (Servicios empresariales)</w:t>
      </w:r>
      <w:r>
        <w:t xml:space="preserve">: expansión de 189,0 a 254,8 puestos (</w:t>
      </w:r>
      <w:r>
        <w:rPr>
          <w:b/>
          <w:bCs/>
        </w:rPr>
        <w:t xml:space="preserve">+34,8%</w:t>
      </w:r>
      <w:r>
        <w:t xml:space="preserve">), motor principal del crecimiento total.</w:t>
      </w:r>
    </w:p>
    <w:bookmarkEnd w:id="28"/>
    <w:bookmarkStart w:id="29" w:name="totales-anuales"/>
    <w:p>
      <w:pPr>
        <w:pStyle w:val="Heading2"/>
      </w:pPr>
      <w:r>
        <w:t xml:space="preserve">0.6 Totales anuales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Total EC</w:t>
            </w:r>
          </w:p>
        </w:tc>
        <w:tc>
          <w:tcPr/>
          <w:p>
            <w:pPr>
              <w:pStyle w:val="Compact"/>
            </w:pPr>
            <w:r>
              <w:t xml:space="preserve">Núcleo informático</w:t>
            </w:r>
          </w:p>
        </w:tc>
        <w:tc>
          <w:tcPr/>
          <w:p>
            <w:pPr>
              <w:pStyle w:val="Compact"/>
            </w:pPr>
            <w:r>
              <w:t xml:space="preserve">Proxies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445,0</w:t>
            </w:r>
          </w:p>
        </w:tc>
        <w:tc>
          <w:tcPr/>
          <w:p>
            <w:pPr>
              <w:pStyle w:val="Compact"/>
            </w:pPr>
            <w:r>
              <w:t xml:space="preserve">65,4</w:t>
            </w:r>
          </w:p>
        </w:tc>
        <w:tc>
          <w:tcPr/>
          <w:p>
            <w:pPr>
              <w:pStyle w:val="Compact"/>
            </w:pPr>
            <w:r>
              <w:t xml:space="preserve">370,8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512,7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412,4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505,7</w:t>
            </w:r>
          </w:p>
        </w:tc>
        <w:tc>
          <w:tcPr/>
          <w:p>
            <w:pPr>
              <w:pStyle w:val="Compact"/>
            </w:pPr>
            <w:r>
              <w:t xml:space="preserve">75,4</w:t>
            </w:r>
          </w:p>
        </w:tc>
        <w:tc>
          <w:tcPr/>
          <w:p>
            <w:pPr>
              <w:pStyle w:val="Compact"/>
            </w:pPr>
            <w:r>
              <w:t xml:space="preserve">430,3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521,4</w:t>
            </w:r>
          </w:p>
        </w:tc>
        <w:tc>
          <w:tcPr/>
          <w:p>
            <w:pPr>
              <w:pStyle w:val="Compact"/>
            </w:pPr>
            <w:r>
              <w:t xml:space="preserve">63,8</w:t>
            </w:r>
          </w:p>
        </w:tc>
        <w:tc>
          <w:tcPr/>
          <w:p>
            <w:pPr>
              <w:pStyle w:val="Compact"/>
            </w:pPr>
            <w:r>
              <w:t xml:space="preserve">457,6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Δ% 22→25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+17,2%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−2,4%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+23,4%</w:t>
            </w:r>
          </w:p>
        </w:tc>
      </w:tr>
    </w:tbl>
    <w:bookmarkEnd w:id="29"/>
    <w:bookmarkEnd w:id="30"/>
    <w:bookmarkStart w:id="36" w:name="empresas-ec"/>
    <w:p>
      <w:pPr>
        <w:pStyle w:val="Heading1"/>
      </w:pPr>
      <w:r>
        <w:t xml:space="preserve">Empresas EC</w:t>
      </w:r>
    </w:p>
    <w:bookmarkStart w:id="35" w:name="masa-crítica-empresarial"/>
    <w:p>
      <w:pPr>
        <w:pStyle w:val="Heading2"/>
      </w:pPr>
      <w:r>
        <w:t xml:space="preserve">0.7 Masa crítica empresarial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empresas"/>
          <w:p>
            <w:pPr>
              <w:pStyle w:val="Compact"/>
              <w:jc w:val="center"/>
            </w:pPr>
            <w:r>
              <w:drawing>
                <wp:inline>
                  <wp:extent cx="4800600" cy="309087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figuras/F35_empresas_bloques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0908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4: Empresas EC por bloque, 2022–2025.</w:t>
            </w:r>
          </w:p>
          <w:bookmarkEnd w:id="34"/>
        </w:tc>
      </w:tr>
    </w:tbl>
    <w:p>
      <w:pPr>
        <w:pStyle w:val="BodyText"/>
      </w:pPr>
      <w:r>
        <w:t xml:space="preserve">La Rioja cuenta con</w:t>
      </w:r>
      <w:r>
        <w:t xml:space="preserve"> </w:t>
      </w:r>
      <w:r>
        <w:rPr>
          <w:b/>
          <w:bCs/>
        </w:rPr>
        <w:t xml:space="preserve">102 empresas EC</w:t>
      </w:r>
      <w:r>
        <w:t xml:space="preserve"> </w:t>
      </w:r>
      <w:r>
        <w:t xml:space="preserve">en 2024, sobre un total provincial de</w:t>
      </w:r>
      <w:r>
        <w:t xml:space="preserve"> </w:t>
      </w:r>
      <w:r>
        <w:rPr>
          <w:b/>
          <w:bCs/>
        </w:rPr>
        <w:t xml:space="preserve">3.255 empresas</w:t>
      </w:r>
      <w:r>
        <w:t xml:space="preserve">, representando el</w:t>
      </w:r>
      <w:r>
        <w:t xml:space="preserve"> </w:t>
      </w:r>
      <w:r>
        <w:rPr>
          <w:b/>
          <w:bCs/>
        </w:rPr>
        <w:t xml:space="preserve">3,40%</w:t>
      </w:r>
      <w:r>
        <w:t xml:space="preserve"> </w:t>
      </w:r>
      <w:r>
        <w:t xml:space="preserve">del tejido empresarial. El bloque de servicios empresariales concentra la mayor cantidad de unidades.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Empresas EC</w:t>
            </w:r>
          </w:p>
        </w:tc>
        <w:tc>
          <w:tcPr/>
          <w:p>
            <w:pPr>
              <w:pStyle w:val="Compact"/>
            </w:pPr>
            <w:r>
              <w:t xml:space="preserve">Total provincial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2.873</w:t>
            </w:r>
          </w:p>
        </w:tc>
        <w:tc>
          <w:tcPr/>
          <w:p>
            <w:pPr>
              <w:pStyle w:val="Compact"/>
            </w:pPr>
            <w:r>
              <w:t xml:space="preserve">3,31%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3.255</w:t>
            </w:r>
          </w:p>
        </w:tc>
        <w:tc>
          <w:tcPr/>
          <w:p>
            <w:pPr>
              <w:pStyle w:val="Compact"/>
            </w:pPr>
            <w:r>
              <w:t xml:space="preserve">3,40%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2.935</w:t>
            </w:r>
          </w:p>
        </w:tc>
        <w:tc>
          <w:tcPr/>
          <w:p>
            <w:pPr>
              <w:pStyle w:val="Compact"/>
            </w:pPr>
            <w:r>
              <w:t xml:space="preserve">2,86%</w:t>
            </w:r>
          </w:p>
        </w:tc>
      </w:tr>
    </w:tbl>
    <w:bookmarkEnd w:id="35"/>
    <w:bookmarkEnd w:id="36"/>
    <w:bookmarkStart w:id="42" w:name="comparación-federal"/>
    <w:p>
      <w:pPr>
        <w:pStyle w:val="Heading1"/>
      </w:pPr>
      <w:r>
        <w:t xml:space="preserve">Comparación federal</w:t>
      </w:r>
    </w:p>
    <w:bookmarkStart w:id="41" w:name="intensidad-empresarial-ec"/>
    <w:p>
      <w:pPr>
        <w:pStyle w:val="Heading2"/>
      </w:pPr>
      <w:r>
        <w:t xml:space="preserve">0.8 Intensidad empresarial EC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intensidad"/>
          <w:p>
            <w:pPr>
              <w:pStyle w:val="Compact"/>
              <w:jc w:val="center"/>
            </w:pPr>
            <w:r>
              <w:drawing>
                <wp:inline>
                  <wp:extent cx="4800600" cy="2914293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iguras/F37_intensidad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9142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5: Intensidad empresarial EC por provincia (‰), 2024.</w:t>
            </w:r>
          </w:p>
          <w:bookmarkEnd w:id="40"/>
        </w:tc>
      </w:tr>
    </w:tbl>
    <w:p>
      <w:pPr>
        <w:pStyle w:val="BodyText"/>
      </w:pPr>
      <w:r>
        <w:t xml:space="preserve">La Rioja registra una intensidad de</w:t>
      </w:r>
      <w:r>
        <w:t xml:space="preserve"> </w:t>
      </w:r>
      <w:r>
        <w:rPr>
          <w:b/>
          <w:bCs/>
        </w:rPr>
        <w:t xml:space="preserve">31,34 ‰</w:t>
      </w:r>
      <w:r>
        <w:t xml:space="preserve"> </w:t>
      </w:r>
      <w:r>
        <w:t xml:space="preserve">(empresas EC por mil empresas totales), ubicándose</w:t>
      </w:r>
      <w:r>
        <w:t xml:space="preserve"> </w:t>
      </w:r>
      <w:r>
        <w:rPr>
          <w:b/>
          <w:bCs/>
        </w:rPr>
        <w:t xml:space="preserve">7ª de 9 provincias</w:t>
      </w:r>
      <w:r>
        <w:t xml:space="preserve"> </w:t>
      </w:r>
      <w:r>
        <w:t xml:space="preserve">relevadas: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Provincia</w:t>
            </w:r>
          </w:p>
        </w:tc>
        <w:tc>
          <w:tcPr/>
          <w:p>
            <w:pPr>
              <w:pStyle w:val="Compact"/>
            </w:pPr>
            <w:r>
              <w:t xml:space="preserve">Intensidad (‰)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CABA</w:t>
            </w:r>
          </w:p>
        </w:tc>
        <w:tc>
          <w:tcPr/>
          <w:p>
            <w:pPr>
              <w:pStyle w:val="Compact"/>
            </w:pPr>
            <w:r>
              <w:t xml:space="preserve">67,95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Catamarca</w:t>
            </w:r>
          </w:p>
        </w:tc>
        <w:tc>
          <w:tcPr/>
          <w:p>
            <w:pPr>
              <w:pStyle w:val="Compact"/>
            </w:pPr>
            <w:r>
              <w:t xml:space="preserve">43,18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Salta</w:t>
            </w:r>
          </w:p>
        </w:tc>
        <w:tc>
          <w:tcPr/>
          <w:p>
            <w:pPr>
              <w:pStyle w:val="Compact"/>
            </w:pPr>
            <w:r>
              <w:t xml:space="preserve">38,99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Tucumán</w:t>
            </w:r>
          </w:p>
        </w:tc>
        <w:tc>
          <w:tcPr/>
          <w:p>
            <w:pPr>
              <w:pStyle w:val="Compact"/>
            </w:pPr>
            <w:r>
              <w:t xml:space="preserve">35,74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Córdoba</w:t>
            </w:r>
          </w:p>
        </w:tc>
        <w:tc>
          <w:tcPr/>
          <w:p>
            <w:pPr>
              <w:pStyle w:val="Compact"/>
            </w:pPr>
            <w:r>
              <w:t xml:space="preserve">34,55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Jujuy</w:t>
            </w:r>
          </w:p>
        </w:tc>
        <w:tc>
          <w:tcPr/>
          <w:p>
            <w:pPr>
              <w:pStyle w:val="Compact"/>
            </w:pPr>
            <w:r>
              <w:t xml:space="preserve">33,12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Rioja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31,34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Santa Fe</w:t>
            </w:r>
          </w:p>
        </w:tc>
        <w:tc>
          <w:tcPr/>
          <w:p>
            <w:pPr>
              <w:pStyle w:val="Compact"/>
            </w:pPr>
            <w:r>
              <w:t xml:space="preserve">27,29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Santiago del Estero</w:t>
            </w:r>
          </w:p>
        </w:tc>
        <w:tc>
          <w:tcPr/>
          <w:p>
            <w:pPr>
              <w:pStyle w:val="Compact"/>
            </w:pPr>
            <w:r>
              <w:t xml:space="preserve">25,63</w:t>
            </w:r>
          </w:p>
        </w:tc>
      </w:tr>
    </w:tbl>
    <w:p>
      <w:pPr>
        <w:pStyle w:val="BodyText"/>
      </w:pPr>
      <w:r>
        <w:t xml:space="preserve">Existe un</w:t>
      </w:r>
      <w:r>
        <w:t xml:space="preserve"> </w:t>
      </w:r>
      <w:r>
        <w:rPr>
          <w:b/>
          <w:bCs/>
        </w:rPr>
        <w:t xml:space="preserve">margen concreto de mejora</w:t>
      </w:r>
      <w:r>
        <w:t xml:space="preserve">: alcanzar el promedio de las provincias del NOA permitiría sumar decenas de empresas EC al tejido provincial.</w:t>
      </w:r>
    </w:p>
    <w:bookmarkEnd w:id="41"/>
    <w:bookmarkEnd w:id="42"/>
    <w:bookmarkStart w:id="45" w:name="conclusiones-y-recomendaciones"/>
    <w:p>
      <w:pPr>
        <w:pStyle w:val="Heading1"/>
      </w:pPr>
      <w:r>
        <w:t xml:space="preserve">Conclusiones y recomendaciones</w:t>
      </w:r>
    </w:p>
    <w:bookmarkStart w:id="43" w:name="síntesis"/>
    <w:p>
      <w:pPr>
        <w:pStyle w:val="Heading2"/>
      </w:pPr>
      <w:r>
        <w:t xml:space="preserve">0.9 Síntesis</w:t>
      </w:r>
    </w:p>
    <w:p>
      <w:pPr>
        <w:pStyle w:val="FirstParagraph"/>
      </w:pPr>
      <w:r>
        <w:t xml:space="preserve">La Economía del Conocimiento en La Rioja muestra una</w:t>
      </w:r>
      <w:r>
        <w:t xml:space="preserve"> </w:t>
      </w:r>
      <w:r>
        <w:rPr>
          <w:b/>
          <w:bCs/>
        </w:rPr>
        <w:t xml:space="preserve">trayectoria positiva</w:t>
      </w:r>
      <w:r>
        <w:t xml:space="preserve"> </w:t>
      </w:r>
      <w:r>
        <w:t xml:space="preserve">entre 2022 y 2025: el empleo creció</w:t>
      </w:r>
      <w:r>
        <w:t xml:space="preserve"> </w:t>
      </w:r>
      <w:r>
        <w:rPr>
          <w:b/>
          <w:bCs/>
        </w:rPr>
        <w:t xml:space="preserve">+17,2%</w:t>
      </w:r>
      <w:r>
        <w:t xml:space="preserve">, la recaudación se multiplicó por</w:t>
      </w:r>
      <w:r>
        <w:t xml:space="preserve"> </w:t>
      </w:r>
      <w:r>
        <w:rPr>
          <w:b/>
          <w:bCs/>
        </w:rPr>
        <w:t xml:space="preserve">32,9</w:t>
      </w:r>
      <w:r>
        <w:t xml:space="preserve"> </w:t>
      </w:r>
      <w:r>
        <w:t xml:space="preserve">y el núcleo informático se mantiene como columna vertebral del sector con</w:t>
      </w:r>
      <w:r>
        <w:t xml:space="preserve"> </w:t>
      </w:r>
      <w:r>
        <w:rPr>
          <w:b/>
          <w:bCs/>
        </w:rPr>
        <w:t xml:space="preserve">63,8 puestos</w:t>
      </w:r>
      <w:r>
        <w:t xml:space="preserve"> </w:t>
      </w:r>
      <w:r>
        <w:t xml:space="preserve">y salarios premium de hasta</w:t>
      </w:r>
      <w:r>
        <w:t xml:space="preserve"> </w:t>
      </w:r>
      <w:r>
        <w:rPr>
          <w:b/>
          <w:bCs/>
        </w:rPr>
        <w:t xml:space="preserve">+138%</w:t>
      </w:r>
      <w:r>
        <w:t xml:space="preserve"> </w:t>
      </w:r>
      <w:r>
        <w:t xml:space="preserve">sobre el promedio provincial.</w:t>
      </w:r>
    </w:p>
    <w:bookmarkEnd w:id="43"/>
    <w:bookmarkStart w:id="44" w:name="recomendaciones"/>
    <w:p>
      <w:pPr>
        <w:pStyle w:val="Heading2"/>
      </w:pPr>
      <w:r>
        <w:t xml:space="preserve">0.10 Recomendaciones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Fortalecer el núcleo informático</w:t>
      </w:r>
      <w:r>
        <w:t xml:space="preserve">: diseñar incentivos específicos para los códigos 7220, 7250 y 7290, que concentran el empleo tecnológico de mayor calidad.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Consolidar la masa crítica empresarial</w:t>
      </w:r>
      <w:r>
        <w:t xml:space="preserve">: acompañar a las 84 empresas EC activas con líneas de financiamiento y capacitación específicas.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Escalar la posición federal</w:t>
      </w:r>
      <w:r>
        <w:t xml:space="preserve">: tomar como referencia las provincias líderes en intensidad empresarial (CABA, Catamarca) para diseñar una estrategia de atracción de empresas EC.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Aprovechar la recaudación creciente</w:t>
      </w:r>
      <w:r>
        <w:t xml:space="preserve">: destinar parte del crecimiento de ingresos DGIP a infraestructura tecnológica y formación de talento local.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Monitoreo continuo</w:t>
      </w:r>
      <w:r>
        <w:t xml:space="preserve">: institucionalizar el seguimiento trimestral de los indicadores EC para detectar tempranamente cambios de tendencia.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Fuente: SIPA-OEDE (STEySS), DGIP La Rioja, definición ARCA-DGIP. Elaboración propia.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37" Target="media/rId37.png" /><Relationship Type="http://schemas.openxmlformats.org/officeDocument/2006/relationships/image" Id="rId13" Target="media/rId13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Economía del Conocimiento en La Rioja</dc:title>
  <dc:creator>Secretaría de Ciencia y Tecnología — La Rioja</dc:creator>
  <dc:language>es</dc:language>
  <cp:keywords/>
  <dcterms:created xsi:type="dcterms:W3CDTF">2026-09-26T01:17:52Z</dcterms:created>
  <dcterms:modified xsi:type="dcterms:W3CDTF">2026-09-26T01:17:52Z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2026-09-25</vt:lpwstr>
  </property>
  <property fmtid="{D5CDD505-2E9C-101B-9397-08002B2CF9AE}" pid="6" name="execute">
    <vt:lpwstr/>
  </property>
  <property fmtid="{D5CDD505-2E9C-101B-9397-08002B2CF9AE}" pid="7" name="fig-cap-location">
    <vt:lpwstr>bottom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Radiografía del empleo, las empresas y la recaudación (2022–2025)</vt:lpwstr>
  </property>
  <property fmtid="{D5CDD505-2E9C-101B-9397-08002B2CF9AE}" pid="13" name="toc-title">
    <vt:lpwstr>Tabla de contenidos</vt:lpwstr>
  </property>
</Properties>
</file>